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39"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On January 8, 2024, Ardelyx, Inc. (the “Company”) announced unaudited U.S. net product sales revenue of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of approximately $28 million for the fourth quarter ended December 31, 2023, and approximately $80 million for the full year ended December 31, 2023. The Company announced unaudited U.S. net product sales revenue of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of approximately $2.5 million for the fourth quarter ended December 31, 2023. The Company also announced that as of December 31, 2023, it had cash, cash equivalents, and short-term investments of approximately $184 million, unaudited. These amounts are preliminary and are subject to adjustment in connection with preparation of audited financial statements. As a result, these amounts may differ materially from the amounts that will be reflected in the Company’s financial statements for the year ended December 31,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preliminary financial data included in this Current Report on Form 8-K has been prepared by, and is the responsibility of, the Company’s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Ernst &amp; Young LLP has not audited, reviewed, examined, compiled, nor applied agreed-upon procedures with respect to the preliminary financial data.</w:t>
      </w:r>
    </w:p>
    <w:p>
      <w:pPr>
        <w:spacing w:after="0"/>
        <w:rPr>
          <w:sz w:val="20"/>
          <w:szCs w:val="20"/>
          <w:color w:val="auto"/>
        </w:rPr>
      </w:pPr>
      <w:r>
        <w:rPr>
          <w:rFonts w:ascii="Times New Roman" w:cs="Times New Roman" w:eastAsia="Times New Roman" w:hAnsi="Times New Roman"/>
          <w:sz w:val="18"/>
          <w:szCs w:val="18"/>
          <w:color w:val="auto"/>
        </w:rPr>
        <w:t>Accordingly, Ernst &amp; Young LLP does not express an opinion or any other form of assurance with respect thereto.</w:t>
      </w:r>
    </w:p>
    <w:p>
      <w:pPr>
        <w:spacing w:after="0" w:line="21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9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January 8, 2024</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and Operations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2024-01-08T07:15:58Z</dcterms:created>
  <dcterms:modified xsi:type="dcterms:W3CDTF">2024-01-08T07:15:58Z</dcterms:modified>
</cp:coreProperties>
</file>