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24289x1_def14a_100-regcov_pg1"/>
        <w:bookmarkStart w:id="1" w:name="ny20024289x1_def14a.htm"/>
        <w:bookmarkStart w:id="2" w:name="ksny20024289x1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7091" w:type="dxa"/>
        <w:jc w:val="left"/>
        <w:tblInd w:w="0" w:type="dxa"/>
        <w:tblLayout w:type="fixed"/>
        <w:tblCellMar>
          <w:top w:w="0" w:type="dxa"/>
          <w:left w:w="0" w:type="dxa"/>
          <w:bottom w:w="0" w:type="dxa"/>
          <w:right w:w="0" w:type="dxa"/>
        </w:tblCellMar>
      </w:tblPr>
      <w:tblGrid>
        <w:gridCol w:w="290"/>
        <w:gridCol w:w="23"/>
        <w:gridCol w:w="23"/>
        <w:gridCol w:w="6755"/>
      </w:tblGrid>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19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48"/>
        </w:rPr>
      </w:pPr>
      <w:r>
        <w:rPr>
          <w:rFonts w:ascii="Times New Roman;Times;serif" w:hAnsi="Times New Roman;Times;serif"/>
          <w:b/>
          <w:color w:val="000000"/>
          <w:sz w:val="20"/>
        </w:rPr>
        <w:t>(Name of Person(s) Filing Proxy Statement, if Other Than the Registrant)</w:t>
      </w:r>
      <w:r>
        <w:rPr>
          <w:rFonts w:ascii="Times New Roman;Times;serif" w:hAnsi="Times New Roman;Times;serif"/>
          <w:b/>
          <w:color w:val="000000"/>
          <w:sz w:val="48"/>
        </w:rPr>
        <w:t xml:space="preserve">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8590" w:type="dxa"/>
        <w:jc w:val="left"/>
        <w:tblInd w:w="0" w:type="dxa"/>
        <w:tblLayout w:type="fixed"/>
        <w:tblCellMar>
          <w:top w:w="0" w:type="dxa"/>
          <w:left w:w="0" w:type="dxa"/>
          <w:bottom w:w="0" w:type="dxa"/>
          <w:right w:w="0" w:type="dxa"/>
        </w:tblCellMar>
      </w:tblPr>
      <w:tblGrid>
        <w:gridCol w:w="290"/>
        <w:gridCol w:w="23"/>
        <w:gridCol w:w="23"/>
        <w:gridCol w:w="2735"/>
        <w:gridCol w:w="1042"/>
        <w:gridCol w:w="1042"/>
        <w:gridCol w:w="3435"/>
      </w:tblGrid>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2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color w:val="000000"/>
              </w:rPr>
            </w:pPr>
            <w:r>
              <w:rPr>
                <w:color w:val="000000"/>
              </w:rPr>
              <w:t> </w:t>
            </w:r>
          </w:p>
        </w:tc>
        <w:tc>
          <w:tcPr>
            <w:tcW w:w="1042" w:type="dxa"/>
            <w:tcBorders/>
            <w:vAlign w:val="center"/>
          </w:tcPr>
          <w:p>
            <w:pPr>
              <w:pStyle w:val="TableContents"/>
              <w:bidi w:val="0"/>
              <w:spacing w:before="0" w:after="283"/>
              <w:jc w:val="left"/>
              <w:rPr/>
            </w:pPr>
            <w:r>
              <w:rPr/>
              <w:t>​</w:t>
            </w:r>
          </w:p>
        </w:tc>
        <w:tc>
          <w:tcPr>
            <w:tcW w:w="1042" w:type="dxa"/>
            <w:tcBorders/>
            <w:vAlign w:val="center"/>
          </w:tcPr>
          <w:p>
            <w:pPr>
              <w:pStyle w:val="TableContents"/>
              <w:bidi w:val="0"/>
              <w:spacing w:before="0" w:after="283"/>
              <w:jc w:val="left"/>
              <w:rPr/>
            </w:pPr>
            <w:r>
              <w:rPr/>
              <w:t>​</w:t>
            </w:r>
          </w:p>
        </w:tc>
        <w:tc>
          <w:tcPr>
            <w:tcW w:w="3435" w:type="dxa"/>
            <w:tcBorders/>
            <w:vAlign w:val="center"/>
          </w:tcPr>
          <w:p>
            <w:pPr>
              <w:pStyle w:val="TableContents"/>
              <w:bidi w:val="0"/>
              <w:spacing w:before="0" w:after="0"/>
              <w:jc w:val="left"/>
              <w:rPr>
                <w:color w:val="000000"/>
              </w:rPr>
            </w:pPr>
            <w:r>
              <w:rPr>
                <w:color w:val="000000"/>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2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color w:val="000000"/>
              </w:rPr>
            </w:pPr>
            <w:r>
              <w:rPr>
                <w:color w:val="000000"/>
              </w:rPr>
              <w:t> </w:t>
            </w:r>
          </w:p>
        </w:tc>
        <w:tc>
          <w:tcPr>
            <w:tcW w:w="1042" w:type="dxa"/>
            <w:tcBorders/>
            <w:vAlign w:val="center"/>
          </w:tcPr>
          <w:p>
            <w:pPr>
              <w:pStyle w:val="TableContents"/>
              <w:bidi w:val="0"/>
              <w:spacing w:before="0" w:after="283"/>
              <w:jc w:val="left"/>
              <w:rPr/>
            </w:pPr>
            <w:r>
              <w:rPr/>
              <w:t>​</w:t>
            </w:r>
          </w:p>
        </w:tc>
        <w:tc>
          <w:tcPr>
            <w:tcW w:w="1042" w:type="dxa"/>
            <w:tcBorders/>
            <w:vAlign w:val="center"/>
          </w:tcPr>
          <w:p>
            <w:pPr>
              <w:pStyle w:val="TableContents"/>
              <w:bidi w:val="0"/>
              <w:spacing w:before="0" w:after="283"/>
              <w:jc w:val="left"/>
              <w:rPr/>
            </w:pPr>
            <w:r>
              <w:rPr/>
              <w:t>​</w:t>
            </w:r>
          </w:p>
        </w:tc>
        <w:tc>
          <w:tcPr>
            <w:tcW w:w="3435" w:type="dxa"/>
            <w:tcBorders/>
            <w:vAlign w:val="center"/>
          </w:tcPr>
          <w:p>
            <w:pPr>
              <w:pStyle w:val="TableContents"/>
              <w:bidi w:val="0"/>
              <w:spacing w:before="0" w:after="0"/>
              <w:jc w:val="left"/>
              <w:rPr>
                <w:color w:val="000000"/>
              </w:rPr>
            </w:pPr>
            <w:r>
              <w:rPr>
                <w:color w:val="000000"/>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24289x1_def14a_101-notice_pg1"/>
        <w:bookmarkEnd w:id="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620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762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400 Fifth Avenue, Suite 210, Waltham, MA 02451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14, 2024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Ardelyx,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2024 Annual Meeting of Stockholders, or the 2024 Annual Meeting, of Ardelyx, Inc., a Delaware corporation, or the Company, will be held on June 14, 2024 at 8:30 a.m. Eastern Time. The 2024 Annual Meeting will be held entirely online. You will be able to attend the meeting online where you will be able to listen to the meeting live and vote. The 2024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two Class I directors to hold office until the 2027 Annual Meeting of Stockholders and until their successors are elected and qualified; </w:t>
            </w:r>
          </w:p>
        </w:tc>
      </w:tr>
    </w:tbl>
    <w:tbl>
      <w:tblPr>
        <w:tblW w:w="6370" w:type="dxa"/>
        <w:jc w:val="left"/>
        <w:tblInd w:w="0" w:type="dxa"/>
        <w:tblLayout w:type="fixed"/>
        <w:tblCellMar>
          <w:top w:w="0" w:type="dxa"/>
          <w:left w:w="0" w:type="dxa"/>
          <w:bottom w:w="0" w:type="dxa"/>
          <w:right w:w="0" w:type="dxa"/>
        </w:tblCellMar>
      </w:tblPr>
      <w:tblGrid>
        <w:gridCol w:w="245"/>
        <w:gridCol w:w="61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Amended and Restated 2014 Equity Incentive Award Plan; </w:t>
            </w:r>
          </w:p>
        </w:tc>
      </w:tr>
    </w:tbl>
    <w:tbl>
      <w:tblPr>
        <w:tblW w:w="6535" w:type="dxa"/>
        <w:jc w:val="left"/>
        <w:tblInd w:w="0" w:type="dxa"/>
        <w:tblLayout w:type="fixed"/>
        <w:tblCellMar>
          <w:top w:w="0" w:type="dxa"/>
          <w:left w:w="0" w:type="dxa"/>
          <w:bottom w:w="0" w:type="dxa"/>
          <w:right w:w="0" w:type="dxa"/>
        </w:tblCellMar>
      </w:tblPr>
      <w:tblGrid>
        <w:gridCol w:w="245"/>
        <w:gridCol w:w="62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Amended and Restated 2014 Employee Stock Purchase Plan;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our named executive officers, as disclosed in the proxy statement accompanying this notice pursuant to the compensation disclosure rules of the Securities and Exchange Commission, or Say-on-Pay;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and Compliance Committee of our board of directors, of Ernst &amp; Young LLP as the independent registered public accounting firm of the Company for the fiscal year ending December 31, 2024; and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2024 Annual Meeting or any adjournment or postponement thereof.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foregoing items of business are more fully described in the proxy statement accompanying this Notice of Annual Meeting of Stockholders. Only stockholders who owned the Company’s common stock at the close of business on April 15, 2024 may vote at the 2024 Annual Meeting or any adjournments that take place.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virtual 2024 Annual Meeting online via live audio-only webcast at </w:t>
      </w:r>
      <w:r>
        <w:rPr>
          <w:rFonts w:ascii="Times New Roman;Times;serif" w:hAnsi="Times New Roman;Times;serif"/>
          <w:i/>
          <w:color w:val="000000"/>
          <w:sz w:val="20"/>
        </w:rPr>
        <w:t>www.virtualshareholdermeeting.com/ARDX2024</w:t>
      </w:r>
      <w:r>
        <w:rPr>
          <w:rFonts w:ascii="Times New Roman;Times;serif" w:hAnsi="Times New Roman;Times;serif"/>
          <w:color w:val="000000"/>
          <w:sz w:val="20"/>
        </w:rPr>
        <w:t xml:space="preserve">. Whether or not you plan to attend the 2024 Annual Meeting online, please vote as soon as possible. You may vote over the internet or by a toll-free telephone number, or by mailing a complete, signed and dated proxy card or voting instruction card in the envelope provided. Please note that any stockholder attending the 2024 Annual Meeting may vote online at the 2024 Annual Meeting, even if the stockholder has already voted over the internet or by phone or returned a proxy card or voting instruction card by mail.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24289x1_def14a_101-notice_pg2"/>
        <w:bookmarkEnd w:id="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election of the director nominees named in Proposal No. 1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of the Amended and Restated 2014 Equity Incentive Award Plan, as described in Proposal No. 2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of the Amended and Restated 2014 Employee Stock Purchase Plan, as described in Proposal No. 3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as described in Proposal No. 4 of the proxy statement and “</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Ernst &amp; Young LLP as our independent registered public accounting firm for the year ending December 31, 2024 as described in Proposal No. 5 of the proxy statement. </w:t>
      </w:r>
    </w:p>
    <w:tbl>
      <w:tblPr>
        <w:tblW w:w="3321" w:type="dxa"/>
        <w:jc w:val="left"/>
        <w:tblInd w:w="0" w:type="dxa"/>
        <w:tblLayout w:type="fixed"/>
        <w:tblCellMar>
          <w:top w:w="0" w:type="dxa"/>
          <w:left w:w="0" w:type="dxa"/>
          <w:bottom w:w="0" w:type="dxa"/>
          <w:right w:w="0" w:type="dxa"/>
        </w:tblCellMar>
      </w:tblPr>
      <w:tblGrid>
        <w:gridCol w:w="75"/>
        <w:gridCol w:w="23"/>
        <w:gridCol w:w="23"/>
        <w:gridCol w:w="320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200"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Elizabeth Grammer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and Administrative Officer</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Waltham, Massachusetts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24289x1_def14a_102-toc_pg1"/>
        <w:bookmarkEnd w:id="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bidi w:val="0"/>
        <w:spacing w:before="0" w:after="0"/>
        <w:jc w:val="left"/>
        <w:rPr>
          <w:sz w:val="4"/>
          <w:szCs w:val="4"/>
        </w:rPr>
      </w:pPr>
      <w:r>
        <w:rPr>
          <w:sz w:val="4"/>
          <w:szCs w:val="4"/>
        </w:rPr>
      </w:r>
      <w:bookmarkStart w:id="6" w:name="TOC"/>
      <w:bookmarkStart w:id="7" w:name="TOC"/>
      <w:bookmarkEnd w:id="7"/>
    </w:p>
    <w:tbl>
      <w:tblPr>
        <w:tblW w:w="8936" w:type="dxa"/>
        <w:jc w:val="left"/>
        <w:tblInd w:w="0" w:type="dxa"/>
        <w:tblLayout w:type="fixed"/>
        <w:tblCellMar>
          <w:top w:w="0" w:type="dxa"/>
          <w:left w:w="0" w:type="dxa"/>
          <w:bottom w:w="0" w:type="dxa"/>
          <w:right w:w="0" w:type="dxa"/>
        </w:tblCellMar>
      </w:tblPr>
      <w:tblGrid>
        <w:gridCol w:w="8450"/>
        <w:gridCol w:w="23"/>
        <w:gridCol w:w="23"/>
        <w:gridCol w:w="440"/>
      </w:tblGrid>
      <w:tr>
        <w:trPr/>
        <w:tc>
          <w:tcPr>
            <w:tcW w:w="84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450" w:type="dxa"/>
            <w:tcBorders/>
            <w:shd w:fill="CCEEFF" w:val="clear"/>
            <w:vAlign w:val="center"/>
          </w:tcPr>
          <w:p>
            <w:pPr>
              <w:pStyle w:val="TableContents"/>
              <w:bidi w:val="0"/>
              <w:spacing w:before="0" w:after="283"/>
              <w:ind w:left="200" w:right="0" w:hanging="200"/>
              <w:jc w:val="left"/>
              <w:rPr/>
            </w:pPr>
            <w:hyperlink w:anchor="tQAQ">
              <w:r>
                <w:rPr>
                  <w:rStyle w:val="InternetLink"/>
                  <w:rFonts w:ascii="Times New Roman;Times;serif" w:hAnsi="Times New Roman;Times;serif"/>
                  <w:color w:val="000000"/>
                  <w:sz w:val="20"/>
                </w:rPr>
                <w:t>QUESTIONS AND ANSWERS REGARDING THE PROXY MATERIALS AND THE VOTING PROCESS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QAQ">
              <w:r>
                <w:rPr>
                  <w:rStyle w:val="InternetLink"/>
                  <w:rFonts w:ascii="Times New Roman;Times;serif" w:hAnsi="Times New Roman;Times;serif"/>
                  <w:color w:val="000000"/>
                  <w:sz w:val="20"/>
                </w:rPr>
                <w:t>1</w:t>
              </w:r>
            </w:hyperlink>
            <w:hyperlink w:anchor="tQAQ">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NO. 1</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P1">
              <w:r>
                <w:rPr>
                  <w:rStyle w:val="InternetLink"/>
                  <w:rFonts w:ascii="Times New Roman;Times;serif" w:hAnsi="Times New Roman;Times;serif"/>
                  <w:color w:val="000000"/>
                  <w:sz w:val="20"/>
                </w:rPr>
                <w:t>7</w:t>
              </w:r>
            </w:hyperlink>
            <w:hyperlink w:anchor="tP1">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PROPOSAL NO. 2</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P2">
              <w:r>
                <w:rPr>
                  <w:rStyle w:val="InternetLink"/>
                  <w:rFonts w:ascii="Times New Roman;Times;serif" w:hAnsi="Times New Roman;Times;serif"/>
                  <w:color w:val="000000"/>
                  <w:sz w:val="20"/>
                </w:rPr>
                <w:t>10</w:t>
              </w:r>
            </w:hyperlink>
            <w:hyperlink w:anchor="tP2">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NO. 3</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20</w:t>
              </w:r>
            </w:hyperlink>
            <w:hyperlink w:anchor="tPROP3">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P4">
              <w:r>
                <w:rPr>
                  <w:rStyle w:val="InternetLink"/>
                  <w:rFonts w:ascii="Times New Roman;Times;serif" w:hAnsi="Times New Roman;Times;serif"/>
                  <w:color w:val="000000"/>
                  <w:sz w:val="20"/>
                </w:rPr>
                <w:t>PROPOSAL NO. 4</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P4">
              <w:r>
                <w:rPr>
                  <w:rStyle w:val="InternetLink"/>
                  <w:rFonts w:ascii="Times New Roman;Times;serif" w:hAnsi="Times New Roman;Times;serif"/>
                  <w:color w:val="000000"/>
                  <w:sz w:val="20"/>
                </w:rPr>
                <w:t>25</w:t>
              </w:r>
            </w:hyperlink>
            <w:hyperlink w:anchor="tP4">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P5">
              <w:r>
                <w:rPr>
                  <w:rStyle w:val="InternetLink"/>
                  <w:rFonts w:ascii="Times New Roman;Times;serif" w:hAnsi="Times New Roman;Times;serif"/>
                  <w:color w:val="000000"/>
                  <w:sz w:val="20"/>
                </w:rPr>
                <w:t>PROPOSAL NO. 5</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P5">
              <w:r>
                <w:rPr>
                  <w:rStyle w:val="InternetLink"/>
                  <w:rFonts w:ascii="Times New Roman;Times;serif" w:hAnsi="Times New Roman;Times;serif"/>
                  <w:color w:val="000000"/>
                  <w:sz w:val="20"/>
                </w:rPr>
                <w:t>26</w:t>
              </w:r>
            </w:hyperlink>
            <w:hyperlink w:anchor="tP5">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ROT">
              <w:r>
                <w:rPr>
                  <w:rStyle w:val="InternetLink"/>
                  <w:rFonts w:ascii="Times New Roman;Times;serif" w:hAnsi="Times New Roman;Times;serif"/>
                  <w:color w:val="000000"/>
                  <w:sz w:val="20"/>
                </w:rPr>
                <w:t>REPORT OF THE AUDIT AND COMPLIANCE COMMITTEE OF THE BOARD OF DIRECTORS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ROT">
              <w:r>
                <w:rPr>
                  <w:rStyle w:val="InternetLink"/>
                  <w:rFonts w:ascii="Times New Roman;Times;serif" w:hAnsi="Times New Roman;Times;serif"/>
                  <w:color w:val="000000"/>
                  <w:sz w:val="20"/>
                </w:rPr>
                <w:t>28</w:t>
              </w:r>
            </w:hyperlink>
            <w:hyperlink w:anchor="tROT">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CG">
              <w:r>
                <w:rPr>
                  <w:rStyle w:val="InternetLink"/>
                  <w:rFonts w:ascii="Times New Roman;Times;serif" w:hAnsi="Times New Roman;Times;serif"/>
                  <w:color w:val="000000"/>
                  <w:sz w:val="20"/>
                </w:rPr>
                <w:t>29</w:t>
              </w:r>
            </w:hyperlink>
            <w:hyperlink w:anchor="tCG">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CR">
              <w:r>
                <w:rPr>
                  <w:rStyle w:val="InternetLink"/>
                  <w:rFonts w:ascii="Times New Roman;Times;serif" w:hAnsi="Times New Roman;Times;serif"/>
                  <w:color w:val="000000"/>
                  <w:sz w:val="20"/>
                </w:rPr>
                <w:t>CERTAIN RELATIONSHIPS AND RELATED PARTY TRANSACTIONS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CR">
              <w:r>
                <w:rPr>
                  <w:rStyle w:val="InternetLink"/>
                  <w:rFonts w:ascii="Times New Roman;Times;serif" w:hAnsi="Times New Roman;Times;serif"/>
                  <w:color w:val="000000"/>
                  <w:sz w:val="20"/>
                </w:rPr>
                <w:t>35</w:t>
              </w:r>
            </w:hyperlink>
            <w:hyperlink w:anchor="tCR">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NE">
              <w:r>
                <w:rPr>
                  <w:rStyle w:val="InternetLink"/>
                  <w:rFonts w:ascii="Times New Roman;Times;serif" w:hAnsi="Times New Roman;Times;serif"/>
                  <w:color w:val="000000"/>
                  <w:sz w:val="20"/>
                </w:rPr>
                <w:t>NON-EMPLOYEE DIRECTOR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NE">
              <w:r>
                <w:rPr>
                  <w:rStyle w:val="InternetLink"/>
                  <w:rFonts w:ascii="Times New Roman;Times;serif" w:hAnsi="Times New Roman;Times;serif"/>
                  <w:color w:val="000000"/>
                  <w:sz w:val="20"/>
                </w:rPr>
                <w:t>36</w:t>
              </w:r>
            </w:hyperlink>
            <w:hyperlink w:anchor="tNE">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38</w:t>
              </w:r>
            </w:hyperlink>
            <w:hyperlink w:anchor="tEO">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EC">
              <w:r>
                <w:rPr>
                  <w:rStyle w:val="InternetLink"/>
                  <w:rFonts w:ascii="Times New Roman;Times;serif" w:hAnsi="Times New Roman;Times;serif"/>
                  <w:color w:val="000000"/>
                  <w:sz w:val="20"/>
                </w:rPr>
                <w:t>40</w:t>
              </w:r>
            </w:hyperlink>
            <w:hyperlink w:anchor="tEC">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SOOC">
              <w:r>
                <w:rPr>
                  <w:rStyle w:val="InternetLink"/>
                  <w:rFonts w:ascii="Times New Roman;Times;serif" w:hAnsi="Times New Roman;Times;serif"/>
                  <w:color w:val="000000"/>
                  <w:sz w:val="20"/>
                </w:rPr>
                <w:t>SECURITY OWNERSHIP OF CERTAIN BENEFICIAL OWNERS AND MANAGEMENT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SOOC">
              <w:r>
                <w:rPr>
                  <w:rStyle w:val="InternetLink"/>
                  <w:rFonts w:ascii="Times New Roman;Times;serif" w:hAnsi="Times New Roman;Times;serif"/>
                  <w:color w:val="000000"/>
                  <w:sz w:val="20"/>
                </w:rPr>
                <w:t>49</w:t>
              </w:r>
            </w:hyperlink>
            <w:hyperlink w:anchor="tSOOC">
              <w:r>
                <w:rPr>
                  <w:rStyle w:val="InternetLink"/>
                  <w:rFonts w:ascii="Times New Roman;Times;serif" w:hAnsi="Times New Roman;Times;serif"/>
                  <w:color w:val="000000"/>
                  <w:sz w:val="20"/>
                </w:rPr>
                <w:t xml:space="preserve"> </w:t>
              </w:r>
            </w:hyperlink>
          </w:p>
        </w:tc>
      </w:tr>
      <w:tr>
        <w:trPr/>
        <w:tc>
          <w:tcPr>
            <w:tcW w:w="8450" w:type="dxa"/>
            <w:tcBorders/>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DELINQUENT SECTION 16(A) REPORTS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DS">
              <w:r>
                <w:rPr>
                  <w:rStyle w:val="InternetLink"/>
                  <w:rFonts w:ascii="Times New Roman;Times;serif" w:hAnsi="Times New Roman;Times;serif"/>
                  <w:color w:val="000000"/>
                  <w:sz w:val="20"/>
                </w:rPr>
                <w:t>50</w:t>
              </w:r>
            </w:hyperlink>
            <w:hyperlink w:anchor="tDS">
              <w:r>
                <w:rPr>
                  <w:rStyle w:val="InternetLink"/>
                  <w:rFonts w:ascii="Times New Roman;Times;serif" w:hAnsi="Times New Roman;Times;serif"/>
                  <w:color w:val="000000"/>
                  <w:sz w:val="20"/>
                </w:rPr>
                <w:t xml:space="preserve"> </w:t>
              </w:r>
            </w:hyperlink>
          </w:p>
        </w:tc>
      </w:tr>
      <w:tr>
        <w:trPr/>
        <w:tc>
          <w:tcPr>
            <w:tcW w:w="8450" w:type="dxa"/>
            <w:tcBorders/>
            <w:shd w:fill="CCEEFF" w:val="clear"/>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AI">
              <w:r>
                <w:rPr>
                  <w:rStyle w:val="InternetLink"/>
                  <w:rFonts w:ascii="Times New Roman;Times;serif" w:hAnsi="Times New Roman;Times;serif"/>
                  <w:color w:val="000000"/>
                  <w:sz w:val="20"/>
                </w:rPr>
                <w:t>50</w:t>
              </w:r>
            </w:hyperlink>
          </w:p>
        </w:tc>
      </w:tr>
      <w:tr>
        <w:trPr/>
        <w:tc>
          <w:tcPr>
            <w:tcW w:w="845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AMENDED AND RESTATED 2014 EQUITY INCENTIVE AWARD PLAN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845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AMENDED AND RESTATED 2014 EMPLOYEE STOCK PURCHASE PLAN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w:t>
              </w:r>
            </w:hyperlink>
            <w:hyperlink w:anchor="tANNEXB">
              <w:r>
                <w:rPr>
                  <w:rStyle w:val="InternetLink"/>
                  <w:rFonts w:ascii="Times New Roman;Times;serif" w:hAnsi="Times New Roman;Times;serif"/>
                  <w:color w:val="000000"/>
                  <w:sz w:val="20"/>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24289x1_def14a_103-proxy_pg1"/>
        <w:bookmarkEnd w:id="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400 Fifth Avenue, Suite 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Waltham, MA 02451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14, 2024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INTERNET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OF STOCKHOLDERS TO BE HELD ON JUNE 14, 2024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and our Annual Report on Form 10-K for the fiscal year ended December 31, 2023 are available on our website at www.ardelyx.com and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The references to our web address contained in this proxy statement do not constitute incorporation by reference of the information contained at or available through our website.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in this proxy statement the terms “Ardelyx,” “we,” “us,” “our” and “the Company” refer to Ardelyx, Inc. </w:t>
      </w:r>
    </w:p>
    <w:p>
      <w:pPr>
        <w:pStyle w:val="TextBody"/>
        <w:bidi w:val="0"/>
        <w:spacing w:before="240" w:after="283"/>
        <w:ind w:left="0" w:right="0" w:hanging="0"/>
        <w:jc w:val="left"/>
        <w:rPr>
          <w:rFonts w:ascii="Times New Roman;Times;serif" w:hAnsi="Times New Roman;Times;serif"/>
          <w:b/>
          <w:color w:val="000000"/>
          <w:sz w:val="20"/>
        </w:rPr>
      </w:pPr>
      <w:bookmarkStart w:id="9" w:name="tQAQ"/>
      <w:bookmarkEnd w:id="9"/>
      <w:r>
        <w:rPr>
          <w:rFonts w:ascii="Times New Roman;Times;serif" w:hAnsi="Times New Roman;Times;serif"/>
          <w:b/>
          <w:color w:val="000000"/>
          <w:sz w:val="20"/>
        </w:rPr>
        <w:t xml:space="preserve">QUESTIONS AND ANSWERS REGARDING THE PROXY MATERIALS AND THE VOTING PROCESS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delivered paper proxy materials to you, because the board of directors of Ardelyx is soliciting your proxy to vote at the 2024 Annual Meeting of Stockholders, or the 2024 Annual Meeting, or any adjournments that take place. The 2024 Annual Meeting will be held online on June 14, 2024 at 8:30 a.m. Eastern Time via live audio-only webcast at </w:t>
      </w:r>
      <w:r>
        <w:rPr>
          <w:rFonts w:ascii="Times New Roman;Times;serif" w:hAnsi="Times New Roman;Times;serif"/>
          <w:i/>
          <w:color w:val="000000"/>
          <w:sz w:val="20"/>
        </w:rPr>
        <w:t>www.virtualshareholdermeeting.com/ARDX2024</w:t>
      </w:r>
      <w:r>
        <w:rPr>
          <w:rFonts w:ascii="Times New Roman;Times;serif" w:hAnsi="Times New Roman;Times;serif"/>
          <w:color w:val="000000"/>
          <w:sz w:val="20"/>
        </w:rPr>
        <w:t xml:space="preserve">. As a stockholder, you are invited to attend the 2024 Annual Meeting online and are requested to vote on the proposals described in this proxy statement. However, you do not need to attend the 2024 Annual Meeting to vote.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included in the proxy materials?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which includes information regarding the proposals to be voted on at the 2024 Annual Meeting, the voting process, corporate governance, the compensation of our directors and certain executive officers, and other required information;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2023; and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proxy card or a voting instruction card for the 2024 Annual Meeting.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are being mailed on or about May 1, 2024, and are available at www.ardelyx.com.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2024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April 15, 2024, or the Record Date, will be entitled to vote at the 2024 Annual Meeting. On this Record Date, there were 233,976,572 shares of common stock outstanding and entitled to vote.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at the close of business on April 15, 2024, your shares were registered directly in your name with our transfer agent, Equiniti Trust Company, LLC, then you are a stockholder of record. As a stockholder of record, you may vote online at the 2024 Annual Meeting or vote by proxy. Whether or not you plan to attend the 2024 Annual Meeting, please vote as soon as possible by internet, telephone or by mail as instructed below to ensure your vote is counted.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at the close of business on April 15, 2024,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 w:name="ny20024289x1_def14a_103-proxy_pg2"/>
        <w:bookmarkEnd w:id="1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holding your account is considered to be the stockholder of record for purposes of voting at the 2024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2024 Annual Meeting, you must obtain a valid proxy from your broker or other agent. Follow the instructions from your broker or other agent included with these proxy materials, or contact your broker or bank to request a proxy form. In order to login to the online 2024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are scheduled for a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five proposals scheduled for a vote at the 2024 Annual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1 – To elect two Class I directors to hold office until the 2027 Annual Meeting of Stockholders and until their successors are elected and qualified;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2 – To approve the Amended and Restated 2014 Equity Incentive Award Plan;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3 – To approve the Amended and Restated 2014 Employee Stock Purchase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4 – To approve, on a non-binding, advisory basis, the compensation of our named executive officers, as disclosed in this proxy statement pursuant to the compensation disclosure rules of the SEC, or Say-on-Pay;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5 – To ratify the selection, by the Audit and Compliance Committee of our board of directors, of Ernst &amp; Young LLP as the independent registered public accounting firm of the Company for the fiscal year ending December 31, 2024.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Proposal No. 1, you may either vote “</w:t>
      </w:r>
      <w:r>
        <w:rPr>
          <w:rFonts w:ascii="Times New Roman;Times;serif" w:hAnsi="Times New Roman;Times;serif"/>
          <w:b/>
          <w:color w:val="000000"/>
          <w:sz w:val="20"/>
        </w:rPr>
        <w:t>FOR</w:t>
      </w:r>
      <w:r>
        <w:rPr>
          <w:rFonts w:ascii="Times New Roman;Times;serif" w:hAnsi="Times New Roman;Times;serif"/>
          <w:color w:val="000000"/>
          <w:sz w:val="20"/>
        </w:rPr>
        <w:t>” all nominees to the board of directors or you may “</w:t>
      </w:r>
      <w:r>
        <w:rPr>
          <w:rFonts w:ascii="Times New Roman;Times;serif" w:hAnsi="Times New Roman;Times;serif"/>
          <w:b/>
          <w:color w:val="000000"/>
          <w:sz w:val="20"/>
        </w:rPr>
        <w:t>WITHHOLD</w:t>
      </w:r>
      <w:r>
        <w:rPr>
          <w:rFonts w:ascii="Times New Roman;Times;serif" w:hAnsi="Times New Roman;Times;serif"/>
          <w:color w:val="000000"/>
          <w:sz w:val="20"/>
        </w:rPr>
        <w:t>” your vote for any nominee you specify. For Proposals No. 2, No. 3, No. 4, and No. 5 you may either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xml:space="preserve">” or you may abstain from voting.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as follows: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online at the virtual 2024 Annual Meeting or vote by internet, telephone or by mail. Whether or not you plan to attend the 2024 Annual Meeting online, please vote as soon as possible to ensure your vote is counted. You may still attend the 2024 Annual Meeting online and vote online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By Attending the 2024 Annual Meeting Online</w:t>
            </w:r>
            <w:r>
              <w:rPr>
                <w:rFonts w:ascii="Times New Roman;Times;serif" w:hAnsi="Times New Roman;Times;serif"/>
                <w:color w:val="000000"/>
                <w:sz w:val="20"/>
              </w:rPr>
              <w:t xml:space="preserve">. You may vote online at the 2024 Annual Meeting by attending the 2024 Annual Meeting online via live audio-only webcast at </w:t>
            </w:r>
            <w:r>
              <w:rPr>
                <w:rFonts w:ascii="Times New Roman;Times;serif" w:hAnsi="Times New Roman;Times;serif"/>
                <w:i/>
                <w:color w:val="000000"/>
                <w:sz w:val="20"/>
              </w:rPr>
              <w:t>www.virtualshareholdermeeting.com/ARDX2024</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by internet or telephone</w:t>
            </w:r>
            <w:r>
              <w:rPr>
                <w:rFonts w:ascii="Times New Roman;Times;serif" w:hAnsi="Times New Roman;Times;serif"/>
                <w:color w:val="000000"/>
                <w:sz w:val="20"/>
              </w:rPr>
              <w:t xml:space="preserve">. You may submit your proxy by following the instructions provided with your proxy materials and on your proxy card or voting instruction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by mail</w:t>
            </w:r>
            <w:r>
              <w:rPr>
                <w:rFonts w:ascii="Times New Roman;Times;serif" w:hAnsi="Times New Roman;Times;serif"/>
                <w:color w:val="000000"/>
                <w:sz w:val="20"/>
              </w:rPr>
              <w:t xml:space="preserve">. You may submit your proxy by mail by completing and signing your proxy card and mailing it in the enclosed envelope. Your shares will be voted as you have instructed.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 w:name="ny20024289x1_def14a_103-proxy_pg3"/>
        <w:bookmarkEnd w:id="1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Alternatively, you may vote by internet or telephone as instructed by your broker or other agent. To vote online at the 2024 Annual Meeting, you must obtain a valid proxy from your broker or other agent. Follow the instructions from your broker or other agent included with these proxy materials, or contact your broker or bank to request a proxy form.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the Company’s common stock you owned as of April 15, 2024.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return a signed and dated proxy card without marking any voting selections, your shares will be voted “</w:t>
      </w:r>
      <w:r>
        <w:rPr>
          <w:rFonts w:ascii="Times New Roman;Times;serif" w:hAnsi="Times New Roman;Times;serif"/>
          <w:b/>
          <w:color w:val="000000"/>
          <w:sz w:val="20"/>
        </w:rPr>
        <w:t>FOR</w:t>
      </w:r>
      <w:r>
        <w:rPr>
          <w:rFonts w:ascii="Times New Roman;Times;serif" w:hAnsi="Times New Roman;Times;serif"/>
          <w:color w:val="000000"/>
          <w:sz w:val="20"/>
        </w:rPr>
        <w:t>” the election of each nominee for director (Proposal No. 1), “</w:t>
      </w:r>
      <w:r>
        <w:rPr>
          <w:rFonts w:ascii="Times New Roman;Times;serif" w:hAnsi="Times New Roman;Times;serif"/>
          <w:b/>
          <w:color w:val="000000"/>
          <w:sz w:val="20"/>
        </w:rPr>
        <w:t>FOR</w:t>
      </w:r>
      <w:r>
        <w:rPr>
          <w:rFonts w:ascii="Times New Roman;Times;serif" w:hAnsi="Times New Roman;Times;serif"/>
          <w:color w:val="000000"/>
          <w:sz w:val="20"/>
        </w:rPr>
        <w:t>” the approval of the Amended and Restated 2014 Equity Incentive Award Plan (Proposal No. 2), “</w:t>
      </w:r>
      <w:r>
        <w:rPr>
          <w:rFonts w:ascii="Times New Roman;Times;serif" w:hAnsi="Times New Roman;Times;serif"/>
          <w:b/>
          <w:color w:val="000000"/>
          <w:sz w:val="20"/>
        </w:rPr>
        <w:t>FOR</w:t>
      </w:r>
      <w:r>
        <w:rPr>
          <w:rFonts w:ascii="Times New Roman;Times;serif" w:hAnsi="Times New Roman;Times;serif"/>
          <w:color w:val="000000"/>
          <w:sz w:val="20"/>
        </w:rPr>
        <w:t>” the approval of the Amended and Restated 2014 Employee Stock Purchase Plan (Proposal No. 3)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(Proposal No. 4) and “</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selection of Ernst &amp; Young LLP as the independent registered public accounting firm of the Company for the fiscal year ending December 31, 2024 (Proposal No. 5). If any other matter is properly presented at the 2024 Annual Meeting, your proxyholder (one of the individuals named on your proxy card) will vote your shares using his or her best judgment.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Morrow Sodali, LLC, or Morrow, as the proxy solicitor for the 2024 Annual Meeting for an approximate fee of $25,000 plus fees for additional services, if needed. We have also agreed to reimburse Morrow for its reasonable out-of-pocket expenses.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proxy card?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proxy card, your shares are registered in more than one name or are registered in different accounts. In order to vote all the shares you own, you must return each proxy card.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2024 Annual Meeting. If you are the stockholder of record of your shares, you may revoke your proxy in any one of three ways: </w:t>
      </w:r>
    </w:p>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bearing a date later than the date of the original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bearing a date later than the date of the original proxy, that you are revoking your proxy to the Company’s Chief Legal and Administrative Officer at the following email address: general-counsel@ardelyx.com.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virtual 2024 Annual Meeting and vote online. Simply attending the 2024 Annual Meeting online will not, by itself, revoke your proxy.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your broker or other agent, you should follow the instructions provided by your broker or agent to change your vote.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are present in attendance at the virtual 2024 Annual Meeting. On the Record Date, there were 233,976,572 shares outstanding and entitled to vote. Accordingly, the holders of 116,988,287 shares must be present at the 2024 Annual Meeting to have a quorum. Your shares will be counted toward the quorum at the 2024 Annual Meeting only if you vote online at the meeting, or you submit a valid proxy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24289x1_def14a_103-proxy_pg4"/>
        <w:bookmarkEnd w:id="1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(as described below) will be counted towards the quorum requirement. If there is no quorum, the chairperson of the meeting or the holders of a majority of shares present and entitled to vote at the meeting or represented by proxy may adjourn the 2024 Annual Meeting to another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election of directors (Proposal 1),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WITHHOLD</w:t>
      </w:r>
      <w:r>
        <w:rPr>
          <w:rFonts w:ascii="Times New Roman;Times;serif" w:hAnsi="Times New Roman;Times;serif"/>
          <w:color w:val="000000"/>
          <w:sz w:val="20"/>
        </w:rPr>
        <w:t>” authority to vote for each of the nominees for the Board. If you “</w:t>
      </w:r>
      <w:r>
        <w:rPr>
          <w:rFonts w:ascii="Times New Roman;Times;serif" w:hAnsi="Times New Roman;Times;serif"/>
          <w:b/>
          <w:color w:val="000000"/>
          <w:sz w:val="20"/>
        </w:rPr>
        <w:t>WITHHOLD</w:t>
      </w:r>
      <w:r>
        <w:rPr>
          <w:rFonts w:ascii="Times New Roman;Times;serif" w:hAnsi="Times New Roman;Times;serif"/>
          <w:color w:val="000000"/>
          <w:sz w:val="20"/>
        </w:rPr>
        <w:t xml:space="preserve">” authority to vote with respect to one or more director nominees, your vote will have no effect on the election of such nominees. Broker non-votes will have no effect on the election of the nominees.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approval of the Amended and Restated 2014 Equity Incentive Award Plan (Proposal 2),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approval of the Amended and Restated 2014 Employee Stock Purchase Plan (Proposal 3),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Say-on-Pay proposal (Proposal 4),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ratification of Ernst &amp; Young LLP as of our independent registered public accounting firm for the year ending December 31, 2024 (Proposal 5),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Votes will be counted by the Inspector of Elections appointed for the 2024 Annual Meeting. The Inspector of Elections will separately count “</w:t>
      </w:r>
      <w:r>
        <w:rPr>
          <w:rFonts w:ascii="Times New Roman;Times;serif" w:hAnsi="Times New Roman;Times;serif"/>
          <w:b/>
          <w:color w:val="000000"/>
          <w:sz w:val="20"/>
        </w:rPr>
        <w:t>FOR</w:t>
      </w:r>
      <w:r>
        <w:rPr>
          <w:rFonts w:ascii="Times New Roman;Times;serif" w:hAnsi="Times New Roman;Times;serif"/>
          <w:color w:val="000000"/>
          <w:sz w:val="20"/>
        </w:rPr>
        <w:t>” votes for the election of directors (Proposal 1),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of the Amended and Restated 2014 Equity Incentive Award Plan (Proposal 2),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of the Amended and Restated 2014 Employee Stock Purchase Plan (Proposal 3)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on a non-binding, advisory basis, of the Say-on-Pay (Proposal 4) and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xml:space="preserve">” votes, abstentions and, if any, broker non-votes for the ratification of the selection of Ernst &amp; Young LLP as the independent registered accounting firm of the Company for the fiscal year ending December 31, 2024 (Proposal 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2 to approve the Amended and Restated 2014 Equity Incentive Award Plan, Proposal No. 3 to approve the Amended and Restated 2014 Employee Stock Purchase Plan and Proposal No. 4 to approve the Say-on-Pay are “non-routine” matters, but Proposal No. 5 to ratify the selection of Ernst &amp; Young LLP as the independent registered public accounting firm for the Company for the fiscal year ending December 31, 2024 is a “routine”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24289x1_def14a_103-proxy_pg5"/>
        <w:bookmarkEnd w:id="1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1 - To elect two Class I directors to hold office until the 2027 Annual Meeting of Stockholders and until their successors are elected and qualified. Directors shall be elected by a plurality of the votes cast, which means that the two nominees receiving the most “</w:t>
            </w:r>
            <w:r>
              <w:rPr>
                <w:rFonts w:ascii="Times New Roman;Times;serif" w:hAnsi="Times New Roman;Times;serif"/>
                <w:b/>
                <w:color w:val="000000"/>
                <w:sz w:val="20"/>
              </w:rPr>
              <w:t>FOR</w:t>
            </w:r>
            <w:r>
              <w:rPr>
                <w:rFonts w:ascii="Times New Roman;Times;serif" w:hAnsi="Times New Roman;Times;serif"/>
                <w:color w:val="000000"/>
                <w:sz w:val="20"/>
              </w:rPr>
              <w:t>” votes (from the votes of shares present in attendance or represented by proxy and entitled to vote on the election of directors) will be elected. “</w:t>
            </w:r>
            <w:r>
              <w:rPr>
                <w:rFonts w:ascii="Times New Roman;Times;serif" w:hAnsi="Times New Roman;Times;serif"/>
                <w:b/>
                <w:color w:val="000000"/>
                <w:sz w:val="20"/>
              </w:rPr>
              <w:t>WITHHOLD</w:t>
            </w:r>
            <w:r>
              <w:rPr>
                <w:rFonts w:ascii="Times New Roman;Times;serif" w:hAnsi="Times New Roman;Times;serif"/>
                <w:color w:val="000000"/>
                <w:sz w:val="20"/>
              </w:rPr>
              <w:t xml:space="preserve">” votes and broker non-votes will not be counted towards the vote total for this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2 – To approve the Amended and Restated 2014 Equity Incentive Award Plan. This proposal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3 – To approve the Amended and Restated 2014 Employee Stock Purchase Plan. This proposal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4 - To approve, on a non-binding, advisory basis, the Say-on-Pay proposal. The Say-on-Pay proposal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the vote on Proposal No. 4 is advisory, it will not be binding on the board of directors, the compensation committee of the board of directors or the Company. With respect to Proposal No. 4, the board of directors will review the voting results and take them into consideration when making future decisions about executive compensation.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5 - To ratify the selection of Ernst &amp; Young LLP as the independent registered public accounting firm of the Company for the fiscal year ending December 31, 2024. The ratification of Ernst &amp; Young LLP as our independent registered public accounting firm for the year ending December 31, 2024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Because Proposal No. 5 is considered a “routine” matter, no broker non-votes are expected in connection with this proposal.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Virtual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year’s Annual Meeting will be held entirely online. Stockholders of record as of April 15, 2024 will be able to attend and participate in the 2024 Annual Meeting online via live audio-only webcast at </w:t>
      </w:r>
      <w:r>
        <w:rPr>
          <w:rFonts w:ascii="Times New Roman;Times;serif" w:hAnsi="Times New Roman;Times;serif"/>
          <w:i/>
          <w:color w:val="000000"/>
          <w:sz w:val="20"/>
        </w:rPr>
        <w:t>www.virtualshareholdermeeting.com/ARDX2024</w:t>
      </w:r>
      <w:r>
        <w:rPr>
          <w:rFonts w:ascii="Times New Roman;Times;serif" w:hAnsi="Times New Roman;Times;serif"/>
          <w:color w:val="000000"/>
          <w:sz w:val="20"/>
        </w:rPr>
        <w:t xml:space="preserve">. You will be able to vote your shares electronically by Internet and 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2024 Annual Meeting online, we recommend that you also vote by proxy as described herein so that your vote will be counted if you decide not to attend the 2024 Annual Meeting.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Access to the Audio Webcast of the 2024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live audio webcast of the 2024 Annual Meeting will begin promptly at 8:30 a.m. Eastern Time. Online check-in will begin at 8:15 a.m. Eastern Time and should allow ample time for the check-in procedures. We encourage our stockholders to access the meeting prior to the start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24289x1_def14a_103-proxy_pg6"/>
        <w:bookmarkEnd w:id="1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Log in Instructions.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To attend the online 2024 Annual Meeting, you will need to login at </w:t>
      </w:r>
      <w:r>
        <w:rPr>
          <w:rFonts w:ascii="Times New Roman;Times;serif" w:hAnsi="Times New Roman;Times;serif"/>
          <w:b w:val="false"/>
          <w:i/>
          <w:color w:val="000000"/>
          <w:sz w:val="20"/>
        </w:rPr>
        <w:t>www.virtualshareholdermeeting.com/ARDX2024</w:t>
      </w:r>
      <w:r>
        <w:rPr>
          <w:rFonts w:ascii="Times New Roman;Times;serif" w:hAnsi="Times New Roman;Times;serif"/>
          <w:b w:val="false"/>
          <w:i w:val="false"/>
          <w:caps w:val="false"/>
          <w:smallCaps w:val="false"/>
          <w:color w:val="000000"/>
          <w:sz w:val="20"/>
        </w:rPr>
        <w:t xml:space="preserve">. To attend the 2024 Annual Meeting, you will need the 16-digit control number included in on your proxy card or on the instructions that accompanied your proxy materials.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Voting. You may vote online during the 2024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To do so, go to </w:t>
      </w:r>
      <w:r>
        <w:rPr>
          <w:rFonts w:ascii="Times New Roman;Times;serif" w:hAnsi="Times New Roman;Times;serif"/>
          <w:b w:val="false"/>
          <w:i/>
          <w:color w:val="000000"/>
          <w:sz w:val="20"/>
        </w:rPr>
        <w:t>www.virtualshareholder.com/ARDX2024</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and have available the 16-digit control number included on your proxy card or on the instructions that accompanied your proxy materials.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Submitting Questions During the virtual 2024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During the 2024 Annual Meeting, you will be able to submit questions in the question box provided at </w:t>
      </w:r>
      <w:r>
        <w:rPr>
          <w:rFonts w:ascii="Times New Roman;Times;serif" w:hAnsi="Times New Roman;Times;serif"/>
          <w:b w:val="false"/>
          <w:i/>
          <w:color w:val="000000"/>
          <w:sz w:val="20"/>
        </w:rPr>
        <w:t>www.virtualshareholdermeeting.com/ARDX2024</w:t>
      </w:r>
      <w:r>
        <w:rPr>
          <w:rFonts w:ascii="Times New Roman;Times;serif" w:hAnsi="Times New Roman;Times;serif"/>
          <w:b w:val="false"/>
          <w:i w:val="false"/>
          <w:caps w:val="false"/>
          <w:smallCaps w:val="false"/>
          <w:color w:val="000000"/>
          <w:sz w:val="20"/>
        </w:rPr>
        <w:t xml:space="preserve">. We will respond to as many inquiries at the 2024 Annual Meeting as time allows.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Technical Assistance.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Beginning 15 minutes prior to the start of and during the virtual 2024 Annual Meeting, we will have a support team ready to assist stockholders with any technical difficulties they may have accessing or hearing the virtual meeting. If you encounter difficulties accessing the virtual 2024 Annual Meeting during check-in or meeting time, please call the technical support number that will be posted on the 2024 Annual Meeting website log-in page.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2024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disclose final voting results in a Current Report on Form 8-K filed with the Securities and Exchange Commission within four business days after the 2024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due for next year’s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the proxy materials for the 2025 Annual Meeting of Stockholders, your proposal must be submitted in writing by January 1, 2025, to the Company’s Corporate Secretary at Ardelyx, Inc., 400 Fifth Avenue, Suite 210, Waltham, Massachusetts 02451. However, if the meeting is more than 30 days before or after June 14, 2025, then the deadline will be a reasonable time before we begin to print and mail our proxy materials for that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wish to submit a proposal before the stockholders or nominate a director at the 2025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14, 2025 and March 16, 2025. However, if the date of the 2025 annual meeting of stockholders is more than 30 days before or more than 60 days after June 14, 2025, notice must be received not later than the 90th day prior to the date of the 2025 annual meeting of stockholders or, if later, the 10th day following the day on which public disclosure of the date of the 2025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no later than 60 days prior to the anniversary of the previous year’s annual meeting (no later than April 15, 2025 for the 2025 annual meeting of stockholders). If the date of the 2025 annual meeting of stockholders is changed by more than 30 days from the anniversary of the 2024 Annual Meeting, then notice must be provided by the later of 60 days prior to the date of the 2025 annual meeting of stockholders or the 10th calendar day following the day on which public announcement of the date of the 2025 annual meeting of stockholders is first made.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24289x1_def14a_104-prop1_pg1"/>
        <w:bookmarkEnd w:id="1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P1"/>
      <w:bookmarkEnd w:id="16"/>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directors divided into the following three classes: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 directors are William A. Bertrand, Jr., Esq., Onaiza Cadoret-Manier and Jan Lundberg, Ph.D., and their terms will expire at the 2024 Annual Meeting of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 directors are David Mott and Michael Raab, and their terms will expire at the 2025 Annual Meeting of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III directors are Robert Bazemore, Muna Bhanji, R.Ph, and Richard Rodgers, and their terms will expire at the 2026 Annual Meeting of Stockholders.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Two of our current Class I directors, William A. Bertrand, Jr., Esq. and Onaiza Cadoret-Manier, have been nominated to serve as Class I directors and have agreed to stand for election. Dr. Lundberg has not been nominated for re-election and will cease being a director at the conclusion of the 2024 Annual Meeting. The size of the Board will be reduced to seven members effective immediately following the 2024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the nominees for Class I are elected at the 2024 Annual Meeting, then each nominee will serve for a three-year term expiring at the 2027 Annual Meeting of Stockholders, and until his or her successor is elected and qualified, or until his or her earlier death, resignation or removal. 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the two nominees for Class 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and discussion of the specific attributes, qualifications, experience and skills of each nominee for director and each director whose term will continue after the 2024 Annual Meeting, including information with respect to their ages as of March 31, 2024. Our board of directors and management encourage each nominee for director and each continuing director to attend the 2024 Annual Meeting.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EACH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TWO CLASS I NOMINEES FOR DIRECTOR.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NOMINEES FOR DIRECTOR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be elected for a three year term expiring at the 2027Annual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William Bertrand, Jr., Esq.</w:t>
      </w:r>
      <w:r>
        <w:rPr>
          <w:rFonts w:ascii="Times New Roman;Times;serif" w:hAnsi="Times New Roman;Times;serif"/>
          <w:b w:val="false"/>
          <w:color w:val="000000"/>
          <w:sz w:val="20"/>
        </w:rPr>
        <w:t xml:space="preserve">, age 59, has served on our board of directors since October 2015. Mr. Bertrand has 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completed a 12 year career at Medimmune Limited, a biotechnology company and subsidiary of AstraZeneca Plc (NYSE: 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 w:name="ny20024289x1_def14a_104-prop1_pg2"/>
        <w:bookmarkEnd w:id="1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Onaiza Cadoret-Manier</w:t>
      </w:r>
      <w:r>
        <w:rPr>
          <w:rFonts w:ascii="Times New Roman;Times;serif" w:hAnsi="Times New Roman;Times;serif"/>
          <w:b w:val="false"/>
          <w:color w:val="000000"/>
          <w:sz w:val="20"/>
        </w:rPr>
        <w:t xml:space="preserve">, age 60, has served on our board of directors since March 2020. From March 2022 to March 2024, Ms. Cadoret-Manier served as Chief Global Product Strategy and Operations Officer at Ionis Pharmaceuticals (Nasdaq: IONS), and previously served as Chief Corporate Development and Commercial Officer at Ionis Pharmaceuticals from January 2020 to March 2022. Ms. Cadoret-Manier was previously the Chief Commercial Officer for Grail Biosciences, an early detection genomics company, from June 2018 until June 2019. Prior to Grail, from April 2011 until June 2018, she was Vice President of the Respiratory Franchise at Genentech, a biopharmaceutical company. Ms. Cadoret-Manier also has held multiple senior management positions overseeing corporate strategy, alliances, and marketing and sales for numerous disease areas for Genentech, Pfizer and Amylin Pharmaceuticals. Ms. Cadoret-Manier serves on the board of directors of Ventyx Biosciences (Nasdaq: VTYX).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DIRECTORS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continue in office until the 2025 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Mott</w:t>
      </w:r>
      <w:r>
        <w:rPr>
          <w:rFonts w:ascii="Times New Roman;Times;serif" w:hAnsi="Times New Roman;Times;serif"/>
          <w:b w:val="false"/>
          <w:color w:val="000000"/>
          <w:sz w:val="20"/>
        </w:rPr>
        <w:t xml:space="preserve">, age 58, has served on our board of directors since March 2009 and as the chairperson of the board of 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 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chairperson of the board of directors for Adaptimmune (Nasdaq: ADAP), and Mersana Therapeutics, Inc. (Nasdaq: MRSN), and serves on the board of directors of Novavax, Inc. (Nasdaq: NVAX). Additionally, he served as the chairperson of the board of directors of Imara Inc. from April 2016 to its acquisition by Enliven Therapeutics, Inc (Nasdaq: ELVN) in February 2023, and as the chairperson of the board of directors of Epizyme, Inc. (Nasdaq: EPZM) from December 2009 to its acquisition by Ipsen (Euronext: IPN; ADR: IPSEY) in August 2022.We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Raab</w:t>
      </w:r>
      <w:r>
        <w:rPr>
          <w:rFonts w:ascii="Times New Roman;Times;serif" w:hAnsi="Times New Roman;Times;serif"/>
          <w:b w:val="false"/>
          <w:color w:val="000000"/>
          <w:sz w:val="20"/>
        </w:rPr>
        <w:t xml:space="preserve">, age 59, has served as our President and Chief Executive Officer since March 2009 and as a director since 2008. 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chairperson of the board of directors of Amicus Therapeutics, Inc. (Nasdaq: FOLD) and Tempest Therapeutics (Nasdaq CM: TPST). Mr. Raab also currently serves as a member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DIRECTORS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continue in office until the 2026 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Bazemore</w:t>
      </w:r>
      <w:r>
        <w:rPr>
          <w:rFonts w:ascii="Times New Roman;Times;serif" w:hAnsi="Times New Roman;Times;serif"/>
          <w:b w:val="false"/>
          <w:color w:val="000000"/>
          <w:sz w:val="20"/>
        </w:rPr>
        <w:t xml:space="preserve">, age 56, has served on our board of directors since June 2016. Mr. Bazemore served as President and Chief Executive Officer and a director of Epizyme, Inc., a biopharmaceutical company, from September 2015 until the company was acquired by Ipsen S.A. (EPN: IPN) in August 2021. Prior to joining Epizyme, Mr. Bazemore served as Chief Operating Officer of Synageva BioPharma Corp., which was acquired by Alexion Pharmaceuticals (Nasdaq: ALXN) for $8.4 billion in July 2015. Prior to that, Mr. Bazemore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24289x1_def14a_104-prop1_pg3"/>
        <w:bookmarkEnd w:id="1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of Janssen Biotech, part of the Janssen Pharmaceutical Companies of Johnson &amp; Johnson (NYSE: JNJ). Mr. Bazemore currently serves on the board of directors of Nuvation Bio, Inc. (NYSE: NUVB).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Muna Bhanji, R.Ph</w:t>
      </w:r>
      <w:r>
        <w:rPr>
          <w:rFonts w:ascii="Times New Roman;Times;serif" w:hAnsi="Times New Roman;Times;serif"/>
          <w:b w:val="false"/>
          <w:color w:val="000000"/>
          <w:sz w:val="20"/>
        </w:rPr>
        <w:t xml:space="preserve">, age 61, has served on our board of directors since March 2021. Ms. Bhanji has served as the founder and principal of Tiba Global Access, LLC, an independent senior advisory practice focused on commercialization and market access strategy development,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Lumanity, a portfolio company of Arsenal Capital Partners, and Corus International, an international humanitarian organization committed to poverty alleviation.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Richard Rodgers</w:t>
      </w:r>
      <w:r>
        <w:rPr>
          <w:rFonts w:ascii="Times New Roman;Times;serif" w:hAnsi="Times New Roman;Times;serif"/>
          <w:b w:val="false"/>
          <w:color w:val="000000"/>
          <w:sz w:val="20"/>
        </w:rPr>
        <w:t xml:space="preserve">, age 57, has served on our board of directors since March 2014. From March 2010 until August 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(OTC: ESALF), a pharmaceutical company, in January 2008. Mr. Rodgers has held finance and accounting positions at several private and public companies, including Arthur Anderson &amp; Co. Mr. Rodgers currently serves as a director of Novavax, Inc. (Nasdaq: NVAX), Ocuphire Pharma, Inc. (Nasdaq: OCUP), and Sagimet Biosciences, Inc. (Nasdaq: SGMT).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 w:name="ny20024289x1_def14a_105-prop2_pg1"/>
        <w:bookmarkEnd w:id="1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P2"/>
      <w:bookmarkEnd w:id="20"/>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AMENDED AND RESTATED 2014 EQUITY INCENTIVE AWARD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the amendment and restatement of our 2014 Equity Incentive Award Plan (the “2014 Plan”). The proposed amended and restated 2014 Plan is referred to herein as the “Restated Plan.” Our board of directors approved the Restated Plan on April 29, 2024, subject to stockholder approval. The Restated Plan will become effective as of the date our stockholders approve the Restated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Proposed Amendments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Increase in Share Reserve and Elimination of Evergreen</w:t>
      </w:r>
      <w:r>
        <w:rPr>
          <w:rFonts w:ascii="Times New Roman;Times;serif" w:hAnsi="Times New Roman;Times;serif"/>
          <w:i w:val="false"/>
          <w:caps w:val="false"/>
          <w:smallCaps w:val="false"/>
          <w:color w:val="000000"/>
          <w:sz w:val="20"/>
        </w:rPr>
        <w:t xml:space="preserve">. We strongly believe that an employee equity compensation program is a necessary and powerful incentive and retention tool that benefits all stockholders. As of April 15, 2024, the total number of shares of our common stock reserved for issuance under the 2014 Plan since inception was 39,457,566. As of April 15, 2024, the aggregate number of shares of common stock subject to outstanding awards under the 2014 Plan was 29,089,596 and a total of 2,004,490 shares of common stock remained available under the 2014 Plan for future issuance. The 2014 Plan contained an “evergreen provision” that allowed for an annual increase in the number of shares available for issuance under the 2014 Plan on January 1 of each year during the ten year term of the 2014 Plan, beginning on January 1, 2015, equal to the lesser of 4% of our outstanding common stock on the last day of the immediately preceding fiscal year or a smaller amount determined by our board of directors. The automatic increases pursuant to the evergreen provision of the 2014 Plan have been made since 2015, and these increases are included in the shares available for issuance under the 2014 Plan set forth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2014 Plan also provides that the number of shares reserved for issuance under the 2014 Plan may be increased from time to time by the number of shares of common stock subject to awards granted under our 2008 Stock Incentive Plan, as amended (the “Prior Plan”), that are repurchased, forfeited, expire or are cancelled on or after the effective date of the 2014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Restated Plan, an additional 19,000,000 shares will be reserved for issuance under the Restated Plan over the existing share reserve available under the 2014 Plan. Additionally, the evergreen provision has been removed from the Restated Plan such that any increase to the total number of shares of common stock that may be issued under the Restated Plan must be approved by our stockholders. In addition to increases as a result of repurchases, forfeitures, expirations and cancellations of awards under the Prior Plan, shares reserved for issuance under the Restated Plan will be increased by the number of shares of common stock subject to awards granted under our 2016 Employment Commencement Incentive Plan (the “Inducement Plan”) that are repurchased, forfeited, expire or are cancelled on or after the effective date of the Restated Plan. No new awards will be made under the Inducement Plan after the effective date of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the foregoing share numbers may be adjusted for changes in our capitalization and certain corporate transactions, as described below under the heading “Adjustments.”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 of Incentive Stock Option Limitation. </w:t>
      </w:r>
      <w:r>
        <w:rPr>
          <w:rFonts w:ascii="Times New Roman;Times;serif" w:hAnsi="Times New Roman;Times;serif"/>
          <w:i w:val="false"/>
          <w:caps w:val="false"/>
          <w:smallCaps w:val="false"/>
          <w:color w:val="000000"/>
          <w:sz w:val="20"/>
        </w:rPr>
        <w:t xml:space="preserve">The Restated Plan contains a limit of 58,457,566 shares that may be issued upon exercise of incentive stock options, or ISOs, following the effective date of the Restated Plan.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Prohibition on Liberal Share Recycling. </w:t>
      </w:r>
      <w:r>
        <w:rPr>
          <w:rFonts w:ascii="Times New Roman;Times;serif" w:hAnsi="Times New Roman;Times;serif"/>
          <w:i w:val="false"/>
          <w:caps w:val="false"/>
          <w:smallCaps w:val="false"/>
          <w:color w:val="000000"/>
          <w:sz w:val="20"/>
        </w:rPr>
        <w:t xml:space="preserve">The Restated Plan prohibits shares tendered or withheld for the payment of tax obligations on an award or in payment of the exercise price of an option from being added back to the share reserve, in addition to prohibiting other practices considered to be liberal share recycling.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Removal of Fixed Term; Extension of Period to Grant Incentive Stock Options</w:t>
      </w:r>
      <w:r>
        <w:rPr>
          <w:rFonts w:ascii="Times New Roman;Times;serif" w:hAnsi="Times New Roman;Times;serif"/>
          <w:i w:val="false"/>
          <w:caps w:val="false"/>
          <w:smallCaps w:val="false"/>
          <w:color w:val="000000"/>
          <w:sz w:val="20"/>
        </w:rPr>
        <w:t xml:space="preserve">. Under the 2014 Plan, no new awards could be made after June 23, 2024. The Restated Plan will not have a fixed term and will continue until terminated by our board of directors or the share reserve thereunder is exhausted. However, in no event may ISOs be granted under the Restated Plan after the tenth anniversary of the date the Restated Plan was approved by our board of directors.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Other Amendments. </w:t>
            </w:r>
            <w:r>
              <w:rPr>
                <w:rFonts w:ascii="Times New Roman;Times;serif" w:hAnsi="Times New Roman;Times;serif"/>
                <w:color w:val="000000"/>
                <w:sz w:val="20"/>
              </w:rPr>
              <w:t xml:space="preserve">The Restated Plan makes certain changes to the 2014 Plan intended to reflect compensation and governance best practices or to conform the plan to our current practices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Limitations on Dividend Payments on Unvested Awards</w:t>
            </w:r>
            <w:r>
              <w:rPr>
                <w:rFonts w:ascii="Times New Roman;Times;serif" w:hAnsi="Times New Roman;Times;serif"/>
                <w:color w:val="000000"/>
                <w:sz w:val="20"/>
              </w:rPr>
              <w:t xml:space="preserve">. The Restated Plan provides that dividends and dividend equivalents may not be paid on awards subject to vesting conditions unless and until such conditions are met.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24289x1_def14a_105-prop2_pg2"/>
        <w:bookmarkEnd w:id="21"/>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Removal of Section 162(m) Provisions</w:t>
            </w:r>
            <w:r>
              <w:rPr>
                <w:rFonts w:ascii="Times New Roman;Times;serif" w:hAnsi="Times New Roman;Times;serif"/>
                <w:color w:val="000000"/>
                <w:sz w:val="20"/>
              </w:rPr>
              <w:t xml:space="preserve">. Section 162(m) of the Internal Revenue Code, or the Code, prior to the Tax Cuts and Jobs Act of 2017 (the “TCJA”), allowed performance-based compensation that met certain requirements to be tax deductible regardless of amount. This qualified performance-based compensation exception was repealed as part of the TCJA. We have removed certain provisions from the Restated Plan which were otherwise required for awards to qualify as performance-based compensation under the Section 162(m) exception prior to its repeal, but have retained the limit on the number of shares subject to awards that may be granted to an individual in any calendar year and the limit on the amount of cash that may be paid pursuant to awards granted to an individual in any calendar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Tax Withholding</w:t>
            </w:r>
            <w:r>
              <w:rPr>
                <w:rFonts w:ascii="Times New Roman;Times;serif" w:hAnsi="Times New Roman;Times;serif"/>
                <w:color w:val="000000"/>
                <w:sz w:val="20"/>
              </w:rPr>
              <w:t xml:space="preserve">. The Restated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is not being amended in any material respect other than to reflect the changes described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Incentive Awards Are Critical to Long-Term Stockholder Value Creation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 adoption of the Restated Plan is essential to our success. Equity awards are intended to motivate high levels of performance, align the interests of our directors, employees and consultants with those of our stockholders by giving directors, employees and consultants the perspective of an owner with an equity stake in our company and providing a means of recognizing their contributions to the success of our company. Our board of directors and management believe that equity awards are necessary to remain competitive in our industry and are essential to recruiting and retaining the highly qualified employees who help our company meet its goals.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equity incentive program is broad-based. As of April 15, 2024, all of our employees had received grants of equity awards, and all seven of our non-employee directors had received grants of equity awards. We do not typically make new grants of equity awards to our consultants. We believe we must continue to offer a competitive equity compensation plan in order to attract, retain and motivate the industry-leading talent imperative to our continued growth and success.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 w:name="ny20024289x1_def14a_105-prop2_pg3"/>
        <w:bookmarkEnd w:id="2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Awards Under Existing Plans — Ability to Grant Future Equity Awards is Limited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information about the number of shares that were subject to various outstanding equity awards under our equity plans, and the shares remaining available for issuance under each such plan, each at April 15, 2024. As of April 15, 2024, there were no outstanding equity awards under the Prior Plan and no shares were reserved for future issuance under the Prior Plan. The existing 2014 Plan and the Inducement Plan are the only equity incentive plans we currently have in place under which we can grant awards (other than the shares available for purchase under our 2014 Employee Stock Purchase Plan, or the 2014 ESPP). After June 23, 2024, despite shares remaining available for issuance under the 2014 Plan, under the terms of the 2014 Plan, we will no longer be permitted to make grants under the 2014 Plan unless the Restated Plan is approved. If the Restated Plan is approved, we will no longer make grants under the Inducement Plan following the effective date of the Restated Plan. </w:t>
      </w:r>
    </w:p>
    <w:tbl>
      <w:tblPr>
        <w:tblW w:w="10205" w:type="dxa"/>
        <w:jc w:val="left"/>
        <w:tblInd w:w="0" w:type="dxa"/>
        <w:tblLayout w:type="fixed"/>
        <w:tblCellMar>
          <w:top w:w="0" w:type="dxa"/>
          <w:left w:w="0" w:type="dxa"/>
          <w:bottom w:w="0" w:type="dxa"/>
          <w:right w:w="0" w:type="dxa"/>
        </w:tblCellMar>
      </w:tblPr>
      <w:tblGrid>
        <w:gridCol w:w="6840"/>
        <w:gridCol w:w="23"/>
        <w:gridCol w:w="23"/>
        <w:gridCol w:w="950"/>
        <w:gridCol w:w="23"/>
        <w:gridCol w:w="23"/>
        <w:gridCol w:w="1063"/>
        <w:gridCol w:w="23"/>
        <w:gridCol w:w="23"/>
        <w:gridCol w:w="1214"/>
      </w:tblGrid>
      <w:tr>
        <w:trPr/>
        <w:tc>
          <w:tcPr>
            <w:tcW w:w="68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63"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r>
              <w:rPr>
                <w:rFonts w:ascii="Times New Roman;Times;serif" w:hAnsi="Times New Roman;Times;serif"/>
                <w:b/>
                <w:color w:val="000000"/>
                <w:position w:val="5"/>
                <w:sz w:val="13"/>
                <w:sz w:val="16"/>
              </w:rPr>
              <w:t>(1)</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14"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Dollar Value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6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Inducement Plan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0"/>
              <w:jc w:val="left"/>
              <w:rPr>
                <w:color w:val="000000"/>
              </w:rPr>
            </w:pPr>
            <w:r>
              <w:rPr>
                <w:color w:val="000000"/>
              </w:rPr>
              <w:t> </w:t>
            </w:r>
          </w:p>
        </w:tc>
      </w:tr>
      <w:tr>
        <w:trPr/>
        <w:tc>
          <w:tcPr>
            <w:tcW w:w="6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outstanding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4,250,814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28,905,535 </w:t>
            </w:r>
          </w:p>
        </w:tc>
      </w:tr>
      <w:tr>
        <w:trPr/>
        <w:tc>
          <w:tcPr>
            <w:tcW w:w="6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price of outstanding options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4.5411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0"/>
              <w:jc w:val="left"/>
              <w:rPr>
                <w:color w:val="000000"/>
              </w:rPr>
            </w:pPr>
            <w:r>
              <w:rPr>
                <w:color w:val="000000"/>
              </w:rPr>
              <w:t> </w:t>
            </w:r>
          </w:p>
        </w:tc>
      </w:tr>
      <w:tr>
        <w:trPr/>
        <w:tc>
          <w:tcPr>
            <w:tcW w:w="6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remaining term of outstanding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0"/>
              <w:jc w:val="left"/>
              <w:rPr>
                <w:color w:val="000000"/>
              </w:rPr>
            </w:pPr>
            <w:r>
              <w:rPr>
                <w:color w:val="000000"/>
              </w:rPr>
              <w:t> </w:t>
            </w:r>
          </w:p>
        </w:tc>
      </w:tr>
      <w:tr>
        <w:trPr/>
        <w:tc>
          <w:tcPr>
            <w:tcW w:w="6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outstanding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2,346,364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15,955,275 </w:t>
            </w:r>
          </w:p>
        </w:tc>
      </w:tr>
      <w:tr>
        <w:trPr/>
        <w:tc>
          <w:tcPr>
            <w:tcW w:w="6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future issuance under the Inducement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5,294,251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36,000,907 </w:t>
            </w:r>
          </w:p>
        </w:tc>
      </w:tr>
      <w:tr>
        <w:trPr/>
        <w:tc>
          <w:tcPr>
            <w:tcW w:w="684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0"/>
              <w:jc w:val="left"/>
              <w:rPr>
                <w:color w:val="000000"/>
              </w:rPr>
            </w:pPr>
            <w:r>
              <w:rPr>
                <w:color w:val="000000"/>
              </w:rPr>
              <w:t> </w:t>
            </w:r>
          </w:p>
        </w:tc>
      </w:tr>
      <w:tr>
        <w:trPr/>
        <w:tc>
          <w:tcPr>
            <w:tcW w:w="68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2014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0"/>
              <w:jc w:val="left"/>
              <w:rPr>
                <w:color w:val="000000"/>
              </w:rPr>
            </w:pPr>
            <w:r>
              <w:rPr>
                <w:color w:val="000000"/>
              </w:rPr>
              <w:t> </w:t>
            </w:r>
          </w:p>
        </w:tc>
      </w:tr>
      <w:tr>
        <w:trPr/>
        <w:tc>
          <w:tcPr>
            <w:tcW w:w="6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outstanding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23,509,514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10.05%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$159,864,695 </w:t>
            </w:r>
          </w:p>
        </w:tc>
      </w:tr>
      <w:tr>
        <w:trPr/>
        <w:tc>
          <w:tcPr>
            <w:tcW w:w="6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price of outstanding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5.4232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0"/>
              <w:jc w:val="left"/>
              <w:rPr>
                <w:color w:val="000000"/>
              </w:rPr>
            </w:pPr>
            <w:r>
              <w:rPr>
                <w:color w:val="000000"/>
              </w:rPr>
              <w:t> </w:t>
            </w:r>
          </w:p>
        </w:tc>
      </w:tr>
      <w:tr>
        <w:trPr/>
        <w:tc>
          <w:tcPr>
            <w:tcW w:w="6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remaining term of outstanding options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0"/>
              <w:jc w:val="left"/>
              <w:rPr>
                <w:color w:val="000000"/>
              </w:rPr>
            </w:pPr>
            <w:r>
              <w:rPr>
                <w:color w:val="000000"/>
              </w:rPr>
              <w:t> </w:t>
            </w:r>
          </w:p>
        </w:tc>
      </w:tr>
      <w:tr>
        <w:trPr/>
        <w:tc>
          <w:tcPr>
            <w:tcW w:w="6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outstanding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5,580,082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2.38%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37,944,558 </w:t>
            </w:r>
          </w:p>
        </w:tc>
      </w:tr>
      <w:tr>
        <w:trPr/>
        <w:tc>
          <w:tcPr>
            <w:tcW w:w="6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future issuance under the 2014 Plan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2,004,490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0.86%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13,630,532 </w:t>
            </w:r>
          </w:p>
        </w:tc>
      </w:tr>
      <w:tr>
        <w:trPr/>
        <w:tc>
          <w:tcPr>
            <w:tcW w:w="68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0"/>
              <w:jc w:val="left"/>
              <w:rPr>
                <w:color w:val="000000"/>
              </w:rPr>
            </w:pPr>
            <w:r>
              <w:rPr>
                <w:color w:val="000000"/>
              </w:rPr>
              <w:t> </w:t>
            </w:r>
          </w:p>
        </w:tc>
      </w:tr>
      <w:tr>
        <w:trPr/>
        <w:tc>
          <w:tcPr>
            <w:tcW w:w="6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Restated Plan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0"/>
              <w:jc w:val="left"/>
              <w:rPr>
                <w:color w:val="000000"/>
              </w:rPr>
            </w:pPr>
            <w:r>
              <w:rPr>
                <w:color w:val="000000"/>
              </w:rPr>
              <w:t> </w:t>
            </w:r>
          </w:p>
        </w:tc>
      </w:tr>
      <w:tr>
        <w:trPr/>
        <w:tc>
          <w:tcPr>
            <w:tcW w:w="68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Proposed increase to share reserve under Restated Plan (over existing share reserve under 2014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19,000,000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8.12%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$129,200,000</w:t>
            </w:r>
          </w:p>
        </w:tc>
      </w:tr>
    </w:tbl>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233,976,572 shares of our common stock outstanding as of April 15, 2024. </w:t>
            </w:r>
          </w:p>
        </w:tc>
      </w:tr>
    </w:tbl>
    <w:tbl>
      <w:tblPr>
        <w:tblW w:w="6325" w:type="dxa"/>
        <w:jc w:val="left"/>
        <w:tblInd w:w="0" w:type="dxa"/>
        <w:tblLayout w:type="fixed"/>
        <w:tblCellMar>
          <w:top w:w="0" w:type="dxa"/>
          <w:left w:w="0" w:type="dxa"/>
          <w:bottom w:w="0" w:type="dxa"/>
          <w:right w:w="0" w:type="dxa"/>
        </w:tblCellMar>
      </w:tblPr>
      <w:tblGrid>
        <w:gridCol w:w="230"/>
        <w:gridCol w:w="60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the closing price of our common stock on April 15, 2024 of $6.80 per share.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for the Determination of the Share Reserve under the Restated Plan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determining whether to approve the Restated Plan, our board of directors considered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setting the size of the share reserve under the Restated Plan, as described above, our board of directors also considered the historical amounts of equity awards granted by our company in the past three years. In 2021, 2022 and 2023, equity awards representing a total of approximately 7,401,833 shares, 6,137,663 shares, and 8,208,310 shares, respectively, were granted under our 2014 Plan, for an annual equity burn rate of 3.73%, 4.71% and 3.53%, respectively. This level of equity awards represents a 3-year average burn rate attributable to our 2014 Plan of 3.99% of common shares outstanding. Equity burn rate is calculated by dividing the number of shares subject to equity awards granted during the fiscal year by the number of common shares outstanding at the end of the fiscal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expect the share authorization under the Restated Plan to provide us with enough shares for awards for approximately two years, assuming we continue to grant awards consistent with our current practices and historical usage, as reflected in our historical burn rate, and further dependent on the price of our shares and hiring activity during the next few years, forfeitures of outstanding awards,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24289x1_def14a_105-prop2_pg4"/>
        <w:bookmarkEnd w:id="2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noting that future circumstances may require us to change our current equity grant practices. We cannot predict our future equity grant practices, the future price of our shares or future hiring activity with any degree of certainty at this time, and the share reserve under the Restated Plan could last for a shorter or longer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2021, 2022 and 2023, our end of year overhang rate (excluding shares available for issuance under our 2014 ESPP) was 7.87%, 11.52% and 9.85%, respectively. If the Restated Plan is approved, we expect our overhang rate attributable to the Restated Plan at the end of 2024 will be approximately 18.02%. Overhang for this purpose is calculated by dividing (1) the sum of the number of shares subject to equity awards outstanding at the end of the fiscal year plus shares remaining available for issuance for future awards at the end of the fiscal year (excluding shares available for issuance under our 2014 ESPP) by (2) the number of shares outstanding at the end of the fiscal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light of the factors described above, and the fact that the ability to continue to grant equity compensation is vital to our ability to continue to attract and retain employees in the extremely competitive labor markets in which we compete, our board of directors has determined that the size of the share reserve under the Restated Plan is reasonable and appropriate at this time.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Key Features of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reflects a broad range of compensation and governance best practices, with some of the key features of the Restated Plan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Increase to Shares Available for Issuance without Stockholder Approval</w:t>
            </w:r>
            <w:r>
              <w:rPr>
                <w:rFonts w:ascii="Times New Roman;Times;serif" w:hAnsi="Times New Roman;Times;serif"/>
                <w:color w:val="000000"/>
                <w:sz w:val="20"/>
              </w:rPr>
              <w:t xml:space="preserve">. Without stockholder approval, the Restated Plan prohibits any alteration or amendment that operates to increase the total number of shares of common stock that may be issued under the Restated Plan (other than adjustments in connection with certain corporate reorganizations and other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Repricing of Awards</w:t>
            </w:r>
            <w:r>
              <w:rPr>
                <w:rFonts w:ascii="Times New Roman;Times;serif" w:hAnsi="Times New Roman;Times;serif"/>
                <w:color w:val="000000"/>
                <w:sz w:val="20"/>
              </w:rPr>
              <w:t xml:space="preserve">. Other than pursuant to the provisions of the Restated Plan described below under the 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Limitations on Dividend Payments on Unvested Awards</w:t>
            </w:r>
            <w:r>
              <w:rPr>
                <w:rFonts w:ascii="Times New Roman;Times;serif" w:hAnsi="Times New Roman;Times;serif"/>
                <w:color w:val="000000"/>
                <w:sz w:val="20"/>
              </w:rPr>
              <w:t xml:space="preserve">. Dividends and dividend equivalents may not be paid on awards subject to vesting conditions unless and until such conditions are met. Dividend equivalents may not be paid on stock options or SARs.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In-the-Money Option or Stock Appreciation Right Grants</w:t>
            </w:r>
            <w:r>
              <w:rPr>
                <w:rFonts w:ascii="Times New Roman;Times;serif" w:hAnsi="Times New Roman;Times;serif"/>
                <w:color w:val="000000"/>
                <w:sz w:val="20"/>
              </w:rPr>
              <w:t xml:space="preserve">. The Restated Plan prohibits the grant of options or SARs with an exercise or base price less than 100% of the fair market value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Liberal Share Recycling.</w:t>
            </w:r>
            <w:r>
              <w:rPr>
                <w:rFonts w:ascii="Times New Roman;Times;serif" w:hAnsi="Times New Roman;Times;serif"/>
                <w:color w:val="000000"/>
                <w:sz w:val="20"/>
              </w:rPr>
              <w:t xml:space="preserve"> The Restated Plan prohibits shares tendered or withheld for the payment of tax obligations on an award or in payment of the exercise price of an option from being added back to the share reserve, in addition to prohibiting other practices considered to be liberal share recycling.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Independent Administration</w:t>
            </w:r>
            <w:r>
              <w:rPr>
                <w:rFonts w:ascii="Times New Roman;Times;serif" w:hAnsi="Times New Roman;Times;serif"/>
                <w:color w:val="000000"/>
                <w:sz w:val="20"/>
              </w:rPr>
              <w:t xml:space="preserve">. The compensation committee of our board of directors, which consists of two or more non-employee directors, generally will administer the Restated Plan. The full board of directors will administer the Restated Plan with respect to awards granted to members of the board. The compensation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Restated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Automatic Change in Control Vesting for Awards</w:t>
            </w:r>
            <w:r>
              <w:rPr>
                <w:rFonts w:ascii="Times New Roman;Times;serif" w:hAnsi="Times New Roman;Times;serif"/>
                <w:color w:val="000000"/>
                <w:sz w:val="20"/>
              </w:rPr>
              <w:t xml:space="preserve">. The Restated Plan does not have automatic accelerated vesting provisions for awards in connection with a change of control (other than in connection with the non-assumption of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 w:name="ny20024289x1_def14a_105-prop2_pg5"/>
        <w:bookmarkEnd w:id="24"/>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Limitations on Grants to Directors</w:t>
            </w:r>
            <w:r>
              <w:rPr>
                <w:rFonts w:ascii="Times New Roman;Times;serif" w:hAnsi="Times New Roman;Times;serif"/>
                <w:color w:val="000000"/>
                <w:sz w:val="20"/>
              </w:rPr>
              <w:t xml:space="preserve">. The Restated Plan provides for limitations on grants to non-employee directors such that the sum of the grant date fair value of all equity awards and the maximum amount that may become payable pursuant to all cash-based awards granted to a non-employee director as compensation for services as a non-employee director during any fiscal year of the company may not exceed $1,000,000.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general, stockholder approval of the Restated Plan will implement the foregoing share reserve increase and extension of the term while (1) complying with the terms of the 2014 Plan regarding amendments, (2) meeting the stockholder approval requirements of Nasdaq, and (3) allowing us to grant ISOs. If the Restated Plan is not approved by our stockholders, the Restated Plan will not become effective, the 2014 Plan will continue in full force and effect with respect to any equity awards outstanding as of June 23, 2024, but no additional awards may be granted under the 2014 Plan after June 23, 2024, despite the availability of shares available for issuance thereunder.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features of the Restated Plan are summarized below, but the summary is qualified in its entirety by reference to the Restated Plan itself, which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to this proxy statement.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Subject to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April 15, 2024, a total of 2,004,490 shares of our common stock are authorized for issuance under the 2014 Plan. Pursuant to the Restated Plan, the number of shares of our common stock authorized for issuance as of the effective date of the Restated Plan will be increased by 19,000,000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shares subject to an award under the Restated Plan, the Prior Plan or the Inducement Plan are forfeited, expire or are settled for cash, any shares subject to such award will, to the extent of such forfeiture, expiration or cash settlement, be available for future grants under the Restated Plan. However, the following shares may not be used again for grant under the Restated Plan: (1) shares tendered or withheld to satisfy the exercise price of an option; (2) shares tendered or withheld to satisfy the tax withholding obligations with respect to an award; (3) shares subject to a SAR that are not issued in connection with the stock settlement of the SAR on its exercise; and (4) shares purchased on the open market with the cash proceeds from the exercise of options. If any shares of restricted stock are forfeited by a participant or repurchased by us pursuant to the Restated Plan, Prior Plan or Inducement Plan, such shares shall again be available for future grant or sale under the Restated Plan. The payment of dividend equivalents in cash in conjunction with any outstanding awards shall not be counted against the shares of stock available for issuance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 or any exchange rule, and subject to certain other restrictions, shares issued in assumption of, or in substitution for, any outstanding awards or shares available under a pre-existing plan of an entity acquired by the company or any of its subsidiaries that was approved by shareholders and not adopted in contemplation of such acquisition will not be counted against the shares available for grant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more than 58,457,455 shares of common stock be issuable pursuant to the exercise of ISOs following the effective date of the Restated Plan.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is administered by the Compensation Committee of the Board. The Compensation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the Compensation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general authority to administer the Restated Plan, including the power to determine eligibility, the types and sizes of awards, the price and timing of awards and the acceleration or waiver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24289x1_def14a_105-prop2_pg6"/>
        <w:bookmarkEnd w:id="2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any vesting restriction, as well as the authority to delegate such administrative responsibilities. However, the full Board will conduct the general administration of the Restated Plan with respect to any awards to non-employee members of the Board.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Options, SARs, restricted stock and other awards under the Restated Plan may be granted to individuals who are then our officers or employees or are the officers or employees of any of our subsidiaries. Such awards may also be granted to our non-employee directors and consultants but only employees may be granted ISOs. As of April 15, 2024, we had seven non-employee directors, 315 employees, and 12 consultants, each of whom would have been eligible for awards under the Restated Plan had it been in effect on such date. We do not typically make new grants of equity awards to our consultants. The closing share price per share for our common stock on the Nasdaq Stock Market on April 15, 2024 was $6.80.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provides for the grant of stock options, both incentive stock options and nonqualified stock options, SARs, restricted stock awards, restricted stock units, performance share awards, dividend equivalents, performance bonus awards, and other performance-based awards to eligible individuals. Certain awards under the Restated Plan may constitute or provide for a deferral of compensation, subject to Section 409A of the Code, which may impose additional requirements on the terms and conditions of such awards. All awards under the Restated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Restated Plan, except as set forth below under “New Plan Benefits.” See the “2023 Summary Compensation Table” and “2023 Grants of Plan-Based Awards Table” in this Proxy Statement for information on prior awards to our NEOs identified in those tables.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 Options</w:t>
      </w:r>
      <w:r>
        <w:rPr>
          <w:rFonts w:ascii="Times New Roman;Times;serif" w:hAnsi="Times New Roman;Times;serif"/>
          <w:i w:val="false"/>
          <w:caps w:val="false"/>
          <w:smallCaps w:val="false"/>
          <w:color w:val="000000"/>
          <w:sz w:val="20"/>
        </w:rPr>
        <w:t xml:space="preserve">. Stock options, including incentive stock options, as defined under Section 422 of the Code, and nonqualified stock options may be granted pursuant to the Restated Plan. The option exercise price of all stock options granted pursuant to the Restated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 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Stock appreciation rights may also be granted under the Restated Plan. Stock appreciation rights 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 SAR have a term extending beyond ten years after the date of grant. Upon exercise of a SAR, payment may be made in cash or check or other property acceptable to the Compensation Committee.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Restricted Stock and Restricted Stock Units</w:t>
      </w:r>
      <w:r>
        <w:rPr>
          <w:rFonts w:ascii="Times New Roman;Times;serif" w:hAnsi="Times New Roman;Times;serif"/>
          <w:i w:val="false"/>
          <w:caps w:val="false"/>
          <w:smallCaps w:val="false"/>
          <w:color w:val="000000"/>
          <w:sz w:val="20"/>
        </w:rPr>
        <w:t xml:space="preserve">. Restricted stock is an award of nontransferable shares of our common stock that remains forfeitable unless and until specified conditions are met and which may be subject to a purchase price. Holders of restricted stock will have voting rights and will have the right to receive dividends; however, dividends may not be paid until the applicable shares of restricted stock vest.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Dividend Equivalents</w:t>
      </w:r>
      <w:r>
        <w:rPr>
          <w:rFonts w:ascii="Times New Roman;Times;serif" w:hAnsi="Times New Roman;Times;serif"/>
          <w:i w:val="false"/>
          <w:caps w:val="false"/>
          <w:smallCaps w:val="false"/>
          <w:color w:val="000000"/>
          <w:sz w:val="20"/>
        </w:rPr>
        <w:t xml:space="preserve">. Dividend equivalents represent the right to receive the equivalent value of dividends paid on shares of our common stock and may be granted alone or in tandem with awards. Dividend equivalents are credited as of dividend payments dates during the period between the date an award is granted and the date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24289x1_def14a_105-prop2_pg7"/>
        <w:bookmarkEnd w:id="2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award vests, is exercised, is distributed, or expires, as determined by the plan administrator. The Restated Plan requires that any dividend equivalents be paid only to the extent the underlying award vests.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Performance Awards</w:t>
      </w:r>
      <w:r>
        <w:rPr>
          <w:rFonts w:ascii="Times New Roman;Times;serif" w:hAnsi="Times New Roman;Times;serif"/>
          <w:i w:val="false"/>
          <w:caps w:val="false"/>
          <w:smallCaps w:val="false"/>
          <w:color w:val="000000"/>
          <w:sz w:val="20"/>
        </w:rPr>
        <w:t xml:space="preserve">. Performance awards include any of the awards that are granted subject to vesting and/or payment based on the attainment of specified performance goals. Performance awards may include any of the awards enumerated in this summary or other incentive awards paid in cash or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 accounting consequences, in each case, having a fair market value on the date of delivery equal to the aggregate payments required; or (3) other property acceptable to the Compensation Committee (including through the delivery 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Limitations on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sum of the grant date fair value of all equity awards and the maximum amount that may become payable pursuant to all cash-based awards that may be granted as compensation for services as a non-employee director may not exceed $1,000,000 in any calendar year.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Withholding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Repricing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case (except due to an adjustment to reflect a stock split or similar event or any repricing that may be approved by stockholders) may any adjustment be made to a stock option or a SAR award under the Restated Plan (by amendment, cancellation and re-grant, exchange, or other means) that would constitute a repricing of the per-share exercise or base price of the award.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awards granted under the Restated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Restated Plan. In no event may an award be transferable for consideration absent stockholder approval.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Forfeiture, Recoupment and Clawback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its general authority to determine the terms and conditions applicable to awards under the Restated Plan, the plan administrator has the right to provide, in an award agreement or otherwise, that an award shall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 w:name="ny20024289x1_def14a_105-prop2_pg8"/>
        <w:bookmarkEnd w:id="2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the provisions of any recoupment or clawback policies implemented by us, including, without limitation, any recoupment or clawback policies adopted to comply with the requirements of the Dodd-Frank Wall Street Reform and Consumer Protection Act and any rules or regulations promulgated thereunder.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Restated Plan. Other types of transactions may also affect our common stock, such as a dividend or other distribution, reorganization, merger, or other changes in corporate structure. In the event that there is such a transaction, which is not an equity restructuring and the plan administrator determines that an adjustment to the plan and any outstanding awards would be appropriate to prevent any dilution or enlargement of benefits under the Restated Plan, the plan administrator will equitably adjust the Restated Plan as to the class of shares issuable and the maximum number of shares of our stock subject to the Restated Plan, as well as the maximum number of shares that may be issued to an employee during any calendar year, will adjust any outstanding awards as to the class, number of shares, and price per share of our stock in such manner as it may deem equitable and may provide for the cash-out, substitution, assumption or acceleration of outstanding awards.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Certain Corporate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Restated Plan, a “change in control” generally means certain transactions in which a person acquires 50% or more of our total voting power; certain changes in the composition of the Board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in its sole discretion, may adopt a change-in-control program to determine the vesting schedule, exercisability, and other terms of outstanding awards on or after a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may terminate, amend, or modify the Restated Plan at any time; however, stockholder approval will be obtained for any amendment to increase the number of shares available under the Restated Plan. In addition, absent stockholder approval, no option or SAR may be amended to reduce the per share exercise price of the shares subject to such option or SAR below the per share exercise price as of the date the option or SAR was granted and, except to the extent permitted by the Restated Plan in connection with certain changes in capital structure, no option, SAR, cash, or other award may be granted in exchange for, or in connection with, the cancellation or surrender of an option or SAR having a higher per share exercise price.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may incentive stock options be granted pursuant to the Restated Plan on or after the tenth anniversary of the date the Board approved the Restated Plan.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Income Tax Consequences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summary under current U.S. law of the material federal income tax consequences with respect to the Restated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 w:name="ny20024289x1_def14a_105-prop2_pg9"/>
        <w:bookmarkEnd w:id="2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federal income tax consequences of other awards authorized under the Restated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with respect to annual grants of options to our non-employee directors pursuant to the Restated Plan that will be made immediately following the date of the annual meeting, assuming stockholder approval of the Restated Plan, all future grants of awards under the Restated Plan are subject to the discretion of the plan administrator and it is not possible to determine the benefits that will be received in the future by participants in the Restated Plan. The equity awards to be granted to each non-employee director on the date of the annual meeting under the Restated Plan in accordance with the non-employee director compensation policy are described below under “—Director Compensation.”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Benefits Under the 2014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April 15, 2024, each of our named executive officers and the other groups identified below have received the following option and RSU grants under the 2014 Plan since its inception that are outstanding: </w:t>
      </w:r>
    </w:p>
    <w:tbl>
      <w:tblPr>
        <w:tblW w:w="9857" w:type="dxa"/>
        <w:jc w:val="left"/>
        <w:tblInd w:w="0" w:type="dxa"/>
        <w:tblLayout w:type="fixed"/>
        <w:tblCellMar>
          <w:top w:w="0" w:type="dxa"/>
          <w:left w:w="0" w:type="dxa"/>
          <w:bottom w:w="0" w:type="dxa"/>
          <w:right w:w="0" w:type="dxa"/>
        </w:tblCellMar>
      </w:tblPr>
      <w:tblGrid>
        <w:gridCol w:w="7415"/>
        <w:gridCol w:w="23"/>
        <w:gridCol w:w="23"/>
        <w:gridCol w:w="1085"/>
        <w:gridCol w:w="23"/>
        <w:gridCol w:w="23"/>
        <w:gridCol w:w="1265"/>
      </w:tblGrid>
      <w:tr>
        <w:trPr/>
        <w:tc>
          <w:tcPr>
            <w:tcW w:w="74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8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 President,</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Director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5,309,609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704,392 </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and Administrative Officer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1,460,524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197,879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Medical Officer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800,127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186,827 </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 (8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12,639,704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2,046,987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 (7 persons)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2,118,476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ind w:left="168" w:right="0" w:hanging="0"/>
              <w:jc w:val="left"/>
              <w:rPr>
                <w:color w:val="000000"/>
              </w:rPr>
            </w:pPr>
            <w:r>
              <w:rPr>
                <w:color w:val="000000"/>
              </w:rPr>
              <w:t xml:space="preserve">— </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A. Bertrand, Jr., Esq., nominee for director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352,532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68" w:right="0" w:hanging="0"/>
              <w:jc w:val="left"/>
              <w:rPr>
                <w:color w:val="000000"/>
              </w:rPr>
            </w:pPr>
            <w:r>
              <w:rPr>
                <w:color w:val="000000"/>
              </w:rPr>
              <w:t xml:space="preserve">—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 nominee for director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247,892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ind w:left="168" w:right="0" w:hanging="0"/>
              <w:jc w:val="left"/>
              <w:rPr>
                <w:color w:val="000000"/>
              </w:rPr>
            </w:pPr>
            <w:r>
              <w:rPr>
                <w:color w:val="000000"/>
              </w:rPr>
              <w:t xml:space="preserve">— </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directors, executive officers or nominees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9"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68" w:right="0" w:hanging="0"/>
              <w:jc w:val="left"/>
              <w:rPr>
                <w:color w:val="000000"/>
              </w:rPr>
            </w:pPr>
            <w:r>
              <w:rPr>
                <w:color w:val="000000"/>
              </w:rPr>
              <w:t xml:space="preserve">— </w:t>
            </w:r>
          </w:p>
        </w:tc>
      </w:tr>
      <w:tr>
        <w:trPr/>
        <w:tc>
          <w:tcPr>
            <w:tcW w:w="741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percent of such options, warrants or rights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ind w:left="168" w:right="0" w:hanging="0"/>
              <w:jc w:val="left"/>
              <w:rPr>
                <w:color w:val="000000"/>
              </w:rPr>
            </w:pPr>
            <w:r>
              <w:rPr>
                <w:color w:val="000000"/>
              </w:rPr>
              <w:t xml:space="preserve">— </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who are not executive officers as a group (307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8,751,334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3,533,095</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(including our named executive officers) have substantial interests in the matters set forth in the Restated Plan Proposal since equity awards may be granted to them in the future under the Restated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24289x1_def14a_105-prop2_pg10"/>
        <w:bookmarkEnd w:id="2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Restated Plan requires the affirmative vote of a majority of the shares present in person or represented by proxy at the Annual Meeting and entitled to vote on the proposal.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AMENDED AND RESTATED 2014 INCENTIVE AWARD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 w:name="ny20024289x1_def14a_106-prop3_pg1"/>
        <w:bookmarkEnd w:id="3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PROP3"/>
      <w:bookmarkEnd w:id="31"/>
      <w:r>
        <w:rPr>
          <w:rFonts w:ascii="Times New Roman;Times;serif" w:hAnsi="Times New Roman;Times;serif"/>
          <w:b/>
          <w:color w:val="000000"/>
          <w:sz w:val="20"/>
        </w:rPr>
        <w:t xml:space="preserve">PROPOSAL NO.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AMENDED AND RESTATED 2014 EMPLOYEE STOCK PURCHASE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the amendment and restatement of our 2014 Employee Stock Purchase Plan (the “ESPP”). The proposed amended and restated ESPP is referred to herein as the “A&amp;R ESPP.” Our board of directors approved the A&amp;R ESPP on April 29, 2024, subject to stockholder approval. The A&amp;R ESPP will become effective as of the date our stockholders approve the A&amp;R ESPP.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Proposed Amendments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Increase in Share Reserve and Elimination of Evergreen</w:t>
      </w:r>
      <w:r>
        <w:rPr>
          <w:rFonts w:ascii="Times New Roman;Times;serif" w:hAnsi="Times New Roman;Times;serif"/>
          <w:i w:val="false"/>
          <w:caps w:val="false"/>
          <w:smallCaps w:val="false"/>
          <w:color w:val="000000"/>
          <w:sz w:val="20"/>
        </w:rPr>
        <w:t xml:space="preserve">. The ESPP became effective on June 14, 2014 when it was first approved by Company stockholders. As of April 15, 2024, a total of 2,940,132 shares of our common stock have been reserved for issuance under the ESPP, and the aggregate number of shares of common stock that remained available under the ESPP for future issuance was 894,481, which the A&amp;R ESPP increases by 3,000,000 shares of common stock. However, if the A&amp;R ESPP is not approved, only 184,723 shares will be available for future issuance under the ESPP. The ESPP contained an “evergreen provision” that allowed for an annual increase in the number of shares available for issuance under the ESPP on January 1 of each year during the ten year term of the ESPP, beginning on January 1, 2015, equal to the lesser of 1% of our outstanding common stock on the last day of the immediately preceding fiscal year or a smaller amount determined by our board of directors. The automatic increases pursuant to the evergreen provision of the ESPP are included in the shares available for issuance under the ESPP set forth above. Under the A&amp;R ESPP, no evergreen increases will be made.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Background on Share Request</w:t>
      </w:r>
      <w:r>
        <w:rPr>
          <w:rFonts w:ascii="Times New Roman;Times;serif" w:hAnsi="Times New Roman;Times;serif"/>
          <w:b/>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A&amp;R ESPP is to assist our employees in acquiring a stock ownership interest in the Company pursuant to a plan which is intended to increase employee proprietary interest in our success and to encourage them to remain in the employment of the Company. We believe that the A&amp;R ESPP aligns employee interests with those of our stockholders, is an important component of the benefits we offer to our employees and serves as a key recruiting and retention tool in a competitive market. Since adoption of the A&amp;R ESPP in 2014, we averaged approximately 60 employees participating in the A&amp;R ESPP in each offering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ESPP currently operates using consecutive 6-month offering periods. If approved by our stockholders, the increase in shares for the A&amp;R ESPP will go into effect for the first offering that commences after stockholder approval, currently scheduled for September 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A&amp;R ESPP, eligible employees purchase our common stock at a discount through accumulated payroll deductions. The A&amp;R ESPP is intended to qualify as an “employee stock purchase plan” under Section 423 of the Code.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copy of the proposed A&amp;R ESPP is included as Annex B 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its determination to approve the 3,000,000 share increase to the A&amp;R ESPP, our Board and Compensation Committee reviewed an analysis prepared by Pearl Meyer, its compensation consultant, which included an analysis of our historical share usage, certain dilution metrics and the costs of the A&amp;R ESPP. Specifically, our Board and Compensation Committee considered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offering period that ended on February 29, 2024, we issued a total of 253,312 shares of our common stock. Further, participating employees for the Offering Period ending February 29, 2024 elected to contribute an average of 3.9% of their eligible earnings to purchase shares under the A&amp;R ESPP. As such, our Board and Compensation Committee believe that the A&amp;R ESPP acts as an important incentive to both newly hired and existing employees to invest in our common stock and aligning their interests with the interests of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Board and Compensation Committee considered the dilutive effect of the share increase to the A&amp;R ESPP and sought to balance such dilutive effect with the benefits of providing sufficient shares to promote employee participation. We anticipate the additional 3,000,000 shares under the A&amp;R ESPP plus our current share reserve would provide sufficient shares in the plan reserve for approximately three years after the Annual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 w:name="ny20024289x1_def14a_106-prop3_pg2"/>
        <w:bookmarkEnd w:id="3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light of the factors described above, and our Board’s and our Compensation Committee’s assessment that the ability to continue to offer the opportunity to purchase shares of our common stock is important to our ability to continue to attract and retain employees in the labor markets in which we compete, our Board and our Compensation Committee have determined that the size of the increase in the share reserve under the A&amp;R ESPP is reasonable and appropriate at this time.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Summary of the A&amp;R ESPP</w:t>
      </w:r>
      <w:r>
        <w:rPr>
          <w:rFonts w:ascii="Times New Roman;Times;serif" w:hAnsi="Times New Roman;Times;serif"/>
          <w:b/>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ESPP is designed to allow eligible employees of the Company to purchase shares of our common stock with their accumulated payroll deductions. The A&amp;R ESPP is intended to qualify as an “employee stock purchase plan” under Section 423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provisions of the A&amp;R ESPP are summarized below. This summary is qualified by reference to the full text of the A&amp;R ESPP, which is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to this Proxy Statement.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A&amp;R ESPP, the Compensation Committee administers the A&amp;R ESPP. The Compensation Committee can delegate administrative tasks under the A&amp;R ESPP to the services of an agent and/or employees to assist in the administration of the A&amp;R ESPP. The administrator will have the discretionary authority to administer and interpret the A&amp;R ESPP. Interpretations and constructions of the administrator of any provision of the A&amp;R ESPP or of any rights thereunder will be conclusive and binding on all persons. We bear all expenses and liabilities incurred in the A&amp;R ESPP administration.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Available for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our common stock that will be authorized for sale under the A&amp;R ESPP, inclusive of the 3,000,000 share increase, is 5,940,132 shares of common stock. The shares reserved for issuance under the A&amp;R ESPP may be authorized but unissued shares or reacquired shares.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Eligibility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eligible to participate in the A&amp;R ESPP for a given offering period generally include employees who are employed by us or one of our designated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A&amp;R ESPP. Finally, an employee who owns (or is deemed to own through attribution) 5% or more of the combined voting power or value of all our classes of stock or of one of our subsidiaries are not allowed to participate in the A&amp;R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April 15, 2024, we had approximately 315 employees who could have been eligible to participate in the A&amp;R ESPP, and our non-employee directors and consultants are not eligible to participate in the A&amp;R ESPP.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may enroll under the A&amp;R ESPP by completing a payroll deduction form permitting the deduction from their compensation of at least 1% of their compensation but not more than 15% of their compensation. Such payroll deductions may be expressed as either a whole number percentage or a fixed dollar amount, and the accumulated deductions will be applied to the purchase of shares on each purchase date.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A&amp;R ESPP, participants are offered the option to purchase shares of our common stock at a discount during a series of successive and overlapping offering periods, the duration and timing of which will be determined by the A&amp;R ESPP administrator. However, in no event may an offering period be longer than 27 months in length. The offering periods are each comprised of one or more equal length or shorter purchase periods. Currently, each offering period and purchase period is 6 months.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option purchase price will be the lower of 85% of the closing trading price per share of our common stock on the first trading date of an offering period in which a participant is enrolled or 85% of the closing trading price per share on the purchase date. Our closing trading price of our common stock as of April 15,2024 was $6.80.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 w:name="ny20024289x1_def14a_106-prop3_pg3"/>
        <w:bookmarkEnd w:id="3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A&amp;R ESPP, participants may not purchase shares of our common stock at a rate which exceeds $25,000 of fair market value of our stock (determined at the time the option to purchase shares under the A&amp;R ESPP is granted) for each calendar year in which the option is outstanding (as determined in accordance with Section 423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 participant has previously canceled his or her participation in the A&amp;R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may not assign, transfer, pledge or otherwise dispose of (other than by will or the laws of descent and distribution) payroll deductions credited to a participant’s account or any rights to exercise an option or to receive shares of our common stock under the A&amp;R ESPP, and during a participant’s lifetime, options in the A&amp;R ESPP shall be exercisable only by such participant. Any such attempt at assignment, transfer, pledge or other disposition will not be given effect.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Adjustments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increase or decrease in 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A&amp;R ESPP, the number and price of shares which any participant has elected to purchase under the A&amp;R ESPP and the maximum number of shares which a participant may elect to purchase in any single offering period. If there is a proposal to dissolve or liquidate us, then the A&amp;R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Amendment and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amend, suspend or terminate the A&amp;R ESPP at any time. However, the Board may not amend the A&amp;R ESPP without obtaining shareholder approval within 12 months before or after such amendment to the extent required by applicable laws.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Material United States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summary under current law of the principal United States federal income tax consequences related to the purchase of shares under the A&amp;R ESPP. This summary deals with the general federal income tax principles that apply and is provided only for general information. Certain taxes, such as state, local and foreign income taxes and federal employment taxes, are not discussed. This summary is not intended as tax advice to participants, who should consult their own tax advisors.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ESPP, and the right of participants to make purchases thereunder, is intended to qualify under the provisions of Section 423 of the Code. Under the applicable Code provisions, no income will be taxable to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 w:name="ny20024289x1_def14a_106-prop3_pg4"/>
        <w:bookmarkEnd w:id="3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participant until the sale or other disposition of the shares purchased under the A&amp;R ESPP. This means that an eligible employee will not recognize taxable income on the date the employee is granted an option under the A&amp;R ESPP. In addition, the employee 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his or her estate) will recognize ordinary income measured as the lesser of (i) the excess of the fair market value of the shares at the time of such sale or disposition (or death) over the purchase price or (ii) an amount equal to the applicable discount from the fair market value of the shares as of the date of grant.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our common stock that may be purchased under the A&amp;R ESPP is dependent upon the fair market value of our common stock on the first day of the offering period and purchase date, the voluntary election by each eligible employee to participate and the amount each participant has elected to contribute to an offering period, and is not currently determinable.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states the amounts which were received by each of the named individuals and groups under our A&amp;R ESPP from its inception through April 15, 2024. </w:t>
      </w:r>
    </w:p>
    <w:tbl>
      <w:tblPr>
        <w:tblW w:w="8321" w:type="dxa"/>
        <w:jc w:val="left"/>
        <w:tblInd w:w="0" w:type="dxa"/>
        <w:tblLayout w:type="fixed"/>
        <w:tblCellMar>
          <w:top w:w="0" w:type="dxa"/>
          <w:left w:w="0" w:type="dxa"/>
          <w:bottom w:w="0" w:type="dxa"/>
          <w:right w:w="0" w:type="dxa"/>
        </w:tblCellMar>
      </w:tblPr>
      <w:tblGrid>
        <w:gridCol w:w="7415"/>
        <w:gridCol w:w="23"/>
        <w:gridCol w:w="23"/>
        <w:gridCol w:w="860"/>
      </w:tblGrid>
      <w:tr>
        <w:trPr/>
        <w:tc>
          <w:tcPr>
            <w:tcW w:w="74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6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Raab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Chief Executive Officer and Director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29,061</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and Administrative Officer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28,192</w:t>
            </w:r>
            <w:r>
              <w:rPr>
                <w:rFonts w:ascii="Times New Roman;Times;serif" w:hAnsi="Times New Roman;Times;serif"/>
                <w:color w:val="000000"/>
                <w:sz w:val="20"/>
              </w:rPr>
              <w:t xml:space="preserve">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Medical Officer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15,690</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 (8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152,068 </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 (7 persons)</w:t>
            </w:r>
            <w:r>
              <w:rPr>
                <w:rFonts w:ascii="Times New Roman;Times;serif" w:hAnsi="Times New Roman;Times;serif"/>
                <w:color w:val="000000"/>
                <w:position w:val="7"/>
                <w:sz w:val="16"/>
                <w:sz w:val="20"/>
              </w:rPr>
              <w:t>(1)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center"/>
              <w:rPr>
                <w:color w:val="000000"/>
              </w:rPr>
            </w:pPr>
            <w:r>
              <w:rPr>
                <w:color w:val="000000"/>
              </w:rPr>
              <w:t>—</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A. Bertrand, Jr., Esq., nominee for director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center"/>
              <w:rPr>
                <w:color w:val="000000"/>
              </w:rPr>
            </w:pPr>
            <w:r>
              <w:rPr>
                <w:color w:val="000000"/>
              </w:rPr>
              <w:t>—</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 nominee for director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center"/>
              <w:rPr>
                <w:color w:val="000000"/>
              </w:rPr>
            </w:pPr>
            <w:r>
              <w:rPr>
                <w:color w:val="000000"/>
              </w:rPr>
              <w:t>—</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directors, executive officers or nominees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center"/>
              <w:rPr>
                <w:color w:val="000000"/>
              </w:rPr>
            </w:pPr>
            <w:r>
              <w:rPr>
                <w:color w:val="000000"/>
              </w:rPr>
              <w:t>—</w:t>
            </w:r>
          </w:p>
        </w:tc>
      </w:tr>
      <w:tr>
        <w:trPr/>
        <w:tc>
          <w:tcPr>
            <w:tcW w:w="7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percent of such options, warrants or rights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center"/>
              <w:rPr>
                <w:color w:val="000000"/>
              </w:rPr>
            </w:pPr>
            <w:r>
              <w:rPr>
                <w:color w:val="000000"/>
              </w:rPr>
              <w:t>—</w:t>
            </w:r>
          </w:p>
        </w:tc>
      </w:tr>
      <w:tr>
        <w:trPr/>
        <w:tc>
          <w:tcPr>
            <w:tcW w:w="7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who are not executive officers as a group (302 persons)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1,893,583</w:t>
            </w:r>
          </w:p>
        </w:tc>
      </w:tr>
    </w:tbl>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5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Non-executive officer directors are not eligible to participate in the A&amp;R ESPP.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non-employee directors are not eligible to participate in the A&amp;R ESPP. Our executive officers (including our named executive officers) have substantial interests in the matters set forth in the this proposal since our executive officers may participate in the A&amp;R ESPP.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5" w:name="ny20024289x1_def14a_106-prop3_pg5"/>
        <w:bookmarkEnd w:id="3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Restated Plan requires the affirmative vote of a majority of the shares present in person or represented by proxy at the Annual Meeting and entitled to vote on the proposal.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AMENDED AND RESTATED 2014 EMPLOYEE STOCK PURCHASE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 w:name="ny20024289x1_def14a_107-prop4_pg1"/>
        <w:bookmarkEnd w:id="3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P4"/>
      <w:bookmarkEnd w:id="37"/>
      <w:r>
        <w:rPr>
          <w:rFonts w:ascii="Times New Roman;Times;serif" w:hAnsi="Times New Roman;Times;serif"/>
          <w:b/>
          <w:color w:val="000000"/>
          <w:sz w:val="20"/>
        </w:rPr>
        <w:t xml:space="preserve">PROPOSAL NO.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TO APPROVE NAMED EXECUTIVE OFFICER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Section 14A of the Securities Exchange Act of 1934, as amended, we are providing stockholders an opportunity to cast a non-binding, advisory vote to approve the compensation of our Named Executive Officers, or NEOs (sometimes referred to as a “Say-on-Pay” vote). Accordingly, you have the opportunity to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to “</w:t>
      </w:r>
      <w:r>
        <w:rPr>
          <w:rFonts w:ascii="Times New Roman;Times;serif" w:hAnsi="Times New Roman;Times;serif"/>
          <w:b/>
          <w:color w:val="000000"/>
          <w:sz w:val="20"/>
        </w:rPr>
        <w:t>ABSTAIN</w:t>
      </w:r>
      <w:r>
        <w:rPr>
          <w:rFonts w:ascii="Times New Roman;Times;serif" w:hAnsi="Times New Roman;Times;serif"/>
          <w:color w:val="000000"/>
          <w:sz w:val="20"/>
        </w:rPr>
        <w:t xml:space="preserve">” from voting on the following non-binding resolution at the 2024 Annual Meeting: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stockholders approve, on an advisory basis, the compensation of the Company’s named executive officers as disclosed in the Company’s proxy statement for the 2024 Annual Meeting of Stockholders pursuant to the compensation disclosure rules of the Securities and Exchange Commission, including the accompanying compensation tables and the related narrative disclosure in the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deciding how to vote on this proposal, you are encouraged to review the accompanying compensation tables and the related narrative disclosure. As described in detail in the sections entitled “Compensation Discussion and Analysis” and “Details of our Compensation Program,”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on a non-binding, advisory basis, of the compensation of our NEOs, as disclosed in this Proxy Statement pursuant to the compensation disclosure rules of the Securities and Exchange Commission, requires the affirmative vote of the majority of shares of common stock present online live or represented by proxy at the 2024 Annual Meeting and entitled to vote on such proposal. Abstentions and broker non-votes are not considered votes cast for the foregoing purpose, and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2025 annual meeting of stockholders.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APPROVAL OF THE COMPENSATION OF THE NAMED EXECUTIVE OFFICERS, AS DISCLOSED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 w:name="ny20024289x1_def14a_108-prop5_pg1"/>
        <w:bookmarkEnd w:id="3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P5"/>
      <w:bookmarkEnd w:id="39"/>
      <w:r>
        <w:rPr>
          <w:rFonts w:ascii="Times New Roman;Times;serif" w:hAnsi="Times New Roman;Times;serif"/>
          <w:b/>
          <w:color w:val="000000"/>
          <w:sz w:val="20"/>
        </w:rPr>
        <w:t xml:space="preserve">PROPOSAL NO. 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of our board of directors has selected Ernst &amp; Young LLP, or EY, as our independent registered public accounting firm for the year ending December 31, 2024, and is seeking ratification of such selection by our stockholders at the 2024 Annual Meeting. EY has audited our financial statements since the fiscal year ended December 31, 2014. Representatives of EY are expected to be present in attendance online at the 2024 Annual Meeting. They will have an opportunity to make a statement if they so desire and will be available to respond to appropriate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Neither our Amended and Restated Bylaws nor other governing documents or law require stockholder ratification of the selection of EY as our independent registered public accounting firm. However, the audit and compliance committee is submitting the selection of EY to our stockholders for ratification as a matter of good corporate practice. If our stockholders fail to ratify the selection, the audit and compliance committee will reconsider whether or not to retain EY. Even if the selection is ratified, the audit and compliance committee in its discretion may select a different independent registered public accounting firm at any time during the year if they determine that such a change would be in the best interests of the Company and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shares cast at the 2024 Annual Meeting will be required to ratify the selection of EY.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5.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and Related Fees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years ended December 31, 2023 and 2022, EY billed the approximate fees set forth below. All fees included below were approved by the audit and compliance committee. </w:t>
      </w:r>
    </w:p>
    <w:tbl>
      <w:tblPr>
        <w:tblW w:w="3647" w:type="dxa"/>
        <w:jc w:val="left"/>
        <w:tblInd w:w="0" w:type="dxa"/>
        <w:tblLayout w:type="fixed"/>
        <w:tblCellMar>
          <w:top w:w="0" w:type="dxa"/>
          <w:left w:w="0" w:type="dxa"/>
          <w:bottom w:w="0" w:type="dxa"/>
          <w:right w:w="0" w:type="dxa"/>
        </w:tblCellMar>
      </w:tblPr>
      <w:tblGrid>
        <w:gridCol w:w="1595"/>
        <w:gridCol w:w="23"/>
        <w:gridCol w:w="23"/>
        <w:gridCol w:w="950"/>
        <w:gridCol w:w="23"/>
        <w:gridCol w:w="23"/>
        <w:gridCol w:w="1010"/>
      </w:tblGrid>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00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1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$2,190,710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$1,570,125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2,936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18,650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All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$2,193,646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$1,588,775</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2023, Audit Fees also included fees and expenses covering the integrated audit of our annual financial statements and of our internal controls over financial reporting. </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for professional services rendered by EY for tax compliance, tax advice and tax planning. </w:t>
            </w:r>
          </w:p>
        </w:tc>
      </w:tr>
    </w:tbl>
    <w:tbl>
      <w:tblPr>
        <w:tblW w:w="5860" w:type="dxa"/>
        <w:jc w:val="left"/>
        <w:tblInd w:w="0" w:type="dxa"/>
        <w:tblLayout w:type="fixed"/>
        <w:tblCellMar>
          <w:top w:w="0" w:type="dxa"/>
          <w:left w:w="0" w:type="dxa"/>
          <w:bottom w:w="0" w:type="dxa"/>
          <w:right w:w="0" w:type="dxa"/>
        </w:tblCellMar>
      </w:tblPr>
      <w:tblGrid>
        <w:gridCol w:w="230"/>
        <w:gridCol w:w="56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related to accessing EY’s online research database.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Securities Exchange Act of 1934, as amended, to management. The audit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 w:name="ny20024289x1_def14a_108-prop5_pg2"/>
        <w:bookmarkEnd w:id="4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compliance committee may delegate to one or more members the authority to grant pre-approvals, provided such approvals are presented to the audit and compliance committee at a subsequent meeting. Audit and compliance committee pre-approval of non-audit services (other than review and attest services) also will not be required if such services fall within available exceptions established by the SEC. The audit and compliance committee has considered the role of EY in providing audit and audit-related services to the Company and has concluded that such services are compatible with EY’s role as the Company’s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 w:name="ny20024289x1_def14a_109-report_pg1"/>
        <w:bookmarkEnd w:id="4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ROT"/>
      <w:bookmarkEnd w:id="42"/>
      <w:r>
        <w:rPr>
          <w:rFonts w:ascii="Times New Roman;Times;serif" w:hAnsi="Times New Roman;Times;serif"/>
          <w:b/>
          <w:color w:val="000000"/>
          <w:sz w:val="20"/>
        </w:rPr>
        <w:t xml:space="preserve">REPORT OF THE AUDIT AND COMPLIANCE COMMITTEE OF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http://ir.ardelyx.com/corporate-governance.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fulfilling its oversight responsibilities, the audit and compliance committee reviewed and discussed with management the Company’s audited financial statements for the fiscal year ended December 31, 2023. The audit and compliance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these reviews and discussions, the audit and compliance committee has recommended to our board of directors that such audited financial statements be included in our Annual Report on Form 10-K for the year ended December 31, 2023 for filing with the SEC.</w:t>
      </w:r>
    </w:p>
    <w:tbl>
      <w:tblPr>
        <w:tblW w:w="3066" w:type="dxa"/>
        <w:jc w:val="left"/>
        <w:tblInd w:w="0" w:type="dxa"/>
        <w:tblLayout w:type="fixed"/>
        <w:tblCellMar>
          <w:top w:w="0" w:type="dxa"/>
          <w:left w:w="0" w:type="dxa"/>
          <w:bottom w:w="0" w:type="dxa"/>
          <w:right w:w="0" w:type="dxa"/>
        </w:tblCellMar>
      </w:tblPr>
      <w:tblGrid>
        <w:gridCol w:w="75"/>
        <w:gridCol w:w="23"/>
        <w:gridCol w:w="23"/>
        <w:gridCol w:w="2945"/>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and Compliance Committee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 Chairperson</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24289x1_def14a_110-corporate_pg1"/>
        <w:bookmarkEnd w:id="4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 w:name="tCG"/>
      <w:bookmarkEnd w:id="44"/>
      <w:r>
        <w:rPr>
          <w:rFonts w:ascii="Times New Roman;Times;serif" w:hAnsi="Times New Roman;Times;serif"/>
          <w:b/>
          <w:color w:val="000000"/>
          <w:sz w:val="20"/>
        </w:rPr>
        <w:t xml:space="preserve">CORPORATE GOVERNANCE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members. Our board of directors has determined that all of our directors, other than Mr. Raab, qualify as “independent” directors in accordance with the Nasdaq listing requirements. Mr. Raab is not considered independent because he is an employee of our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Nasdaq independence definition includes a series of objective tests, such as that the director is not, and has not been for at least three years, one of our employees, and that neither the director nor any of their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described more fully below, the board of directors has also determined that each current member of the compensation committee, the audit and compliance committee and the nominating and corporate governance committee meets the independence standards applicable to those committees prescribed by Nasdaq, the SEC and the Internal Revenue Service.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Leadership Structure of the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and corporate governance guidelines provide our board of directors with flexibility to combine or separate the positions of Chairperson of the Board and Chief Executive Officer and/or the implementation of a lead director in accordance with its determination that utilizing one or the other structure would be in the best interests of our company. Mr. Mott currently serves as the Chairperson of the Board. In that role, Mr. Mott presides over the executive sessions of the board of directors in which Mr. Raab does not participate and serves as a liaison to Mr. Raab and management on behalf of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Board in Risk Oversight Process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have a standing risk management committee, but rather administers this oversight function directly through our board of directors as a whole, as well as through various standing committees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 w:name="ny20024289x1_def14a_110-corporate_pg2"/>
        <w:bookmarkEnd w:id="4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Cybersecurity 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also considers cybersecurity risk as part of its risk oversight function and has delegated to the audit and compliance committee oversight of cybersecurity and other information technology risks. The audit and compliance committee oversees management’s implementation of our cybersecurity risk management program, maintains a strategic role in coordinating cyber risk initiatives and policies, and confirming their efficacy.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receives regular reports from management on our cybersecurity posture. In addition, management updates the audit and compliance committee, as necessary, regarding any material cybersecurity incidents, as well as any incidents with lesser impact potential.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reports to the full board of directors regarding its activities, including those related to cybersecurity. The board of directors also receives periodic briefings from management on our cybersecurity program. The board of directors members receive presentations on cybersecurity topics from our IT Senior Director, internal security staff or external experts as part of the board of directors’ continuing education on topics that impact public companies.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of the Board of Directors and Committees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2023, the board of directors met nine times, the audit and compliance committee met five times, the compensation committee met four times and the nominating and corporate governance committee met two times. In that year, each director attended at least 75% of the aggregate number of meetings of the board of directors and the committees on which they served. As required under Nasdaq rules and regulations, our independent directors meet in regularly scheduled executive sessions at which only independent directors are present.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and Compliance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and compliance committee oversees our corporate accounting and financial reporting process, the audits of our financial statements, and our compliance with legal and regulatory requirements. Among other matters, the audit and compliance committee: </w:t>
      </w:r>
    </w:p>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appoints our independent registered public accounting firm;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the independent registered public accounting firm’s qualifications, independence and performance;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determines the engagement of the independent registered public accounting firm;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approves the scope of the annual audit and the audit fee;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the results of the annual audit and the review of our quarterly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regarding the effectiveness of internal controls over financial reporting;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approves the retention of the independent registered public accounting firm to perform any proposed permissible audit and non-audit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monitors the rotation of partners of the independent registered public accounting firm on our engagement team as required by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 w:name="ny20024289x1_def14a_110-corporate_pg3"/>
        <w:bookmarkEnd w:id="46"/>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responsible for reviewing our financial statements and our management’s discussion and analysis of financial condition and results of operations to be included in our annual and quarterly reports to be filed with the SEC;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our critical accounting policies and estimates;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responsible for being knowledgeable about the content and operation of our global compliance program and exercising oversight over its implementation and effectiveness; and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audit and compliance committee charter and the committee’s performance.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Messrs. Rodgers, Bertrand and Mott served as members of the audit and compliance committee, and they comprise the current members of our audit and compliance committee. Mr. Rodgers serves as the chairperson of the committee. Each of the members of the committee during 2023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and compliance committee during 2023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Securities Exchange Act of 1934, as amended. The audit and compliance committee operates under a written charter that satisfies the applicable standards of the SEC and Nasdaq. A copy of the audit and compliance committee charter is available to security holders on the Company’s website at http://ir.ardelyx.com/corporate-governance.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reviews and recommends policies relating to compensation and benefits of our officers, employees and directors.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compensation committee also periodically reviews the compensation of directors and makes recommendations to the board of directors.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committee’s charter permits it to delegate its authority and responsibilities to a subcommittee of compensation committee members, to the extent consistent with our Amended and Restated Certificate of Incorporation and Amended and Restated Bylaws. 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2014 Plan to existing and new non-senior management team employees, with such individual grants to be consistent with equity grant guidelines provided by our compensation consultant and approved by the compensation committee. The compensation committee reviews and evaluates, at least annually, the performance of the compensation committee and its members, including compliance of the compensation committee with its charter.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Messrs. Mott, Bazemore, and Rodgers and Ms. Bhanji served as members of the compensation committee. Messrs. Mott, Bazemore, and Rodgers, and Ms. Bhanji comprise the current members of our compensation committee. Mr. Mott serves as the chairperson of the committee. Each of the members of our compensation committee during 2023 was, and each of the current members of our compensation committee is an “independent director” under the applicable rules and regulations of The Nasdaq Global Market, a “non-employee director” as defined in Rule 16b-3 promulgated under the Securities Exchange Act of 1934, as amended, and an “outside director” as that term is defined in Section 162(m) of the U.S. Internal Revenue Code of 1986, as amended. The compensation committee operates under a written charter that satisfies the applicable standards of the SEC and Nasdaq. A copy of the compensation committee charter is available to security holders on the Company’s website at http://ir.ardelyx.com/corporate-governance.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24289x1_def14a_110-corporate_pg4"/>
        <w:bookmarkEnd w:id="4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fiscal year 2023,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Drs. Block and Lundberg, Ms. Cadoret-Manier, and Mr. Bertrand served as members of the nominating and corporate governance committee. Dr. Lundberg, Ms. Cadoret-Manier and Mr. Bertrand comprise the current members of our nominating and corporate governance committee. Mr. Bertrand serves as the chairperson of the committee. In November 2023, Dr. Block resigned from the Board and all committees of the Board. Dr. Lundberg will no longer serve on the Board nor on any committee of the Board upon the expiration of his term. Each of the members of our nominating and corporate governance committee during 2023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Recovery of Erroneously Awarded Compensation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Policy for Recovery of Erroneously Awarded Compensation, or the Clawback Policy, is intended to comply with SEC and Nasdaq listing standards and maintain a culture of focused, diligent, and responsible management that discourages conduct detrimental to our growth. Accordingly, as set forth in the Clawback Policy, we are required to recover certain erroneously paid incentive-based compensation of our current and former executive officers in the event we are required to prepare a qualifying accounting restatement. The Clawback Policy provides that such erroneously paid incentive-based compensation may also be recovered from other compensation payable by us.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Attendance at Annual Meetings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 policy of encouraging director attendance at our annual meetings of stockholders, but attendance is not mandatory. Our board of directors and management team encourage all of our directors to attend the 2024 Annual Meeting. All of our then-serving directors attended our 2023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 w:name="ny20024289x1_def14a_110-corporate_pg5"/>
        <w:bookmarkEnd w:id="4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Communications with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2023, Messrs. Mott, Bazemore and Rodgers, and Ms. Bhanji served as members of our compensation committee. None of Messrs. Mott, Bazemore and Rodgers, and Ms. Bhanji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Prohibition on Hedging, Pledging and Similar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Diversity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 </w:t>
      </w:r>
    </w:p>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personal and professional integrity;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ethics and values;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in corporate management, such as serving as an officer or former officer of a publicly held company;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in the industries in which we compete;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diversity of expertise and experience in substantive matters pertaining to our business relative to other board members; </w:t>
            </w:r>
          </w:p>
        </w:tc>
      </w:tr>
    </w:tbl>
    <w:tbl>
      <w:tblPr>
        <w:tblW w:w="2140" w:type="dxa"/>
        <w:jc w:val="left"/>
        <w:tblInd w:w="0" w:type="dxa"/>
        <w:tblLayout w:type="fixed"/>
        <w:tblCellMar>
          <w:top w:w="0" w:type="dxa"/>
          <w:left w:w="0" w:type="dxa"/>
          <w:bottom w:w="0" w:type="dxa"/>
          <w:right w:w="0" w:type="dxa"/>
        </w:tblCellMar>
      </w:tblPr>
      <w:tblGrid>
        <w:gridCol w:w="110"/>
        <w:gridCol w:w="2030"/>
      </w:tblGrid>
      <w:tr>
        <w:trPr/>
        <w:tc>
          <w:tcPr>
            <w:tcW w:w="110" w:type="dxa"/>
            <w:tcBorders/>
            <w:vAlign w:val="center"/>
          </w:tcPr>
          <w:p>
            <w:pPr>
              <w:pStyle w:val="TableContents"/>
              <w:bidi w:val="0"/>
              <w:spacing w:before="0" w:after="0"/>
              <w:jc w:val="left"/>
              <w:rPr>
                <w:color w:val="000000"/>
              </w:rPr>
            </w:pPr>
            <w:r>
              <w:rPr>
                <w:color w:val="000000"/>
              </w:rPr>
              <w:t>•</w:t>
            </w:r>
          </w:p>
        </w:tc>
        <w:tc>
          <w:tcPr>
            <w:tcW w:w="2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conflicts of interest; and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practical and mature business judgment.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 w:name="ny20024289x1_def14a_110-corporate_pg6"/>
        <w:bookmarkEnd w:id="4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Our nominating and corporate governance committee does not have a regard to the consideration of director candidates recommended by our stockholders and will evaluate such candidates on a case-by-case basis. Our nominating and corporate governance committee believes that it is in the best position to identify, review, evaluate, and select qualified candidates for Board membership, based on the comprehensive criteria for Board membership approved by the Board.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Among our eight board members, two self-identify as women and two self-identify as Asian. </w:t>
      </w:r>
    </w:p>
    <w:tbl>
      <w:tblPr>
        <w:tblW w:w="7069" w:type="dxa"/>
        <w:jc w:val="left"/>
        <w:tblInd w:w="0" w:type="dxa"/>
        <w:tblLayout w:type="fixed"/>
        <w:tblCellMar>
          <w:top w:w="0" w:type="dxa"/>
          <w:left w:w="0" w:type="dxa"/>
          <w:bottom w:w="0" w:type="dxa"/>
          <w:right w:w="0" w:type="dxa"/>
        </w:tblCellMar>
      </w:tblPr>
      <w:tblGrid>
        <w:gridCol w:w="3605"/>
        <w:gridCol w:w="23"/>
        <w:gridCol w:w="23"/>
        <w:gridCol w:w="706"/>
        <w:gridCol w:w="26"/>
        <w:gridCol w:w="26"/>
        <w:gridCol w:w="513"/>
        <w:gridCol w:w="26"/>
        <w:gridCol w:w="26"/>
        <w:gridCol w:w="1144"/>
        <w:gridCol w:w="26"/>
        <w:gridCol w:w="26"/>
        <w:gridCol w:w="899"/>
      </w:tblGrid>
      <w:tr>
        <w:trPr/>
        <w:tc>
          <w:tcPr>
            <w:tcW w:w="360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3418" w:type="dxa"/>
            <w:gridSpan w:val="10"/>
            <w:tcBorders>
              <w:bottom w:val="single" w:sz="8" w:space="0" w:color="000000"/>
            </w:tcBorders>
            <w:shd w:fill="CCEEFF" w:val="clear"/>
            <w:tcMar>
              <w:bottom w:w="85"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Diversity Matrix as of 4/26/2024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18" w:type="dxa"/>
            <w:gridSpan w:val="10"/>
            <w:tcBorders/>
            <w:vAlign w:val="center"/>
          </w:tcPr>
          <w:p>
            <w:pPr>
              <w:pStyle w:val="TableContents"/>
              <w:bidi w:val="0"/>
              <w:spacing w:before="0" w:after="283"/>
              <w:ind w:left="16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605" w:type="dxa"/>
            <w:tcBorders>
              <w:bottom w:val="single" w:sz="8" w:space="0" w:color="000000"/>
            </w:tcBorders>
            <w:shd w:fill="CCEEFF" w:val="clear"/>
            <w:tcMar>
              <w:bottom w:w="85" w:type="dxa"/>
            </w:tcMar>
            <w:vAlign w:val="center"/>
          </w:tcPr>
          <w:p>
            <w:pPr>
              <w:pStyle w:val="TableContents"/>
              <w:bidi w:val="0"/>
              <w:spacing w:before="0" w:after="0"/>
              <w:jc w:val="left"/>
              <w:rPr>
                <w:color w:val="000000"/>
              </w:rPr>
            </w:pPr>
            <w:r>
              <w:rPr>
                <w:color w:val="000000"/>
              </w:rPr>
              <w:t> </w:t>
            </w:r>
          </w:p>
        </w:tc>
        <w:tc>
          <w:tcPr>
            <w:tcW w:w="23"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23"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706" w:type="dxa"/>
            <w:tcBorders>
              <w:bottom w:val="single" w:sz="8" w:space="0" w:color="000000"/>
            </w:tcBorders>
            <w:shd w:fill="CCEEFF" w:val="clear"/>
            <w:tcMar>
              <w:bottom w:w="85"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Female</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513" w:type="dxa"/>
            <w:tcBorders>
              <w:bottom w:val="single" w:sz="8" w:space="0" w:color="000000"/>
            </w:tcBorders>
            <w:shd w:fill="CCEEFF" w:val="clear"/>
            <w:tcMar>
              <w:bottom w:w="85"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Male</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1144" w:type="dxa"/>
            <w:tcBorders>
              <w:bottom w:val="single" w:sz="8" w:space="0" w:color="000000"/>
            </w:tcBorders>
            <w:shd w:fill="CCEEFF" w:val="clear"/>
            <w:tcMar>
              <w:bottom w:w="85"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Non-Binary</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26" w:type="dxa"/>
            <w:tcBorders>
              <w:bottom w:val="single" w:sz="2" w:space="0" w:color="CCEEFF"/>
            </w:tcBorders>
            <w:shd w:fill="CCEEFF" w:val="clear"/>
            <w:tcMar>
              <w:bottom w:w="85" w:type="dxa"/>
            </w:tcMar>
            <w:vAlign w:val="center"/>
          </w:tcPr>
          <w:p>
            <w:pPr>
              <w:pStyle w:val="TableContents"/>
              <w:bidi w:val="0"/>
              <w:spacing w:before="0" w:after="283"/>
              <w:jc w:val="left"/>
              <w:rPr/>
            </w:pPr>
            <w:r>
              <w:rPr/>
              <w:t>​</w:t>
            </w:r>
          </w:p>
        </w:tc>
        <w:tc>
          <w:tcPr>
            <w:tcW w:w="899" w:type="dxa"/>
            <w:tcBorders>
              <w:bottom w:val="single" w:sz="8" w:space="0" w:color="000000"/>
            </w:tcBorders>
            <w:shd w:fill="CCEEFF" w:val="clear"/>
            <w:tcMar>
              <w:bottom w:w="85"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Did Not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Disclose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Gender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ind w:left="244"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513" w:type="dxa"/>
            <w:tcBorders/>
            <w:vAlign w:val="center"/>
          </w:tcPr>
          <w:p>
            <w:pPr>
              <w:pStyle w:val="TableContents"/>
              <w:bidi w:val="0"/>
              <w:spacing w:before="0" w:after="283"/>
              <w:ind w:left="155"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ind w:left="427" w:right="0" w:hanging="0"/>
              <w:jc w:val="left"/>
              <w:rPr>
                <w:color w:val="000000"/>
              </w:rPr>
            </w:pPr>
            <w:r>
              <w:rPr>
                <w:color w:val="000000"/>
              </w:rPr>
              <w:t>—</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ind w:left="294" w:right="0" w:hanging="0"/>
              <w:jc w:val="left"/>
              <w:rPr>
                <w:color w:val="000000"/>
              </w:rPr>
            </w:pPr>
            <w:r>
              <w:rPr>
                <w:color w:val="000000"/>
              </w:rPr>
              <w:t xml:space="preserv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ind w:left="244"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513"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ind w:left="427" w:right="0" w:hanging="0"/>
              <w:jc w:val="left"/>
              <w:rPr>
                <w:color w:val="000000"/>
              </w:rPr>
            </w:pPr>
            <w:r>
              <w:rPr>
                <w:color w:val="000000"/>
              </w:rPr>
              <w:t>—</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ind w:left="294" w:right="0" w:hanging="0"/>
              <w:jc w:val="left"/>
              <w:rPr>
                <w:color w:val="000000"/>
              </w:rPr>
            </w:pPr>
            <w:r>
              <w:rPr>
                <w:color w:val="000000"/>
              </w:rPr>
              <w: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24289x1_def14a_111-certain_pg1"/>
        <w:bookmarkEnd w:id="5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CR"/>
      <w:bookmarkEnd w:id="51"/>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transactions either entered into since January 1, 2023 or entered into prior to January 1, 2023 which have continuing obligations and to which we have been a party, in which the amount involved exceeds or will exceed the lesser of $120,000 or one percent of the average of our total assets at year-end for the last two completed fiscal years, and in which any of our directors, executive officers or holders of more than 5% of our capital stock, or an affiliate or immediate family member thereof, had or will have a direct or indirect material interest.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and Directors’ and Officers’ Liability Insurance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 w:name="ny20024289x1_def14a_112-director_pg1"/>
        <w:bookmarkEnd w:id="5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NE"/>
      <w:bookmarkEnd w:id="53"/>
      <w:r>
        <w:rPr>
          <w:rFonts w:ascii="Times New Roman;Times;serif" w:hAnsi="Times New Roman;Times;serif"/>
          <w:b/>
          <w:color w:val="000000"/>
          <w:sz w:val="20"/>
        </w:rPr>
        <w:t xml:space="preserve">NON-EMPLOYEE DIRECTOR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2023, our board of directors adopted the Third Amended and Restated Non-Employee Director Compensation Program, or the Director Compensation Program. Our board of directors periodically reviews our non-employee director compensation program in consultation with Pearl Meyer and has amended and restated the program from time to time based on recommendations provided by Pearl Meyer.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on or about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our non-employee directors receive an annual retainer of $50,000. Any non-employee chairperson receives an additional annual cash retainer in the amount of $35,000. Non-employee directors receive additional annual retainers of $10,000 for serving on the audit and compliance committee (or $20,000 for serving as the chair of the audit and compliance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each newly appointed or elected non-employee director is automatically granted an option to purchase the lesser of 200,000 shares of our common stock or that number of shares that results in the option having an expected grant date fair value of $300,000 as of the date of appointment or election. In addition, each non-employee director who has been serving on our board of directors for at least six months as of the date of any annual meeting of our stockholders and who will continue to serve as a non-employee director immediately following such meeting automatically is granted an option to purchase the lesser of 100,000 shares of our common stock or that number of shares that results in the option having an expected grant date fair value of $200,000. Each option has an exercise price per share equal to the closing trading price of our common stock on the date of grant or, if the date of grant is not a trading day, the immediately preceding trading day. Each initial non-employee director stock option vests and becomes exercisable as to 1/36th of the shares underlying the option on each monthly anniversary of the grant date, subject to the non-employee director’s continued service on our board of directors through the applicable vesting date. Each annual non-employee director stock option vests and becomes exercisable as to 1/12th of the shares underlying the option on each monthly anniversary of the grant date, subject to accelerated vesting immediately prior to the next annual stockholders meeting, in each case, subject to the non-employee director’s continued service on our board of directors through the applicable vesting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Program also provides that all outstanding equity awards that are held by a non-employee director will become fully vested and/or exercisable as of immediately prior to the consummation of a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Program includes the opportunity for non-employee directors to elect to receive fully vested stock awards in lieu of cash retainers. The number of shares of our common stock underlying the stock award is calculated by dividing the amount of the cash retainer by the closing trading price of a share of our common stock on the date of our annual meeting of stockholders (or the immediately preceding trading day if the date of our annual meeting of stockholders is not a trading day), rounded to the nearest whole share. For 2023, each of Messrs. Bertrand, Mott and Rodgers, Dr. Lundberg and Ms. Cadoret-Manier elected to receive a stock award in lieu of their respective 2023 annual cash retainers as calculated pursuant to the preceding sentence.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our board of directors are also reimbursed for reasonable travel and other out-of-pocket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24289x1_def14a_112-director_pg2"/>
        <w:bookmarkEnd w:id="5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2023 Director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for the year ended December 31, 2023 regarding the compensation awarded to, earned by or paid to our non-employee directors. </w:t>
      </w:r>
    </w:p>
    <w:tbl>
      <w:tblPr>
        <w:tblW w:w="6569" w:type="dxa"/>
        <w:jc w:val="left"/>
        <w:tblInd w:w="0" w:type="dxa"/>
        <w:tblLayout w:type="fixed"/>
        <w:tblCellMar>
          <w:top w:w="0" w:type="dxa"/>
          <w:left w:w="0" w:type="dxa"/>
          <w:bottom w:w="85" w:type="dxa"/>
          <w:right w:w="0" w:type="dxa"/>
        </w:tblCellMar>
      </w:tblPr>
      <w:tblGrid>
        <w:gridCol w:w="2210"/>
        <w:gridCol w:w="23"/>
        <w:gridCol w:w="23"/>
        <w:gridCol w:w="1010"/>
        <w:gridCol w:w="23"/>
        <w:gridCol w:w="23"/>
        <w:gridCol w:w="995"/>
        <w:gridCol w:w="23"/>
        <w:gridCol w:w="23"/>
        <w:gridCol w:w="1310"/>
        <w:gridCol w:w="23"/>
        <w:gridCol w:w="23"/>
        <w:gridCol w:w="860"/>
      </w:tblGrid>
      <w:tr>
        <w:trPr/>
        <w:tc>
          <w:tcPr>
            <w:tcW w:w="221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r>
      <w:tr>
        <w:trPr/>
        <w:tc>
          <w:tcPr>
            <w:tcW w:w="2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$202,402 </w:t>
            </w:r>
          </w:p>
        </w:tc>
      </w:tr>
      <w:tr>
        <w:trPr/>
        <w:tc>
          <w:tcPr>
            <w:tcW w:w="22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65,000</w:t>
            </w:r>
            <w:r>
              <w:rPr>
                <w:rFonts w:ascii="Times New Roman;Times;serif" w:hAnsi="Times New Roman;Times;serif"/>
                <w:color w:val="000000"/>
                <w:position w:val="7"/>
                <w:sz w:val="16"/>
                <w:sz w:val="20"/>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ind w:left="513"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$214,902 </w:t>
            </w:r>
          </w:p>
        </w:tc>
      </w:tr>
      <w:tr>
        <w:trPr/>
        <w:tc>
          <w:tcPr>
            <w:tcW w:w="2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$202,402 </w:t>
            </w:r>
          </w:p>
        </w:tc>
      </w:tr>
      <w:tr>
        <w:trPr/>
        <w:tc>
          <w:tcPr>
            <w:tcW w:w="22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Geoffrey A. Block, M.D.</w:t>
            </w:r>
            <w:r>
              <w:rPr>
                <w:rFonts w:ascii="Times New Roman;Times;serif" w:hAnsi="Times New Roman;Times;serif"/>
                <w:color w:val="000000"/>
                <w:position w:val="7"/>
                <w:sz w:val="16"/>
                <w:sz w:val="20"/>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$199,902 </w:t>
            </w:r>
          </w:p>
        </w:tc>
      </w:tr>
      <w:tr>
        <w:trPr/>
        <w:tc>
          <w:tcPr>
            <w:tcW w:w="2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w:t>
            </w:r>
            <w:r>
              <w:rPr>
                <w:rFonts w:ascii="Times New Roman;Times;serif" w:hAnsi="Times New Roman;Times;serif"/>
                <w:color w:val="000000"/>
                <w:position w:val="7"/>
                <w:sz w:val="16"/>
                <w:sz w:val="20"/>
              </w:rPr>
              <w:t>(2)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$199,902 </w:t>
            </w:r>
          </w:p>
        </w:tc>
      </w:tr>
      <w:tr>
        <w:trPr/>
        <w:tc>
          <w:tcPr>
            <w:tcW w:w="22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Lundberg,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w:t>
            </w:r>
            <w:r>
              <w:rPr>
                <w:rFonts w:ascii="Times New Roman;Times;serif" w:hAnsi="Times New Roman;Times;serif"/>
                <w:color w:val="000000"/>
                <w:position w:val="7"/>
                <w:sz w:val="16"/>
                <w:sz w:val="20"/>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$199,902 </w:t>
            </w:r>
          </w:p>
        </w:tc>
      </w:tr>
      <w:tr>
        <w:trPr/>
        <w:tc>
          <w:tcPr>
            <w:tcW w:w="22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position w:val="7"/>
                <w:sz w:val="16"/>
                <w:sz w:val="20"/>
              </w:rPr>
              <w:t>(2)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$249,902 </w:t>
            </w:r>
          </w:p>
        </w:tc>
      </w:tr>
      <w:tr>
        <w:trPr/>
        <w:tc>
          <w:tcPr>
            <w:tcW w:w="221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72,500</w:t>
            </w:r>
            <w:r>
              <w:rPr>
                <w:rFonts w:ascii="Times New Roman;Times;serif" w:hAnsi="Times New Roman;Times;serif"/>
                <w:color w:val="000000"/>
                <w:position w:val="7"/>
                <w:sz w:val="16"/>
                <w:sz w:val="20"/>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$149,902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ind w:left="513"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$222,402</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the Option Awards column represent the grant date fair value of the stock options granted to the non-employee members of our board of directors during 2023 as computed in accordance with ASC 718. The assumptions used in calculating the grant date fair value of the stock option reported in the Option Awards column are set forth in Note 13 to the audited financial statements included in our Annual Report on Form 10-K filed on February 22, 2024. The amounts reported in this column exclude the impact of estimated forfeitures related to service-based vesting provisions. Note that amounts reported in this column reflect the accounting cost for these stock options, and do not correspond to the actual economic value that may be received by the directors from the options. In June 2023, each of our non-employee directors was granted an annual option to purchase 49,237 shares of our common stock pursuant to the Director Compensation Program with an exercise price per share of $3.92 and a grant date fair value of $149,902.</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the number of shares of our common stock subject to outstanding options held by each of our non-employee directors as of December 31, 2023. </w:t>
      </w:r>
    </w:p>
    <w:tbl>
      <w:tblPr>
        <w:tblW w:w="3251" w:type="dxa"/>
        <w:jc w:val="left"/>
        <w:tblInd w:w="0" w:type="dxa"/>
        <w:tblLayout w:type="fixed"/>
        <w:tblCellMar>
          <w:top w:w="0" w:type="dxa"/>
          <w:left w:w="0" w:type="dxa"/>
          <w:bottom w:w="85" w:type="dxa"/>
          <w:right w:w="0" w:type="dxa"/>
        </w:tblCellMar>
      </w:tblPr>
      <w:tblGrid>
        <w:gridCol w:w="1865"/>
        <w:gridCol w:w="23"/>
        <w:gridCol w:w="23"/>
        <w:gridCol w:w="1340"/>
      </w:tblGrid>
      <w:tr>
        <w:trPr/>
        <w:tc>
          <w:tcPr>
            <w:tcW w:w="18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8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Robert Bazemore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40"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310,352 </w:t>
            </w:r>
          </w:p>
        </w:tc>
      </w:tr>
      <w:tr>
        <w:trPr/>
        <w:tc>
          <w:tcPr>
            <w:tcW w:w="18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Bertrand, Jr., Esq.</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325,532 </w:t>
            </w:r>
          </w:p>
        </w:tc>
      </w:tr>
      <w:tr>
        <w:trPr/>
        <w:tc>
          <w:tcPr>
            <w:tcW w:w="18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Muna Bhanji, R.Ph</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40"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212,924 </w:t>
            </w:r>
          </w:p>
        </w:tc>
      </w:tr>
      <w:tr>
        <w:trPr/>
        <w:tc>
          <w:tcPr>
            <w:tcW w:w="18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Geoffrey A. Block, M.D.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288,032 </w:t>
            </w:r>
          </w:p>
        </w:tc>
      </w:tr>
      <w:tr>
        <w:trPr/>
        <w:tc>
          <w:tcPr>
            <w:tcW w:w="18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Onaiza Cadoret-Manier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40"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247,892 </w:t>
            </w:r>
          </w:p>
        </w:tc>
      </w:tr>
      <w:tr>
        <w:trPr/>
        <w:tc>
          <w:tcPr>
            <w:tcW w:w="18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Jan Lundberg,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285,532 </w:t>
            </w:r>
          </w:p>
        </w:tc>
      </w:tr>
      <w:tr>
        <w:trPr/>
        <w:tc>
          <w:tcPr>
            <w:tcW w:w="18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Mott</w:t>
            </w:r>
            <w:r>
              <w:rPr>
                <w:rFonts w:ascii="Times New Roman;Times;serif" w:hAnsi="Times New Roman;Times;serif"/>
                <w:color w:val="000000"/>
                <w:position w:val="5"/>
                <w:sz w:val="13"/>
                <w:sz w:val="16"/>
              </w:rPr>
              <w:t>(a)</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340" w:type="dxa"/>
            <w:tcBorders/>
            <w:shd w:fill="CCEEFF" w:val="clear"/>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390,532 </w:t>
            </w:r>
          </w:p>
        </w:tc>
      </w:tr>
      <w:tr>
        <w:trPr/>
        <w:tc>
          <w:tcPr>
            <w:tcW w:w="18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Rodgers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345,532</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stock options to purchase 110,000 shares of our common stock that Mr. Mott holds for the benefit of entities associated with New Enterprise Associates.</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for each director, except Geoff Block, unvested stock options to purchase 24,619 shares of common stock granted on June 15, 2023, which stock options vest in monthly installments and will be fully vested on June 14, 2024.</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the Director Compensation Program, each of Messrs. Bertrand, Mott and Rodgers, Ms. Cadoret-Manier and Dr.  Lundberg elected to receive a stock award in lieu of their respective 2023 annual cash retainers. The fully vested stock awards consisted of 16,581, 25,510, 18,494, 12,755 and 12,755 shares of our common stock for Messrs. Bertrand, Mott and Rodgers, Ms. Cadoret-Manier and Dr. Lundberg, respectively. The number of shares of our common stock issued was calculated by dividing the annual retainer otherwise payable in cash at the 2023 Annual Meeting of Stockholders as reported in this column by $3.92, which was the closing trading price of our common stock on the date of the 2023 Annual Meeting of Stockholders, rounded down to the nearest whole share. The value of the cash fees the non-employee directors would have received had they not elected to receive stock awards is reported in this column.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Block resigned from our board of directors on November 13,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 w:name="ny20024289x1_def14a_113-executive_pg1"/>
        <w:bookmarkEnd w:id="5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EO"/>
      <w:bookmarkEnd w:id="56"/>
      <w:r>
        <w:rPr>
          <w:rFonts w:ascii="Times New Roman;Times;serif" w:hAnsi="Times New Roman;Times;serif"/>
          <w:b/>
          <w:color w:val="000000"/>
          <w:sz w:val="20"/>
        </w:rPr>
        <w:t xml:space="preserve">EXECUTIVE OFFICERS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our executive officers as of March 31, 2024. </w:t>
      </w:r>
    </w:p>
    <w:tbl>
      <w:tblPr>
        <w:tblW w:w="8042" w:type="dxa"/>
        <w:jc w:val="left"/>
        <w:tblInd w:w="0" w:type="dxa"/>
        <w:tblLayout w:type="fixed"/>
        <w:tblCellMar>
          <w:top w:w="0" w:type="dxa"/>
          <w:left w:w="0" w:type="dxa"/>
          <w:bottom w:w="85" w:type="dxa"/>
          <w:right w:w="0" w:type="dxa"/>
        </w:tblCellMar>
      </w:tblPr>
      <w:tblGrid>
        <w:gridCol w:w="2420"/>
        <w:gridCol w:w="23"/>
        <w:gridCol w:w="23"/>
        <w:gridCol w:w="305"/>
        <w:gridCol w:w="23"/>
        <w:gridCol w:w="23"/>
        <w:gridCol w:w="5225"/>
      </w:tblGrid>
      <w:tr>
        <w:trPr/>
        <w:tc>
          <w:tcPr>
            <w:tcW w:w="242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2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4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2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242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Blanks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2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Regulatory Affairs and Quality Assurance Officer </w:t>
            </w:r>
          </w:p>
        </w:tc>
      </w:tr>
      <w:tr>
        <w:trPr/>
        <w:tc>
          <w:tcPr>
            <w:tcW w:w="24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2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Legal and Administrative Officer </w:t>
            </w:r>
          </w:p>
        </w:tc>
      </w:tr>
      <w:tr>
        <w:trPr/>
        <w:tc>
          <w:tcPr>
            <w:tcW w:w="242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 Kelliher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2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Corporate Development and Strategy </w:t>
            </w:r>
          </w:p>
        </w:tc>
      </w:tr>
      <w:tr>
        <w:trPr/>
        <w:tc>
          <w:tcPr>
            <w:tcW w:w="24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2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and Operations Officer </w:t>
            </w:r>
          </w:p>
        </w:tc>
      </w:tr>
      <w:tr>
        <w:trPr/>
        <w:tc>
          <w:tcPr>
            <w:tcW w:w="242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Rodriguez</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2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Commercial Officer </w:t>
            </w:r>
          </w:p>
        </w:tc>
      </w:tr>
      <w:tr>
        <w:trPr/>
        <w:tc>
          <w:tcPr>
            <w:tcW w:w="24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Rosenbaum, Ph.D.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2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Development Officer </w:t>
            </w:r>
          </w:p>
        </w:tc>
      </w:tr>
      <w:tr>
        <w:trPr/>
        <w:tc>
          <w:tcPr>
            <w:tcW w:w="242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2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Medical Officer</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biographical information is furnished with regard to our executive as of March 31, 2024: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Robert Blanks </w:t>
      </w:r>
      <w:r>
        <w:rPr>
          <w:rFonts w:ascii="Times New Roman;Times;serif" w:hAnsi="Times New Roman;Times;serif"/>
          <w:b w:val="false"/>
          <w:color w:val="000000"/>
          <w:sz w:val="20"/>
        </w:rPr>
        <w:t xml:space="preserve">has served as our Chief Regulatory Affairs and Quality Assurance Officer since January 2020 and formerly served as our head of regulatory affairs and quality assurance from July 2013 to January 2020. From 2009 to 2012, Mr. Blanks served as the Vice President, Chemistry, Manufacturing and Controls for Flexion Therapeutics, Inc. (Nasdaq: FLXN). In addition, Mr. Blanks served as the Vice President Quality Assurance for Idenix Pharmaceuticals, Inc., a biopharmaceutical company, from 2006 to 2009. Prior to that, Mr. Blanks served in positions of increasing responsibility for GelTex Pharmaceuticals, a biopharmaceutical company, including most recently as Senior Director, Quality Affairs. Mr. Blanks has a B.S. in Biology from Bowdoin College, and an M.S. in Chemistry from Boston College.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Elizabeth Grammer, Esq.</w:t>
      </w:r>
      <w:r>
        <w:rPr>
          <w:rFonts w:ascii="Times New Roman;Times;serif" w:hAnsi="Times New Roman;Times;serif"/>
          <w:b w:val="false"/>
          <w:color w:val="000000"/>
          <w:sz w:val="20"/>
        </w:rPr>
        <w:t xml:space="preserve">, has served as our Chief Legal and Administrative Officer since January 2020, and formerly served as our General Counsel from May 2014 to January 2020, and as our vice president responsible for legal affairs from December 2012 until May 2014. Ms. Grammer has also served as a director of Sagimet Biosciences, Inc. (Nasdaq: SGMT) since May 2021.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from 1998 until its acquisition by Genzyme Corporation, a biotechnology company, in 2020. Ms. Grammer received a B.A. from Boston University and a J.D. from Stanford Law School.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Mike Kelliher </w:t>
      </w:r>
      <w:r>
        <w:rPr>
          <w:rFonts w:ascii="Times New Roman;Times;serif" w:hAnsi="Times New Roman;Times;serif"/>
          <w:b w:val="false"/>
          <w:color w:val="000000"/>
          <w:sz w:val="20"/>
        </w:rPr>
        <w:t xml:space="preserve">has served as our Executive Vice President, Corporate Development and Strategy since March 2024. From November 2014 to March 2024, Mr. Kelliher worked at Horizon Therapeutics, a private biotechnology company acquired in October 2023 by Amgen, a public biotechnology company. Dr. Kelliher most recently served as Group Vice President, M&amp;A and Business Development at Horizon Therapeutics from January 2022 to March 2024 and Vice President Business Development from April 2016 to December 2021. Prior to his time at Horizon, from 2009 to 2014, Mr. Kelliher held financial roles at Elan Corporation (now Perrigo Company), a public pharmaceutical company. Mr. Kelliher received a Bachelor of Commerce degree from the University College Cork (Ireland).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Justin Renz </w:t>
      </w:r>
      <w:r>
        <w:rPr>
          <w:rFonts w:ascii="Times New Roman;Times;serif" w:hAnsi="Times New Roman;Times;serif"/>
          <w:b w:val="false"/>
          <w:color w:val="000000"/>
          <w:sz w:val="20"/>
        </w:rPr>
        <w:t xml:space="preserve">has served as our Chief Financial and Operations Officer since January 2023, and served as our Chief Financial Officer from June 2020 to January 2023. Beginning in 2017, Mr. Renz held various positions of increasing responsibility at Correvio Pharma Corp, most recently as its President and Chief Financial Officer at the time of its acquisition by Advanz Pharma in May 2020. From 2014 to 2017, Mr. Renz was the Executive Vice President and Chief Financial Officer of Karyopharm Therapeutics, Inc. (Nasdaq: KTPI). Prior to that, from 2006 to 2014, Mr. Renz held a variety of financial positions with Zalicus Pharmaceuticals Ltd., a biopharmaceutical company,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24289x1_def14a_113-executive_pg2"/>
        <w:bookmarkEnd w:id="5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Susan Rodriguez </w:t>
      </w:r>
      <w:r>
        <w:rPr>
          <w:rFonts w:ascii="Times New Roman;Times;serif" w:hAnsi="Times New Roman;Times;serif"/>
          <w:b w:val="false"/>
          <w:color w:val="000000"/>
          <w:sz w:val="20"/>
        </w:rPr>
        <w:t xml:space="preserve">has served as our Chief Commercial Officer since May 2020. From 2014 to 2019, Ms. Rodriguez served as the founding Chief Executive Officer of Tolmar Pharmaceuticals, Inc., a U.S. specialty pharmaceutical company, and from 2019 to 2020, she served as President of the branded division following formation of the global entity, Tolmar, Inc. Prior to that, Ms. Rodriguez held various positions of increasing responsibility at Abbott Laboratories, Inc. (NYSE: ABT) from 1990 to 2014, most recently as Divisional Vice President of Global Marketing. Ms. Rodriguez serves on the board of directors of Heron Therapeutics, Inc. (Nasdaq: HRTX), Veradigm Inc. (Nasdaq: MDRX) and the Cuba Emprende Foundation, a non-profit charitable organization. Ms. Rodriguez received her B.A. and M.A. in Psychology from the University of Pennsylvania.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David Rosenbaum, Ph.D., </w:t>
      </w:r>
      <w:r>
        <w:rPr>
          <w:rFonts w:ascii="Times New Roman;Times;serif" w:hAnsi="Times New Roman;Times;serif"/>
          <w:b w:val="false"/>
          <w:color w:val="000000"/>
          <w:sz w:val="20"/>
        </w:rPr>
        <w:t xml:space="preserve">has served as our Chief Development Officer since January 2017 and formerly served as our vice president responsible for drug development from January 2010 to January 2017. From 2003 to 2008, he was Vice President of Drug Development for Trine Pharmaceuticals, Inc., a biopharmaceutical company. In addition, Dr. Rosenbaum previously served as Vice President of Preclinical Research and Development at GelTex Pharmaceuticals, a biopharmaceutical company. He received a B.A. in Biology from the University of Pennsylvania, a M.S. in Toxicology from Albany Medical College and a Ph.D. in Pharmacology from Boston University School of Medicine.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Laura Williams, M.D., M.P.H., </w:t>
      </w:r>
      <w:r>
        <w:rPr>
          <w:rFonts w:ascii="Times New Roman;Times;serif" w:hAnsi="Times New Roman;Times;serif"/>
          <w:b w:val="false"/>
          <w:color w:val="000000"/>
          <w:sz w:val="20"/>
        </w:rPr>
        <w:t xml:space="preserve">has served as our Chief Medical Officer since October 2021. Before that, Dr. Williams served as our Senior Vice President, Global Therapeutic Strategies and Patient Advocacy since November 2020. Dr. Williams serves on the board of directors of the National Kidney Foundation in northern California and the Pacific North West, as well as on the board of trustees of the American Kidney Fund. Previously, Dr. Williams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Previously, Dr. Williams served as Vice President, Clinical Development at Myovant Sciences (NYSE: MYOV) from September 2016 to August 2017. Dr. Williams held roles of increasing responsibility at AbbVie Pharmaceuticals (Nasdaq: ABBV) from January 2013 to July 2016, and at Abbott Laboratories, Inc. (NYSE: ABT) from July 1998 to December 2012. Dr. Williams received a B.S. degree in Pre-Medicine/Pre-Medical Studies and Biochemistry from Mississippi State University, a M.D. from University of Iowa, and a M.P.H. degree in Epidemiology from University of Washington, where she also completed a clinical fellowship in Infectious Diseases. Dr. Williams completed her residency training in Internal Medicine at University of Michigan.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 w:name="ny20024289x1_def14a_113-executive_pg3"/>
        <w:bookmarkEnd w:id="5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EC"/>
      <w:bookmarkEnd w:id="59"/>
      <w:r>
        <w:rPr>
          <w:rFonts w:ascii="Times New Roman;Times;serif" w:hAnsi="Times New Roman;Times;serif"/>
          <w:b/>
          <w:color w:val="000000"/>
          <w:sz w:val="20"/>
        </w:rPr>
        <w:t xml:space="preserve">EXECUTIVE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and analysis of compensation arrangements of our named executive officers, or NEOs. As a “smaller reporting company” as defined in Item 10(f), we are not required to include a Compensation Discussion and Analysis section and have elected to comply with the scaled disclosure requirements applicable to smaller reporting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for fiscal year 2023 were as follows: </w:t>
      </w:r>
    </w:p>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Michael Raab, who serves as our President, Chief Executive Officer and Director;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Laura Williams, M.D., M.P.H., who serves as our Chief Medical Officer; and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who serves as our Chief Legal and Administrative Officer.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2023 Summary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about the compensation earned by each of our named executive officers during our most recently completed fiscal year ended December 31, 2023. </w:t>
      </w:r>
    </w:p>
    <w:tbl>
      <w:tblPr>
        <w:tblW w:w="9263" w:type="dxa"/>
        <w:jc w:val="left"/>
        <w:tblInd w:w="0" w:type="dxa"/>
        <w:tblLayout w:type="fixed"/>
        <w:tblCellMar>
          <w:top w:w="0" w:type="dxa"/>
          <w:left w:w="0" w:type="dxa"/>
          <w:bottom w:w="85" w:type="dxa"/>
          <w:right w:w="0" w:type="dxa"/>
        </w:tblCellMar>
      </w:tblPr>
      <w:tblGrid>
        <w:gridCol w:w="2465"/>
        <w:gridCol w:w="23"/>
        <w:gridCol w:w="23"/>
        <w:gridCol w:w="440"/>
        <w:gridCol w:w="23"/>
        <w:gridCol w:w="23"/>
        <w:gridCol w:w="695"/>
        <w:gridCol w:w="23"/>
        <w:gridCol w:w="23"/>
        <w:gridCol w:w="695"/>
        <w:gridCol w:w="23"/>
        <w:gridCol w:w="23"/>
        <w:gridCol w:w="695"/>
        <w:gridCol w:w="23"/>
        <w:gridCol w:w="23"/>
        <w:gridCol w:w="845"/>
        <w:gridCol w:w="23"/>
        <w:gridCol w:w="23"/>
        <w:gridCol w:w="1100"/>
        <w:gridCol w:w="23"/>
        <w:gridCol w:w="23"/>
        <w:gridCol w:w="1055"/>
        <w:gridCol w:w="23"/>
        <w:gridCol w:w="23"/>
        <w:gridCol w:w="905"/>
      </w:tblGrid>
      <w:tr>
        <w:trPr/>
        <w:tc>
          <w:tcPr>
            <w:tcW w:w="24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65"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Raab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President, Chief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 and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330,000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687,500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2,395,694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17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4,950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w:t>
            </w:r>
            <w:r>
              <w:rPr>
                <w:rFonts w:ascii="Times New Roman;Times;serif" w:hAnsi="Times New Roman;Times;serif"/>
                <w:color w:val="000000"/>
                <w:sz w:val="20"/>
              </w:rPr>
              <w:t xml:space="preserve">8,144 </w:t>
            </w:r>
          </w:p>
        </w:tc>
      </w:tr>
      <w:tr>
        <w:trPr/>
        <w:tc>
          <w:tcPr>
            <w:tcW w:w="246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517,020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331,500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ind w:left="2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1,947,020 </w:t>
            </w:r>
          </w:p>
        </w:tc>
      </w:tr>
      <w:tr>
        <w:trPr/>
        <w:tc>
          <w:tcPr>
            <w:tcW w:w="2465" w:type="dxa"/>
            <w:vMerge w:val="restart"/>
            <w:tcBorders/>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Laura Williams, M.D., M.P.H.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Medical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483,600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181,210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748,121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173"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ind w:left="268"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1,627,431 </w:t>
            </w:r>
          </w:p>
        </w:tc>
      </w:tr>
      <w:tr>
        <w:trPr/>
        <w:tc>
          <w:tcPr>
            <w:tcW w:w="246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141,811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158,800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ind w:left="268"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1,055,211 </w:t>
            </w:r>
          </w:p>
        </w:tc>
      </w:tr>
      <w:tr>
        <w:trPr/>
        <w:tc>
          <w:tcPr>
            <w:tcW w:w="24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and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Administrative Officer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463,300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748,121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17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4,950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1,630,871</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13 to the audited financial statements included in our Annual Report on Form 10-K filed on February 22, 2024.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the Non-Equity Incentive Plan Compensation column represent annual cash performance-based bonuses earned by our NEOs pursuant to the achievement of certain company performance objectives.</w:t>
            </w:r>
          </w:p>
        </w:tc>
      </w:tr>
    </w:tbl>
    <w:tbl>
      <w:tblPr>
        <w:tblW w:w="9235" w:type="dxa"/>
        <w:jc w:val="left"/>
        <w:tblInd w:w="0" w:type="dxa"/>
        <w:tblLayout w:type="fixed"/>
        <w:tblCellMar>
          <w:top w:w="0" w:type="dxa"/>
          <w:left w:w="0" w:type="dxa"/>
          <w:bottom w:w="0" w:type="dxa"/>
          <w:right w:w="0" w:type="dxa"/>
        </w:tblCellMar>
      </w:tblPr>
      <w:tblGrid>
        <w:gridCol w:w="230"/>
        <w:gridCol w:w="9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All Other Compensation column represent employer matching contributions under our 401(k) plan.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Summary Compensation Table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2023 Salaries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each receive a base salary to compensate them for services rendered to our company. The base salary payable to each NEO is intended to provide a fixed component of compensation reflecting the executive’s skill set, experience, role and responsibilities.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as of January 1, 2023, the annual base salaries for Mr. Raab, Dr. Williams and Ms. Grammer were $700,000, $483,600 and $463,300,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24289x1_def14a_113-executive_pg4"/>
        <w:bookmarkEnd w:id="6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2023 Bonuses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an annual performance-based cash bonus program in which each of our NEOs participated in 2023. Each NEO’s target bonus is expressed as a percentage of base salary which in 2023 could be achieved based upon the achievement of corporate goals. The 2023 annual bonuses for Mr. Raab, Dr. Williams and Ms. Grammer were targeted at 60%, 40% and 40% of their respective base salaries. In 2023, Mr. Raab’s NEO’s target bonus was based 100% on the achievement of corporate performance objectives, approved by our compensation committee and board of directors, and Dr. Williams and Ms. Grammer’s target bonuses were each based 80% on the achievement of corporate performance objectives and 20% based upon the achievement of personnel objectives. In January 2024, our compensation committee and Board determined that the corporate objectives were achieved at 92% of target, but applied negative discretion to reduce Mr. Raab’s bonus by 15%. The compensation committee determined that Dr. Williams’ and Ms. Grammer’s personnel objectives had been achieved at 100%, and then applied positive discretion to increase Ms. Grammer’s bonus by 15%. The actual annual cash bonuses awarded to each NEO for 2023 performance are set forth above in the Summary Compensation Table in the column titled “Non-Equity Incentive Plan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year, the Compensation Committee or the Board may supplement the target bonuses earned by our NEOs with discretionary bonuses based on the compensation committee’s or the board of director’s assessment of individual contributions.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use equity awards to motivate and reward our NEOs for long-term corporate performance based on the value of the Company’s common stock and, thereby, align the interests of our NEOs with those of our stockholders. We believe equity provides appropriate long-term incentive and retention of our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January 2023, the compensation committee granted to Mr. Raab, Dr. Williams and Ms. Grammer an option to purchase 1,124,000, 351,000 and 351,000 shares of our common stock, respectively, each with an exercise price of $2.75 per share. Also in January 2023, the Board granted to Mr. Raab, Dr. Williams and Ms. Grammer 250,000, 78,000 and 78,000 restricted stock units, respectively. Each option vests in substantially equal monthly installments over 4 years, and each award of restricted stock units vests in substantially equal quarterly installments over 4 years, in each case, subject to continued service to 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Elements of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Savings and Health and Welfare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In 2023 the compensation committee and Board approved matching employer contributions under our 401(k) plan for all employees participating in the 401(k) plan, with all contributions to vest immediately, and the company match to be 0.5% of the first 3% of the employee’s contribution.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our full-time employees, including our NEOs, are eligible to participate in our health and welfare plans. These health and welfare plans include medical, dental and vision benefits; short-term and long-term disability insurance; and supplemental life and AD&amp;D insurance.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and Other Personal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any perquisites or personal benefits to our NEOs not otherwise made available to other employees in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24289x1_def14a_113-executive_pg5"/>
        <w:bookmarkEnd w:id="6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number of shares of common stock underlying outstanding equity incentive plan awards for each named executive officer as of December 31, 2023. </w:t>
      </w:r>
    </w:p>
    <w:tbl>
      <w:tblPr>
        <w:tblW w:w="8822" w:type="dxa"/>
        <w:jc w:val="left"/>
        <w:tblInd w:w="0" w:type="dxa"/>
        <w:tblLayout w:type="fixed"/>
        <w:tblCellMar>
          <w:top w:w="0" w:type="dxa"/>
          <w:left w:w="0" w:type="dxa"/>
          <w:bottom w:w="65" w:type="dxa"/>
          <w:right w:w="0" w:type="dxa"/>
        </w:tblCellMar>
      </w:tblPr>
      <w:tblGrid>
        <w:gridCol w:w="1595"/>
        <w:gridCol w:w="23"/>
        <w:gridCol w:w="23"/>
        <w:gridCol w:w="1220"/>
        <w:gridCol w:w="23"/>
        <w:gridCol w:w="23"/>
        <w:gridCol w:w="935"/>
        <w:gridCol w:w="23"/>
        <w:gridCol w:w="23"/>
        <w:gridCol w:w="1025"/>
        <w:gridCol w:w="23"/>
        <w:gridCol w:w="23"/>
        <w:gridCol w:w="665"/>
        <w:gridCol w:w="23"/>
        <w:gridCol w:w="23"/>
        <w:gridCol w:w="875"/>
        <w:gridCol w:w="23"/>
        <w:gridCol w:w="23"/>
        <w:gridCol w:w="1085"/>
        <w:gridCol w:w="23"/>
        <w:gridCol w:w="23"/>
        <w:gridCol w:w="1100"/>
      </w:tblGrid>
      <w:tr>
        <w:trPr/>
        <w:tc>
          <w:tcPr>
            <w:tcW w:w="1595" w:type="dxa"/>
            <w:vMerge w:val="restart"/>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vMerge w:val="restart"/>
            <w:tcBorders>
              <w:bottom w:val="single" w:sz="2" w:space="0" w:color="FFFFFF"/>
            </w:tcBorders>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638" w:type="dxa"/>
            <w:gridSpan w:val="10"/>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231"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(2)</w:t>
            </w:r>
          </w:p>
        </w:tc>
      </w:tr>
      <w:tr>
        <w:trPr/>
        <w:tc>
          <w:tcPr>
            <w:tcW w:w="1595"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2" w:space="0" w:color="FFFFFF"/>
            </w:tcBorders>
            <w:vAlign w:val="center"/>
          </w:tcPr>
          <w:p>
            <w:pPr>
              <w:pStyle w:val="Normal"/>
              <w:bidi w:val="0"/>
              <w:jc w:val="left"/>
              <w:rPr/>
            </w:pPr>
            <w:r>
              <w:rPr/>
            </w:r>
          </w:p>
        </w:tc>
        <w:tc>
          <w:tcPr>
            <w:tcW w:w="23" w:type="dxa"/>
            <w:tcBorders>
              <w:bottom w:val="single" w:sz="2" w:space="0" w:color="FFFFFF"/>
            </w:tcBorders>
            <w:vAlign w:val="center"/>
          </w:tcPr>
          <w:p>
            <w:pPr>
              <w:pStyle w:val="TableContents"/>
              <w:bidi w:val="0"/>
              <w:spacing w:before="0" w:after="283"/>
              <w:jc w:val="left"/>
              <w:rPr/>
            </w:pPr>
            <w:r>
              <w:rPr/>
              <w:t>​</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1595"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257,583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866,417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187,500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1,162,500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335,416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465,000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377,678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140,281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6.35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28,774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178,399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1/9/2020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545,846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11,614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1/17/2019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455,000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1/17/2029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7/26/2018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1/16/2018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390,348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8/9/2017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79,535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1/19/2017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318,141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1/18/2027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1/15/2016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301,258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10.55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1/6/2015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1/6/2025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Laura Williams,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M.D., M.P.H.</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1/5/2023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80,437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270,563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1/5/2033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58,500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362,700 </w:t>
            </w:r>
          </w:p>
        </w:tc>
      </w:tr>
      <w:tr>
        <w:trPr/>
        <w:tc>
          <w:tcPr>
            <w:tcW w:w="159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124,000 </w:t>
            </w:r>
          </w:p>
        </w:tc>
      </w:tr>
      <w:tr>
        <w:trPr/>
        <w:tc>
          <w:tcPr>
            <w:tcW w:w="15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11/2/2020</w:t>
            </w:r>
            <w:r>
              <w:rPr>
                <w:rFonts w:ascii="Times New Roman;Times;serif" w:hAnsi="Times New Roman;Times;serif"/>
                <w:color w:val="000000"/>
                <w:position w:val="7"/>
                <w:sz w:val="16"/>
                <w:sz w:val="20"/>
              </w:rPr>
              <w:t>(4)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80,937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24,063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65" w:type="dxa"/>
            <w:tcBorders/>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5.19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11/2/2030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5,832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36,158 </w:t>
            </w:r>
          </w:p>
        </w:tc>
      </w:tr>
      <w:tr>
        <w:trPr/>
        <w:tc>
          <w:tcPr>
            <w:tcW w:w="1595"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80,437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270,563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58,500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362,700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93,916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102,084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0.99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130,200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1/5/2021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107,008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39,747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6.35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1/5/2031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8,152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50,542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1/9/2020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136,461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2,904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1/17/2019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78,000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1/17/2029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7/26/2018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54,730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1/16/2018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117,104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8/9/2017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19,884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1/19/2017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79,535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1/18/2027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1/15/2016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102,701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10.55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 xml:space="preserve">— </w:t>
            </w:r>
          </w:p>
        </w:tc>
      </w:tr>
      <w:tr>
        <w:trPr/>
        <w:tc>
          <w:tcPr>
            <w:tcW w:w="1595"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1/6/2015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11,450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ind w:left="153"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23.02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1/6/2025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ind w:left="168"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93" w:right="0" w:hanging="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each option vests and becomes exercisable in substantially equal monthly installments over four years from the vesting commencement date,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each award of restricted stock units vest in substantially equal quarterly installments over four years from the vesting commencement date, on each of February 19; May 19; August 19 and November 19, subject to the holder continuing to provide continued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calculated based on the $6.20 closing trading price of our common stock as of December 29, 2023, the last trading day of fiscal year 2023.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 and the restricted stock unit award vests as to 25% of the restricted stock units subject to the award on November 19, 2021, and as to 1/16th of the shares subject to the restricted stock unit on each February 19; May 19; August 19 and November 19, subject to the holder continuing to provide services to us through each such date. </w:t>
            </w:r>
          </w:p>
        </w:tc>
      </w:tr>
    </w:tbl>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28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Executive Compensation Arrangements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agreements with each of our NEOs in connection with their employment with us. These agreements set forth the terms and conditions of employment of each NEO, including base salary, initial equity award grants, and standard employee benefit plan participation. We also have entered into agreements with our NEOs that provide for severance benefits and payments upon certain terminations without cause or resignations for good reason. Specifically, in June 2014, we entered into an amended and restated employment agreement with Mr. Raab, in October 2021we entered into a change in control severance agreement with Dr. Williams and in May 2018, we entered into a second amended and restated change in control severance agreement with Ms. Grammer.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24289x1_def14a_113-executive_pg6"/>
        <w:bookmarkEnd w:id="6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each other NEO’s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 for good reason, in each case within three months prior to and 12 months after a change in control, then they will receive: (i) a lump sum amount equal to the sum of their base salary as in effect immediately prior to such termination and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Mr. Raab’s amended and restated employment agreement and each of the other NEO’s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Mr. Raab’s amended and restated employment agreement and each of the other NEO’s change in control severance agreements, “good reason” includes the occurrence of: (i) a material diminution in the NEO’s authority, duties, or responsibilities, which substantially reduces the nature or character of their position; (ii) a reduction (or material reduction, in the case of each named executive officer other than Mr. Raab)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NEO, provided that in order for “good reason” to exist, each of the following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24289x1_def14a_113-executive_pg7"/>
        <w:bookmarkEnd w:id="6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conditions must be met: (i) the foregoing good reason conditions must have occurred without the named executive officer’s express written consent; (ii) 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24289x1_def14a_114-pvp_pg1"/>
        <w:bookmarkEnd w:id="6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 Versus Performance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concerning the compensation provided to our NEOs and certain measures of Company performance in the years ended December 31, 2023, 2022 and 2021, for services to our Company in all capacities. The Compensation Committee did not consider the pay versus performance disclosure below in making its pay decisions for any of the fiscal years shown. </w:t>
      </w:r>
    </w:p>
    <w:tbl>
      <w:tblPr>
        <w:tblW w:w="9521" w:type="dxa"/>
        <w:jc w:val="left"/>
        <w:tblInd w:w="0" w:type="dxa"/>
        <w:tblLayout w:type="fixed"/>
        <w:tblCellMar>
          <w:top w:w="0" w:type="dxa"/>
          <w:left w:w="0" w:type="dxa"/>
          <w:bottom w:w="85" w:type="dxa"/>
          <w:right w:w="0" w:type="dxa"/>
        </w:tblCellMar>
      </w:tblPr>
      <w:tblGrid>
        <w:gridCol w:w="455"/>
        <w:gridCol w:w="23"/>
        <w:gridCol w:w="23"/>
        <w:gridCol w:w="1550"/>
        <w:gridCol w:w="23"/>
        <w:gridCol w:w="23"/>
        <w:gridCol w:w="1100"/>
        <w:gridCol w:w="23"/>
        <w:gridCol w:w="23"/>
        <w:gridCol w:w="1550"/>
        <w:gridCol w:w="23"/>
        <w:gridCol w:w="23"/>
        <w:gridCol w:w="1805"/>
        <w:gridCol w:w="23"/>
        <w:gridCol w:w="23"/>
        <w:gridCol w:w="1715"/>
        <w:gridCol w:w="23"/>
        <w:gridCol w:w="23"/>
        <w:gridCol w:w="1070"/>
      </w:tblGrid>
      <w:tr>
        <w:trPr/>
        <w:tc>
          <w:tcPr>
            <w:tcW w:w="45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for PEO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 ($)</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Non-PEO NEOs ($)</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investment 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Total 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 (“TSR”) ($)</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in millions) </w:t>
            </w:r>
          </w:p>
        </w:tc>
      </w:tr>
      <w:tr>
        <w:trPr/>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4,113,194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10,055,709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1,626,676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805" w:type="dxa"/>
            <w:tcBorders/>
            <w:shd w:fill="CCEEFF" w:val="clear"/>
            <w:tcMar>
              <w:bottom w:w="0" w:type="dxa"/>
            </w:tcM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3,344,278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715" w:type="dxa"/>
            <w:tcBorders/>
            <w:shd w:fill="CCEEFF" w:val="clear"/>
            <w:tcMar>
              <w:bottom w:w="0" w:type="dxa"/>
            </w:tcMar>
            <w:vAlign w:val="center"/>
          </w:tcPr>
          <w:p>
            <w:pPr>
              <w:pStyle w:val="TableContents"/>
              <w:bidi w:val="0"/>
              <w:spacing w:before="0" w:after="283"/>
              <w:ind w:left="691"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 </w:t>
            </w:r>
          </w:p>
        </w:tc>
      </w:tr>
      <w:tr>
        <w:trPr/>
        <w:tc>
          <w:tcPr>
            <w:tcW w:w="4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50" w:type="dxa"/>
            <w:tcBorders/>
            <w:tcMar>
              <w:bottom w:w="0" w:type="dxa"/>
            </w:tcM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1,947,020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4,047,941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50" w:type="dxa"/>
            <w:tcBorders/>
            <w:tcMar>
              <w:bottom w:w="0" w:type="dxa"/>
            </w:tcM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1,049,800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05" w:type="dxa"/>
            <w:tcBorders/>
            <w:tcMar>
              <w:bottom w:w="0" w:type="dxa"/>
            </w:tcM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1,913,762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15" w:type="dxa"/>
            <w:tcBorders/>
            <w:tcMar>
              <w:bottom w:w="0" w:type="dxa"/>
            </w:tcMar>
            <w:vAlign w:val="center"/>
          </w:tcPr>
          <w:p>
            <w:pPr>
              <w:pStyle w:val="TableContents"/>
              <w:bidi w:val="0"/>
              <w:spacing w:before="0" w:after="283"/>
              <w:ind w:left="691"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4,230,994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39,202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1,700,013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805" w:type="dxa"/>
            <w:tcBorders/>
            <w:shd w:fill="CCEEFF" w:val="clear"/>
            <w:tcMar>
              <w:bottom w:w="0" w:type="dxa"/>
            </w:tcM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584,783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715" w:type="dxa"/>
            <w:tcBorders/>
            <w:shd w:fill="CCEEFF" w:val="clear"/>
            <w:tcMar>
              <w:bottom w:w="0" w:type="dxa"/>
            </w:tcMar>
            <w:vAlign w:val="center"/>
          </w:tcPr>
          <w:p>
            <w:pPr>
              <w:pStyle w:val="TableContents"/>
              <w:bidi w:val="0"/>
              <w:spacing w:before="0" w:after="283"/>
              <w:ind w:left="691"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(158)</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compensation actually paid (“CAP”) to our CEO, Michael Raab, who was our Principal Executive Officer or “PEO” for each of the three years shown, and the average CAP to our remaining NEOs or “Non-PEO NEOs” for the relevant fiscal year, as determined under SEC rules, which includes Laura Williams, M.D., M.P.H and Elizabeth Grammer, Esq. for 2023, Laura Williams, M.D., M.P.H. and Susan Rodriguez for 2022 and Justin Renz, Robert Blanks, Elizabeth Grammer, Esq. and David Rosenbaum, Ph.D. for 2021. </w:t>
            </w:r>
          </w:p>
        </w:tc>
      </w:tr>
    </w:tbl>
    <w:p>
      <w:pPr>
        <w:pStyle w:val="TextBody"/>
        <w:bidi w:val="0"/>
        <w:spacing w:before="9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the Summary Compensation Table Total Compensation for the applicable fiscal year adjusted as follows: </w:t>
      </w:r>
    </w:p>
    <w:tbl>
      <w:tblPr>
        <w:tblW w:w="10205" w:type="dxa"/>
        <w:jc w:val="left"/>
        <w:tblInd w:w="0" w:type="dxa"/>
        <w:tblLayout w:type="fixed"/>
        <w:tblCellMar>
          <w:top w:w="0" w:type="dxa"/>
          <w:left w:w="0" w:type="dxa"/>
          <w:bottom w:w="0" w:type="dxa"/>
          <w:right w:w="0" w:type="dxa"/>
        </w:tblCellMar>
      </w:tblPr>
      <w:tblGrid>
        <w:gridCol w:w="8325"/>
        <w:gridCol w:w="23"/>
        <w:gridCol w:w="23"/>
        <w:gridCol w:w="740"/>
        <w:gridCol w:w="23"/>
        <w:gridCol w:w="23"/>
        <w:gridCol w:w="1048"/>
      </w:tblGrid>
      <w:tr>
        <w:trPr/>
        <w:tc>
          <w:tcPr>
            <w:tcW w:w="832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 (“FY”)</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834"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83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4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04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 </w:t>
            </w:r>
          </w:p>
        </w:tc>
      </w:tr>
      <w:tr>
        <w:trPr/>
        <w:tc>
          <w:tcPr>
            <w:tcW w:w="8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Deduction for ASC 718 Fair Value as of Grant Date Reported under the Option Awards Columns in the Summary Compensation Table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3,083,194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962,621</w:t>
            </w:r>
            <w:r>
              <w:rPr>
                <w:rFonts w:ascii="Times New Roman;Times;serif" w:hAnsi="Times New Roman;Times;serif"/>
                <w:color w:val="000000"/>
                <w:sz w:val="16"/>
              </w:rPr>
              <w:t xml:space="preserve"> </w:t>
            </w:r>
          </w:p>
        </w:tc>
      </w:tr>
      <w:tr>
        <w:trPr/>
        <w:tc>
          <w:tcPr>
            <w:tcW w:w="83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Remain Unvested as of FY End (“FYE”)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5,253,623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1,640,267 </w:t>
            </w:r>
          </w:p>
        </w:tc>
      </w:tr>
      <w:tr>
        <w:trPr/>
        <w:tc>
          <w:tcPr>
            <w:tcW w:w="8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Vested during the FY as of Vesting Date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1,224,389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382,240</w:t>
            </w:r>
            <w:r>
              <w:rPr>
                <w:rFonts w:ascii="Times New Roman;Times;serif" w:hAnsi="Times New Roman;Times;serif"/>
                <w:color w:val="000000"/>
                <w:sz w:val="16"/>
              </w:rPr>
              <w:t xml:space="preserve"> </w:t>
            </w:r>
          </w:p>
        </w:tc>
      </w:tr>
      <w:tr>
        <w:trPr/>
        <w:tc>
          <w:tcPr>
            <w:tcW w:w="83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Increase/deduction based on ASC 718 Fair Value of Outstanding Unvested Prior FY Awards as of FYE Compared to Valuation as of Prior FYE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1,791,455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477,368</w:t>
            </w:r>
            <w:r>
              <w:rPr>
                <w:rFonts w:ascii="Times New Roman;Times;serif" w:hAnsi="Times New Roman;Times;serif"/>
                <w:color w:val="000000"/>
                <w:sz w:val="16"/>
              </w:rPr>
              <w:t xml:space="preserve"> </w:t>
            </w:r>
          </w:p>
        </w:tc>
      </w:tr>
      <w:tr>
        <w:trPr/>
        <w:tc>
          <w:tcPr>
            <w:tcW w:w="8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Increase/deduction based on ASC 718 Fair Value of Prior FY Awards that Vested during the FY as of Vesting Date Compared to Valuation as of Prior FYE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756,242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 xml:space="preserve">180,347 </w:t>
            </w:r>
          </w:p>
        </w:tc>
      </w:tr>
      <w:tr>
        <w:trPr/>
        <w:tc>
          <w:tcPr>
            <w:tcW w:w="8325"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Total Adjustments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5,942,515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ind w:left="195" w:right="0" w:hanging="0"/>
              <w:jc w:val="left"/>
              <w:rPr>
                <w:rFonts w:ascii="Times New Roman;Times;serif" w:hAnsi="Times New Roman;Times;serif"/>
                <w:color w:val="000000"/>
                <w:sz w:val="16"/>
                <w:bdr w:val="single" w:sz="8" w:space="1" w:color="000000"/>
              </w:rPr>
            </w:pPr>
            <w:r>
              <w:rPr>
                <w:rFonts w:ascii="Times New Roman;Times;serif" w:hAnsi="Times New Roman;Times;serif"/>
                <w:color w:val="000000"/>
                <w:sz w:val="16"/>
                <w:bdr w:val="single" w:sz="8" w:space="1" w:color="000000"/>
              </w:rPr>
              <w:t>1,717,601</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2021, 2022 or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 w:name="ny20024289x1_def14a_114-pvp_pg2"/>
        <w:bookmarkEnd w:id="6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Pay Versus Performance Table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Financial Performance Measures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graphs below compare the compensation actually paid to our PEO and the average of the compensation actually paid to our remaining NEOs, with (i) our cumulative TSR, and (ii) our net income, in each case, for the fiscal years ended December 31, 2021, 2022 and 2023. </w:t>
      </w:r>
    </w:p>
    <w:p>
      <w:pPr>
        <w:pStyle w:val="TextBody"/>
        <w:bidi w:val="0"/>
        <w:spacing w:before="305" w:after="283"/>
        <w:jc w:val="center"/>
        <w:rPr>
          <w:color w:val="000000"/>
        </w:rPr>
      </w:pPr>
      <w:r>
        <w:rPr>
          <w:color w:val="000000"/>
        </w:rPr>
        <w:drawing>
          <wp:inline distT="0" distB="0" distL="0" distR="0">
            <wp:extent cx="5781675" cy="3286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81675" cy="3286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5" w:after="283"/>
        <w:jc w:val="center"/>
        <w:rPr>
          <w:color w:val="000000"/>
        </w:rPr>
      </w:pPr>
      <w:r>
        <w:rPr>
          <w:color w:val="000000"/>
        </w:rPr>
        <w:drawing>
          <wp:inline distT="0" distB="0" distL="0" distR="0">
            <wp:extent cx="5781675" cy="3305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3305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24289x1_def14a_114-pvp_pg3"/>
        <w:bookmarkEnd w:id="6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information as of December 31, 2023, with respect to all of our equity compensation plans in effect on that date: </w:t>
      </w:r>
    </w:p>
    <w:tbl>
      <w:tblPr>
        <w:tblW w:w="8258" w:type="dxa"/>
        <w:jc w:val="left"/>
        <w:tblInd w:w="0" w:type="dxa"/>
        <w:tblLayout w:type="fixed"/>
        <w:tblCellMar>
          <w:top w:w="0" w:type="dxa"/>
          <w:left w:w="0" w:type="dxa"/>
          <w:bottom w:w="85" w:type="dxa"/>
          <w:right w:w="0" w:type="dxa"/>
        </w:tblCellMar>
      </w:tblPr>
      <w:tblGrid>
        <w:gridCol w:w="5075"/>
        <w:gridCol w:w="23"/>
        <w:gridCol w:w="23"/>
        <w:gridCol w:w="965"/>
        <w:gridCol w:w="23"/>
        <w:gridCol w:w="23"/>
        <w:gridCol w:w="965"/>
        <w:gridCol w:w="23"/>
        <w:gridCol w:w="23"/>
        <w:gridCol w:w="1115"/>
      </w:tblGrid>
      <w:tr>
        <w:trPr/>
        <w:tc>
          <w:tcPr>
            <w:tcW w:w="507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Column (a))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50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Stockholders</w:t>
            </w:r>
            <w:r>
              <w:rPr>
                <w:rFonts w:ascii="Times New Roman;Times;serif" w:hAnsi="Times New Roman;Times;serif"/>
                <w:color w:val="000000"/>
                <w:position w:val="7"/>
                <w:sz w:val="16"/>
                <w:sz w:val="20"/>
              </w:rPr>
              <w:t>(1)(2)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20,409,960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$4.3121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15" w:type="dxa"/>
            <w:tcBorders/>
            <w:shd w:fill="CCEEFF" w:val="clear"/>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2,925,318</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50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Stockholders</w:t>
            </w:r>
            <w:r>
              <w:rPr>
                <w:rFonts w:ascii="Times New Roman;Times;serif" w:hAnsi="Times New Roman;Times;serif"/>
                <w:color w:val="000000"/>
                <w:position w:val="7"/>
                <w:sz w:val="16"/>
                <w:sz w:val="20"/>
              </w:rPr>
              <w:t>(4)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5,403,662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102"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$3.632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93"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906,556 </w:t>
            </w:r>
          </w:p>
        </w:tc>
      </w:tr>
      <w:tr>
        <w:trPr/>
        <w:tc>
          <w:tcPr>
            <w:tcW w:w="50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1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Ardelyx, Inc. 2014 Equity Incentive Award Plan, and the 2014 Employee Stock Purchase Plan. The number of shares of common stock that may be issued pursuant to outstanding awards under the 2014 Equity Incentive Award Plan include: (A) 1,807,144 shares subject to outstanding restricted stock units and (B) 18,602,816 shares subject to stock options. The weighted average exercise price shown is for stock options; other outstanding awards had no exercise price.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December 31, 2023, the 2014 Equity Incentive Award Plan and the 2014 Employee Stock Purchase Plan contain “evergreen” provisions, pursuant to which (i) the number of shares of common stock reserved for issuance pursuant to awards under the 2014 Equity Incentive Award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provided, however,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provided, however, that no more than 2,230,374 shares of stock may be issued under the 2014 Employee Stock Purchase Plan and (B) such smaller number of shares of stock as determined by our board of directors. On January 1, 2024, an additional 9,298,127 shares of our common stock were reserved for issuance pursuant to awards under the 2014 Equity Incentive Award Plan as a result of the “evergreen” provision, and no additional shares were reserved for issuance under our 2014 Employee Stock Purchase Plan as a result of the “evergreen” provision. No additional evergreen increases will occur under the 2014 Equity Incentive Award Plan or the 2014 Employee Stock Purchase Plan. Unless the amendment and restatement of the 2014 Equity Incentive Award Plan is approved pursuant to Proposal 2, we will not be permitted to make additional grants under the 2014 Equity Incentive Award Plan after June 23, 2024.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438,035 shares that were available for future issuances as of December 31, 2023 under the 2014 Employee Stock Purchase Plan (of which 253,312 shares were issued with respect to the purchase period in effect as of December 31, 2023, which purchase period ended on February 29, 2024), which allows eligible employees to purchase shares of common stock with accumulated payroll deductions.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Ardelyx, Inc. 2016 Employment Commencement Incentive Plan. The number of shares of common stock that may be issued pursuant to outstanding awards under the 2016 Employment Commencement Incentive Plan include: (A) 1,838,699 shares subject to outstanding restricted stock units and (B) 3,564,963 shares subject to stock options. The weighted average exercise price shown is for stock options; other outstanding awards had no exercise price.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Features of the 2016 Employment Commencement Incentive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equity awards and stock purchase plans. A total of 1,000,000 shares of our common stock were initially reserved for issuance under the 2016 Plan. In March 2021, January 2022 and December 2022, our board of directors increased the number of shares reserved for issuance under the 2016 Plan to 1,457,767 shares, 3,457,767 shares and 6,457,767 shares, respectively. As of December 31, 2023, we had awards outstanding with respect to 5,403,662 shares under the 2016 Plan, and 905,556 shares remained available for future grants. On January 15, 2024, our board of directors increased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7" w:name="ny20024289x1_def14a_114-pvp_pg4"/>
        <w:bookmarkEnd w:id="6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number of shares reserved for issuance under the 2016 Plan to 12,207,767 shares. The 2016 Plan provides for the grant of non-qualified stock options, restricted stock units, restricted stock awards, stock appreciation rights,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the amendment and restatement of the 2014 Equity Incentive Award Plan is approved pursuant to Proposal 2, then we will no longer make new grants under the 2016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filed registration statements on Form S-8 with the SEC covering the shares of common stock that may be issued under the 2016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 w:name="ny20024289x1_def14a_115-security_pg1"/>
        <w:bookmarkEnd w:id="6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SOOC"/>
      <w:bookmarkEnd w:id="6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relating to the beneficial ownership of our common stock as of April 15, 2024,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outstanding shares of common stock;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nominees for director;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directors and executive officers as a group.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15, 2024 through the exercise of stock options, warrants or other rights. Except as otherwise indicated, and subject to applicable community property laws, the persons named in the table have sole voting and investment power with respect to all shares of common stock held by that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of shares beneficially owned is computed on the basis of 233,976,572 shares of our common stock outstanding as of April 15, 2024. Shares of our common stock that a person has the right to acquire within 60 days of April 15, 2024 pursuant to the exercise of outstanding stock options, and restricted stock units that are expected to vest and settle on or before June 14, 2024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 </w:t>
      </w:r>
    </w:p>
    <w:tbl>
      <w:tblPr>
        <w:tblW w:w="8924" w:type="dxa"/>
        <w:jc w:val="left"/>
        <w:tblInd w:w="0" w:type="dxa"/>
        <w:tblLayout w:type="fixed"/>
        <w:tblCellMar>
          <w:top w:w="0" w:type="dxa"/>
          <w:left w:w="0" w:type="dxa"/>
          <w:bottom w:w="0" w:type="dxa"/>
          <w:right w:w="0" w:type="dxa"/>
        </w:tblCellMar>
      </w:tblPr>
      <w:tblGrid>
        <w:gridCol w:w="4985"/>
        <w:gridCol w:w="23"/>
        <w:gridCol w:w="23"/>
        <w:gridCol w:w="965"/>
        <w:gridCol w:w="23"/>
        <w:gridCol w:w="23"/>
        <w:gridCol w:w="950"/>
        <w:gridCol w:w="23"/>
        <w:gridCol w:w="23"/>
        <w:gridCol w:w="950"/>
        <w:gridCol w:w="23"/>
        <w:gridCol w:w="23"/>
        <w:gridCol w:w="890"/>
      </w:tblGrid>
      <w:tr>
        <w:trPr/>
        <w:tc>
          <w:tcPr>
            <w:tcW w:w="49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893"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w:t>
            </w:r>
          </w:p>
        </w:tc>
      </w:tr>
      <w:tr>
        <w:trPr/>
        <w:tc>
          <w:tcPr>
            <w:tcW w:w="4985"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6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Releasable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Within 60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Days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5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9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and Greater Stockholders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0"/>
              <w:jc w:val="left"/>
              <w:rPr>
                <w:color w:val="000000"/>
              </w:rPr>
            </w:pPr>
            <w:r>
              <w:rPr>
                <w:color w:val="000000"/>
              </w:rPr>
              <w:t>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Janus Henderson Group plc</w:t>
            </w:r>
            <w:r>
              <w:rPr>
                <w:rFonts w:ascii="Times New Roman;Times;serif" w:hAnsi="Times New Roman;Times;serif"/>
                <w:color w:val="000000"/>
                <w:position w:val="7"/>
                <w:sz w:val="16"/>
                <w:sz w:val="20"/>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24,658,820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24,658,820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10.54%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Street Corporation</w:t>
            </w:r>
            <w:r>
              <w:rPr>
                <w:rFonts w:ascii="Times New Roman;Times;serif" w:hAnsi="Times New Roman;Times;serif"/>
                <w:color w:val="000000"/>
                <w:position w:val="7"/>
                <w:sz w:val="16"/>
                <w:sz w:val="20"/>
              </w:rPr>
              <w:t>(2)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17,102,598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17,102,598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7.31%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16,776,055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16,776,055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7.17%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13,026,046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13,026,046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5.57%</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0"/>
              <w:jc w:val="right"/>
              <w:rPr>
                <w:color w:val="000000"/>
              </w:rPr>
            </w:pPr>
            <w:r>
              <w:rPr>
                <w:color w:val="000000"/>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r>
              <w:rPr>
                <w:rFonts w:ascii="Times New Roman;Times;serif" w:hAnsi="Times New Roman;Times;serif"/>
                <w:color w:val="000000"/>
                <w:position w:val="7"/>
                <w:sz w:val="16"/>
                <w:sz w:val="20"/>
              </w:rPr>
              <w:t>(5)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631,905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3,737,538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4,369,443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1.84%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115,159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1,002,039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1,117,198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193,311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363,306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556,617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r>
              <w:rPr>
                <w:rFonts w:ascii="Times New Roman;Times;serif" w:hAnsi="Times New Roman;Times;serif"/>
                <w:color w:val="000000"/>
                <w:position w:val="7"/>
                <w:sz w:val="16"/>
                <w:sz w:val="20"/>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1,192,275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390,532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1,582,807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310,532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310,532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218,743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325,532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544,275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212,294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308,096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110,150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247,892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358,042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Lundberg, Ph.D.</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146,794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285,532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432,326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238,320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345,532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583,852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(15 persons)</w:t>
            </w:r>
            <w:r>
              <w:rPr>
                <w:rFonts w:ascii="Times New Roman;Times;serif" w:hAnsi="Times New Roman;Times;serif"/>
                <w:color w:val="000000"/>
                <w:position w:val="7"/>
                <w:sz w:val="16"/>
                <w:sz w:val="20"/>
              </w:rPr>
              <w:t>(7)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3,817,141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10,602,113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14,419,254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5.90%</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6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beneficial ownership of less than 1% of the total outstanding shares of common stock. </w:t>
            </w:r>
          </w:p>
        </w:tc>
      </w:tr>
    </w:tbl>
    <w:tbl>
      <w:tblPr>
        <w:tblW w:w="9250" w:type="dxa"/>
        <w:jc w:val="left"/>
        <w:tblInd w:w="0" w:type="dxa"/>
        <w:tblLayout w:type="fixed"/>
        <w:tblCellMar>
          <w:top w:w="0" w:type="dxa"/>
          <w:left w:w="0" w:type="dxa"/>
          <w:bottom w:w="0" w:type="dxa"/>
          <w:right w:w="0" w:type="dxa"/>
        </w:tblCellMar>
      </w:tblPr>
      <w:tblGrid>
        <w:gridCol w:w="230"/>
        <w:gridCol w:w="90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February 13, 2024 by Janus Henderson Group plc (“Janus Henderson”). Janus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 w:name="ny20024289x1_def14a_115-security_pg2"/>
        <w:bookmarkEnd w:id="70"/>
        <w:r>
          <w:rPr>
            <w:rStyle w:val="InternetLink"/>
            <w:rFonts w:ascii="Times New Roman;Times;Serif" w:hAnsi="Times New Roman;Times;Serif"/>
            <w:b/>
            <w:caps w:val="false"/>
            <w:smallCaps w:val="false"/>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Henderson holds shared voting and dispositive power over 24,658,820 shares and does not hold sole voting or dispositive power over any shares. Janus Henderson has a 100% ownership stake in Janus Henderson Investors U.S. LLC (“JHIUS”). As a result of its role as investment adviser or sub-adviser to certain fund, individual and/or institutional clients, JHIUS may be deemed to be the beneficial owner of the shares owned by Janus Henderson. However, JHIUS does not have the right to receive any dividends from, or the proceeds from the sale of, the securities held in the by such fund, individual and/or institutional clients and disclaims any ownership associated with such rights. The principal business address of Janus Henderson is 201 Bishopsgate, EC2M 3AE, United Kingdom.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January 30, 2024 by State Street Corporation (“State Street”). State Street holds shared voting power over 16,597,126 shares, holds shared dispositive power over 17,102,598 shares, and does not hold sole voting or sole dispositive power over any shares. SSGA Funds Management, Inc. is a subsidiary of State Street and holds shared voting power over 12,486,891 shares, holds shared dispositive power over 12,486,891 shares, and does not hold sole voting or sole dispositive power over any shares. The principal business address of State Street is State Street Financial Center, 1 Congress Street, Suite 1, Boston, MA 02114-2016.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January 26, 2024 by BlackRock, Inc. (“BlackRock”). BlackRock holds sole voting power over 16,398,617 shares, sole dispositive power over 16,776,055 shares, and does not hold shared voting or shared dispositive power over any shares. The principal business address of BlackRock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February 13, 2024 by the Vanguard Group (“Vanguard”). Vanguard holds shared voting power over 330,094 shares, sole dispositive power over 12,505,435 shares, shared dispositive power over 520,611 shares and does not hold sole voting power over any shares. The principal business address of Vanguard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606,541 shares directly owned by Mr. Raab, (ii) 24,364 shares owned directly by Michael G. Raab, trustee of the Michael G. Raab Living Trust dated July 25, 2012, (iii) an aggregate of 1,000 shares owned directly by trusts for the benefit of Mr. Raab’s children, (iv) 3,675,656 shares subject to options that Mr. Raab may acquire within 60 days of April 15, 2024, and (v) 61,882 shares subject to restricted stock units that will vest within 60 days of April 15, 2024.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1,192,275 shares and (ii) 386,428 shares subject to options that Mr. Mott may acquire within 60 days of April 15, 2024. Of those, 87,566 shares and 110,000 shares subject to options that Mr. Mott may acquire within 60 days of April 15, 2024 are held by Mr. Mott for the benefit of entities associated with New Enterprise Associates. Mr. Mott disclaims beneficial ownership of all such shares and options, except to the extent of his actual pecuniary interest therein.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3,817,141 shares, (ii) 10,426,308 shares of common stock that may be acquired pursuant to the exercise of stock options within 60 days of April 15, 2024 and (iii) 175,085 restricted stock units that will vest within 60 days of April 15, 2024. </w:t>
            </w:r>
          </w:p>
        </w:tc>
      </w:tr>
    </w:tbl>
    <w:p>
      <w:pPr>
        <w:pStyle w:val="TextBody"/>
        <w:bidi w:val="0"/>
        <w:spacing w:before="240" w:after="283"/>
        <w:jc w:val="center"/>
        <w:rPr>
          <w:rFonts w:ascii="Times New Roman;Times;serif" w:hAnsi="Times New Roman;Times;serif"/>
          <w:b/>
          <w:color w:val="000000"/>
          <w:sz w:val="20"/>
        </w:rPr>
      </w:pPr>
      <w:bookmarkStart w:id="71" w:name="tDS"/>
      <w:bookmarkEnd w:id="71"/>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Securities Exchange Act of 1934, as amended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solely on a review of the copies of such reports furnished to the Company and written representations that no other reports were required, during the year ended December 31, 2023, all Section 16(a) filing requirements applicable to our officers, directors and greater than 10% beneficial owners were met, except for late Form 4s filed on February 24, 2023 due to administrative delays for each of David Rosenbaum, Justin Renz, Robert Felsch, Michael Raab, Elizabeth Grammer, Robert Blanks and Laura Williams. </w:t>
      </w:r>
    </w:p>
    <w:p>
      <w:pPr>
        <w:pStyle w:val="TextBody"/>
        <w:bidi w:val="0"/>
        <w:spacing w:before="240" w:after="283"/>
        <w:jc w:val="center"/>
        <w:rPr>
          <w:rFonts w:ascii="Times New Roman;Times;serif" w:hAnsi="Times New Roman;Times;serif"/>
          <w:b/>
          <w:color w:val="000000"/>
          <w:sz w:val="20"/>
        </w:rPr>
      </w:pPr>
      <w:bookmarkStart w:id="72" w:name="tAI"/>
      <w:bookmarkEnd w:id="72"/>
      <w:r>
        <w:rPr>
          <w:rFonts w:ascii="Times New Roman;Times;serif" w:hAnsi="Times New Roman;Times;serif"/>
          <w:b/>
          <w:color w:val="000000"/>
          <w:sz w:val="20"/>
        </w:rPr>
        <w:t xml:space="preserve">ADDITIONAL INFORMATION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Registered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24289x1_def14a_115-security_pg3"/>
        <w:bookmarkEnd w:id="7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Street Name 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hold their shares through a brokerage may elect to participate in householding, or revoke their consent to participate in householding, by contacting their respective brokers.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Reports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 is accompanied by our 2023 Annual Report to Stockholders, which includes our Annual Report on Form 10-K for the fiscal year ended December 31, 2023, or the 10-K. The 10-K includes our audited financial statements. We have filed the 10-K with the SEC, and it is available free of charge at 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our board of directors knows of no other matters that will be presented for consideration at the 2024 Annual Meeting other than the matters described in this proxy statement. If other matters are properly brought before the 2024 Annual Meeting, then proxies will be voted in accordance with the recommendation of the board of directors or, in the absence of such a recommendation, in accordance with the best judgment of the proxy holder. </w:t>
      </w:r>
    </w:p>
    <w:tbl>
      <w:tblPr>
        <w:tblW w:w="3321" w:type="dxa"/>
        <w:jc w:val="left"/>
        <w:tblInd w:w="0" w:type="dxa"/>
        <w:tblLayout w:type="fixed"/>
        <w:tblCellMar>
          <w:top w:w="0" w:type="dxa"/>
          <w:left w:w="0" w:type="dxa"/>
          <w:bottom w:w="0" w:type="dxa"/>
          <w:right w:w="0" w:type="dxa"/>
        </w:tblCellMar>
      </w:tblPr>
      <w:tblGrid>
        <w:gridCol w:w="75"/>
        <w:gridCol w:w="23"/>
        <w:gridCol w:w="23"/>
        <w:gridCol w:w="320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200"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Elizabeth Grammer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and Administrative Officer</w:t>
            </w:r>
          </w:p>
        </w:tc>
      </w:tr>
    </w:tbl>
    <w:p>
      <w:pPr>
        <w:pStyle w:val="TextBody"/>
        <w:bidi w:val="0"/>
        <w:spacing w:before="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Waltham, Massachusetts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29, 2024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4" w:name="ny20024289x1_def14a_300-annexa_pg1"/>
        <w:bookmarkEnd w:id="7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5" w:name="tANNEXA"/>
      <w:bookmarkEnd w:id="75"/>
      <w:r>
        <w:rPr>
          <w:rFonts w:ascii="Times New Roman;Times;serif" w:hAnsi="Times New Roman;Times;serif"/>
          <w:b/>
          <w:color w:val="000000"/>
          <w:sz w:val="20"/>
        </w:rPr>
        <w:t xml:space="preserve">Annex A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2014 EQUITY INCENTIVE AWARD PLAN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purpose of the Ardelyx, Inc. Amended and Restated 2014 Equity Incentive Award Plan (as it may be amended from time to time, the “</w:t>
      </w:r>
      <w:r>
        <w:rPr>
          <w:rFonts w:ascii="Times New Roman;Times;serif" w:hAnsi="Times New Roman;Times;serif"/>
          <w:color w:val="000000"/>
          <w:sz w:val="20"/>
          <w:u w:val="single"/>
        </w:rPr>
        <w:t>Plan</w:t>
      </w:r>
      <w:r>
        <w:rPr>
          <w:rFonts w:ascii="Times New Roman;Times;serif" w:hAnsi="Times New Roman;Times;serif"/>
          <w:color w:val="000000"/>
          <w:sz w:val="20"/>
        </w:rPr>
        <w:t>”) is to promote the success and enhance the value of Ardelyx, Inc. (the “</w:t>
      </w:r>
      <w:r>
        <w:rPr>
          <w:rFonts w:ascii="Times New Roman;Times;serif" w:hAnsi="Times New Roman;Times;serif"/>
          <w:color w:val="000000"/>
          <w:sz w:val="20"/>
          <w:u w:val="single"/>
        </w:rPr>
        <w:t>Company</w:t>
      </w:r>
      <w:r>
        <w:rPr>
          <w:rFonts w:ascii="Times New Roman;Times;serif" w:hAnsi="Times New Roman;Times;serif"/>
          <w:color w:val="000000"/>
          <w:sz w:val="20"/>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2014 Equity Incentive Award Plan (the “</w:t>
      </w:r>
      <w:r>
        <w:rPr>
          <w:rFonts w:ascii="Times New Roman;Times;serif" w:hAnsi="Times New Roman;Times;serif"/>
          <w:color w:val="000000"/>
          <w:sz w:val="20"/>
          <w:u w:val="single"/>
        </w:rPr>
        <w:t>Original 2014 Plan</w:t>
      </w:r>
      <w:r>
        <w:rPr>
          <w:rFonts w:ascii="Times New Roman;Times;serif" w:hAnsi="Times New Roman;Times;serif"/>
          <w:color w:val="000000"/>
          <w:sz w:val="20"/>
        </w:rPr>
        <w:t xml:space="preserve">”)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the Original 2014 Plan shall continue in effect in accordance with its terms.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AND CONSTRUCTION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Wherever the following terms are used in the Plan they shall have the meanings specified below, unless the context clearly indicates otherwise. The singular pronoun shall include the plural where the context so indicates.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Administrator</w:t>
      </w:r>
      <w:r>
        <w:rPr>
          <w:rFonts w:ascii="Times New Roman;Times;serif" w:hAnsi="Times New Roman;Times;serif"/>
          <w:color w:val="000000"/>
          <w:sz w:val="20"/>
        </w:rPr>
        <w:t xml:space="preserve">”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shall mean any Parent or Subsidiary.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Applicable Accounting Standards</w:t>
      </w:r>
      <w:r>
        <w:rPr>
          <w:rFonts w:ascii="Times New Roman;Times;serif" w:hAnsi="Times New Roman;Times;serif"/>
          <w:color w:val="000000"/>
          <w:sz w:val="20"/>
        </w:rPr>
        <w:t xml:space="preserve">” shall mean Generally Accepted Accounting Principles in the United States, International Financial Reporting Standards or such other accounting principles or standards as may apply to the Company’s financial statements under United States federal securities laws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Applicable Law</w:t>
      </w:r>
      <w:r>
        <w:rPr>
          <w:rFonts w:ascii="Times New Roman;Times;serif" w:hAnsi="Times New Roman;Times;serif"/>
          <w:color w:val="000000"/>
          <w:sz w:val="20"/>
        </w:rPr>
        <w:t xml:space="preserve">”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Award</w:t>
      </w:r>
      <w:r>
        <w:rPr>
          <w:rFonts w:ascii="Times New Roman;Times;serif" w:hAnsi="Times New Roman;Times;serif"/>
          <w:color w:val="000000"/>
          <w:sz w:val="20"/>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Times;serif" w:hAnsi="Times New Roman;Times;serif"/>
          <w:color w:val="000000"/>
          <w:sz w:val="20"/>
          <w:u w:val="single"/>
        </w:rPr>
        <w:t>Awards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shall mean the Board of Directors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shall mean the occurrence, in a single transaction or in a series of related transactions, of any one or more of the following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 transaction or series of transactions (other than an offering of Common Stock to the general public through a registration statement filed with the Securities and Exchange Commission) whereby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6" w:name="ny20024289x1_def14a_300-annexa_pg2"/>
        <w:bookmarkEnd w:id="7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hanging="0"/>
        <w:jc w:val="left"/>
        <w:rPr>
          <w:color w:val="000000"/>
        </w:rPr>
      </w:pPr>
      <w:r>
        <w:rPr>
          <w:color w:val="000000"/>
        </w:rPr>
        <w:t>“</w:t>
      </w:r>
      <w:r>
        <w:rPr>
          <w:rFonts w:ascii="Times New Roman;Times;serif" w:hAnsi="Times New Roman;Times;serif"/>
          <w:color w:val="000000"/>
          <w:sz w:val="20"/>
        </w:rPr>
        <w:t xml:space="preserve">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xml:space="preserve">”)) directly or indirectly, at least a majority of the combined voting power of the Successor Entity’s outstanding voting securities immediately after the transaction,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Company’s stockholders approve a liquidation or dissolution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shall mean the Internal Revenue Code of 1986, as amended from time to time, together with the regulations and official guidance promulgated thereunder, whether issued prior or subsequent to the grant of any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2.10 “</w:t>
      </w:r>
      <w:r>
        <w:rPr>
          <w:rFonts w:ascii="Times New Roman;Times;serif" w:hAnsi="Times New Roman;Times;serif"/>
          <w:color w:val="000000"/>
          <w:sz w:val="20"/>
          <w:u w:val="single"/>
        </w:rPr>
        <w:t>Committee</w:t>
      </w:r>
      <w:r>
        <w:rPr>
          <w:rFonts w:ascii="Times New Roman;Times;serif" w:hAnsi="Times New Roman;Times;serif"/>
          <w:color w:val="000000"/>
          <w:sz w:val="20"/>
        </w:rPr>
        <w:t xml:space="preserve">” shall mean the Compensation Committee of the Board, a subcommittee of the Compensation Committee of the Board or another committee or subcommittee of the Board, appointed as provided in Section 12.1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2.11 “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shall mean the common stock of the Company, par value $0.0001 per share.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2.12 “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shall have the meaning set forth in Article 1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 w:name="ny20024289x1_def14a_300-annexa_pg3"/>
        <w:bookmarkEnd w:id="7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2.13 “</w:t>
      </w:r>
      <w:r>
        <w:rPr>
          <w:rFonts w:ascii="Times New Roman;Times;serif" w:hAnsi="Times New Roman;Times;serif"/>
          <w:color w:val="000000"/>
          <w:sz w:val="20"/>
          <w:u w:val="single"/>
        </w:rPr>
        <w:t>Consultant</w:t>
      </w:r>
      <w:r>
        <w:rPr>
          <w:rFonts w:ascii="Times New Roman;Times;serif" w:hAnsi="Times New Roman;Times;serif"/>
          <w:color w:val="000000"/>
          <w:sz w:val="20"/>
        </w:rPr>
        <w:t xml:space="preserve">” 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2.14 “</w:t>
      </w:r>
      <w:r>
        <w:rPr>
          <w:rFonts w:ascii="Times New Roman;Times;serif" w:hAnsi="Times New Roman;Times;serif"/>
          <w:color w:val="000000"/>
          <w:sz w:val="20"/>
          <w:u w:val="single"/>
        </w:rPr>
        <w:t>Deferred Stock</w:t>
      </w:r>
      <w:r>
        <w:rPr>
          <w:rFonts w:ascii="Times New Roman;Times;serif" w:hAnsi="Times New Roman;Times;serif"/>
          <w:color w:val="000000"/>
          <w:sz w:val="20"/>
        </w:rPr>
        <w:t xml:space="preserve">” shall mean a right to receive Shares awarded under Section 9.4 hereof.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2.15 “</w:t>
      </w:r>
      <w:r>
        <w:rPr>
          <w:rFonts w:ascii="Times New Roman;Times;serif" w:hAnsi="Times New Roman;Times;serif"/>
          <w:color w:val="000000"/>
          <w:sz w:val="20"/>
          <w:u w:val="single"/>
        </w:rPr>
        <w:t>Deferred Stock Unit</w:t>
      </w:r>
      <w:r>
        <w:rPr>
          <w:rFonts w:ascii="Times New Roman;Times;serif" w:hAnsi="Times New Roman;Times;serif"/>
          <w:color w:val="000000"/>
          <w:sz w:val="20"/>
        </w:rPr>
        <w:t xml:space="preserve">” shall mean a right to receive Shares awarded under Section 9.5 hereof.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2.16 “</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shall mean a member of the Board, as constituted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2.17 “</w:t>
      </w:r>
      <w:r>
        <w:rPr>
          <w:rFonts w:ascii="Times New Roman;Times;serif" w:hAnsi="Times New Roman;Times;serif"/>
          <w:color w:val="000000"/>
          <w:sz w:val="20"/>
          <w:u w:val="single"/>
        </w:rPr>
        <w:t>Dividend Equivalent</w:t>
      </w:r>
      <w:r>
        <w:rPr>
          <w:rFonts w:ascii="Times New Roman;Times;serif" w:hAnsi="Times New Roman;Times;serif"/>
          <w:color w:val="000000"/>
          <w:sz w:val="20"/>
        </w:rPr>
        <w:t xml:space="preserve">” shall mean a right to receive the equivalent value (in cash or Shares) of dividends paid on Shares, awarded under Section 9.2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2.18 “</w:t>
      </w:r>
      <w:r>
        <w:rPr>
          <w:rFonts w:ascii="Times New Roman;Times;serif" w:hAnsi="Times New Roman;Times;serif"/>
          <w:color w:val="000000"/>
          <w:sz w:val="20"/>
          <w:u w:val="single"/>
        </w:rPr>
        <w:t>DRO</w:t>
      </w:r>
      <w:r>
        <w:rPr>
          <w:rFonts w:ascii="Times New Roman;Times;serif" w:hAnsi="Times New Roman;Times;serif"/>
          <w:color w:val="000000"/>
          <w:sz w:val="20"/>
        </w:rPr>
        <w:t xml:space="preserve">” shall mean a “domestic relations order” as defined by the Code or Title I of the Employee Retirement Income Security Act of 1974, as amended from time to time, or the rules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2.19 “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shall have the meaning set forth in Section 13.1.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2.20 “</w:t>
      </w:r>
      <w:r>
        <w:rPr>
          <w:rFonts w:ascii="Times New Roman;Times;serif" w:hAnsi="Times New Roman;Times;serif"/>
          <w:color w:val="000000"/>
          <w:sz w:val="20"/>
          <w:u w:val="single"/>
        </w:rPr>
        <w:t>Eligible Individual</w:t>
      </w:r>
      <w:r>
        <w:rPr>
          <w:rFonts w:ascii="Times New Roman;Times;serif" w:hAnsi="Times New Roman;Times;serif"/>
          <w:color w:val="000000"/>
          <w:sz w:val="20"/>
        </w:rPr>
        <w:t xml:space="preserve">” shall mean any person who is an Employee, a Consultant or a Non-Employee Director, as determined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2.21 “</w:t>
      </w:r>
      <w:r>
        <w:rPr>
          <w:rFonts w:ascii="Times New Roman;Times;serif" w:hAnsi="Times New Roman;Times;serif"/>
          <w:color w:val="000000"/>
          <w:sz w:val="20"/>
          <w:u w:val="single"/>
        </w:rPr>
        <w:t>Employee</w:t>
      </w:r>
      <w:r>
        <w:rPr>
          <w:rFonts w:ascii="Times New Roman;Times;serif" w:hAnsi="Times New Roman;Times;serif"/>
          <w:color w:val="000000"/>
          <w:sz w:val="20"/>
        </w:rPr>
        <w:t xml:space="preserve">” shall mean any officer or other employee (as determined in accordance with Section 3401(c) of the Code and the Treasury Regulations thereunder) of the Company or any Affiliate.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2.22 “</w:t>
      </w:r>
      <w:r>
        <w:rPr>
          <w:rFonts w:ascii="Times New Roman;Times;serif" w:hAnsi="Times New Roman;Times;serif"/>
          <w:color w:val="000000"/>
          <w:sz w:val="20"/>
          <w:u w:val="single"/>
        </w:rPr>
        <w:t>Equity Restructuring</w:t>
      </w:r>
      <w:r>
        <w:rPr>
          <w:rFonts w:ascii="Times New Roman;Times;serif" w:hAnsi="Times New Roman;Times;serif"/>
          <w:color w:val="000000"/>
          <w:sz w:val="20"/>
        </w:rPr>
        <w:t xml:space="preserve">”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2.23 “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shall mean the Securities Exchange Act of 1934, as amended from time to time.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2.24 “</w:t>
      </w:r>
      <w:r>
        <w:rPr>
          <w:rFonts w:ascii="Times New Roman;Times;serif" w:hAnsi="Times New Roman;Times;serif"/>
          <w:color w:val="000000"/>
          <w:sz w:val="20"/>
          <w:u w:val="single"/>
        </w:rPr>
        <w:t>Fair Market Value</w:t>
      </w:r>
      <w:r>
        <w:rPr>
          <w:rFonts w:ascii="Times New Roman;Times;serif" w:hAnsi="Times New Roman;Times;serif"/>
          <w:color w:val="000000"/>
          <w:sz w:val="20"/>
        </w:rPr>
        <w:t xml:space="preserve">” shall mean, as of any given date, the value of a Share determined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(c) If the Common Stock is neither listed on an established securities exchange, national market system or automated quotation system nor regularly quoted by a recognized securities dealer, its Fair Market Value shall be established by the Administrator in good faith.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2.25 “</w:t>
      </w:r>
      <w:r>
        <w:rPr>
          <w:rFonts w:ascii="Times New Roman;Times;serif" w:hAnsi="Times New Roman;Times;serif"/>
          <w:color w:val="000000"/>
          <w:sz w:val="20"/>
          <w:u w:val="single"/>
        </w:rPr>
        <w:t>Greater Than 10% Stockholder</w:t>
      </w:r>
      <w:r>
        <w:rPr>
          <w:rFonts w:ascii="Times New Roman;Times;serif" w:hAnsi="Times New Roman;Times;serif"/>
          <w:color w:val="000000"/>
          <w:sz w:val="20"/>
        </w:rPr>
        <w:t xml:space="preserve">” 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2.26 “</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shall mean a person who has been granted an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2.27 “</w:t>
      </w:r>
      <w:r>
        <w:rPr>
          <w:rFonts w:ascii="Times New Roman;Times;serif" w:hAnsi="Times New Roman;Times;serif"/>
          <w:color w:val="000000"/>
          <w:sz w:val="20"/>
          <w:u w:val="single"/>
        </w:rPr>
        <w:t>Incentive Stock Option</w:t>
      </w:r>
      <w:r>
        <w:rPr>
          <w:rFonts w:ascii="Times New Roman;Times;serif" w:hAnsi="Times New Roman;Times;serif"/>
          <w:color w:val="000000"/>
          <w:sz w:val="20"/>
        </w:rPr>
        <w:t xml:space="preserve">” shall mean an Option that is intended to qualify as an incentive stock option and conforms to the applicable provisions of Section 422 of the Code.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2.28 “</w:t>
      </w:r>
      <w:r>
        <w:rPr>
          <w:rFonts w:ascii="Times New Roman;Times;serif" w:hAnsi="Times New Roman;Times;serif"/>
          <w:color w:val="000000"/>
          <w:sz w:val="20"/>
          <w:u w:val="single"/>
        </w:rPr>
        <w:t>Non-Employee Director</w:t>
      </w:r>
      <w:r>
        <w:rPr>
          <w:rFonts w:ascii="Times New Roman;Times;serif" w:hAnsi="Times New Roman;Times;serif"/>
          <w:color w:val="000000"/>
          <w:sz w:val="20"/>
        </w:rPr>
        <w:t xml:space="preserve">” shall mean a Director of the Company who is not an Employee.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24289x1_def14a_300-annexa_pg4"/>
        <w:bookmarkEnd w:id="7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2.29 “</w:t>
      </w:r>
      <w:r>
        <w:rPr>
          <w:rFonts w:ascii="Times New Roman;Times;serif" w:hAnsi="Times New Roman;Times;serif"/>
          <w:color w:val="000000"/>
          <w:sz w:val="20"/>
          <w:u w:val="single"/>
        </w:rPr>
        <w:t>Non-Employee Director Equity Compensation Policy</w:t>
      </w:r>
      <w:r>
        <w:rPr>
          <w:rFonts w:ascii="Times New Roman;Times;serif" w:hAnsi="Times New Roman;Times;serif"/>
          <w:color w:val="000000"/>
          <w:sz w:val="20"/>
        </w:rPr>
        <w:t xml:space="preserve">” shall have the meaning set forth in Section 4.6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2.30 “</w:t>
      </w:r>
      <w:r>
        <w:rPr>
          <w:rFonts w:ascii="Times New Roman;Times;serif" w:hAnsi="Times New Roman;Times;serif"/>
          <w:color w:val="000000"/>
          <w:sz w:val="20"/>
          <w:u w:val="single"/>
        </w:rPr>
        <w:t>Non-Qualified Stock Option</w:t>
      </w:r>
      <w:r>
        <w:rPr>
          <w:rFonts w:ascii="Times New Roman;Times;serif" w:hAnsi="Times New Roman;Times;serif"/>
          <w:color w:val="000000"/>
          <w:sz w:val="20"/>
        </w:rPr>
        <w:t xml:space="preserve">” shall mean an Option that is not an Incentive Stock Option or which is designated as an Incentive Stock Option but does not meet the applicable requirements of Section 422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2.31 “</w:t>
      </w:r>
      <w:r>
        <w:rPr>
          <w:rFonts w:ascii="Times New Roman;Times;serif" w:hAnsi="Times New Roman;Times;serif"/>
          <w:color w:val="000000"/>
          <w:sz w:val="20"/>
          <w:u w:val="single"/>
        </w:rPr>
        <w:t>Option</w:t>
      </w:r>
      <w:r>
        <w:rPr>
          <w:rFonts w:ascii="Times New Roman;Times;serif" w:hAnsi="Times New Roman;Times;serif"/>
          <w:color w:val="000000"/>
          <w:sz w:val="20"/>
        </w:rPr>
        <w:t xml:space="preserve">” shall mean a right to purchase Shares at a specified exercise price, granted under Article 5 hereof. An Option shall be either a Non-Qualified Stock Option or an Incentive Stock Option;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Options granted to Non-Employee Directors and Consultants shall only be Non-Qualified Stock Options.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2.32 “</w:t>
      </w:r>
      <w:r>
        <w:rPr>
          <w:rFonts w:ascii="Times New Roman;Times;serif" w:hAnsi="Times New Roman;Times;serif"/>
          <w:color w:val="000000"/>
          <w:sz w:val="20"/>
          <w:u w:val="single"/>
        </w:rPr>
        <w:t>Option Term</w:t>
      </w:r>
      <w:r>
        <w:rPr>
          <w:rFonts w:ascii="Times New Roman;Times;serif" w:hAnsi="Times New Roman;Times;serif"/>
          <w:color w:val="000000"/>
          <w:sz w:val="20"/>
        </w:rPr>
        <w:t xml:space="preserve">” shall have the meaning set forth in Section 5.4 hereof.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2.33 “</w:t>
      </w:r>
      <w:r>
        <w:rPr>
          <w:rFonts w:ascii="Times New Roman;Times;serif" w:hAnsi="Times New Roman;Times;serif"/>
          <w:color w:val="000000"/>
          <w:sz w:val="20"/>
          <w:u w:val="single"/>
        </w:rPr>
        <w:t>Original 2014 Plan</w:t>
      </w:r>
      <w:r>
        <w:rPr>
          <w:rFonts w:ascii="Times New Roman;Times;serif" w:hAnsi="Times New Roman;Times;serif"/>
          <w:color w:val="000000"/>
          <w:sz w:val="20"/>
        </w:rPr>
        <w:t xml:space="preserve">” shall have the meaning set forth in Article 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2.34 “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2.35 “</w:t>
      </w:r>
      <w:r>
        <w:rPr>
          <w:rFonts w:ascii="Times New Roman;Times;serif" w:hAnsi="Times New Roman;Times;serif"/>
          <w:color w:val="000000"/>
          <w:sz w:val="20"/>
          <w:u w:val="single"/>
        </w:rPr>
        <w:t>Performance Award</w:t>
      </w:r>
      <w:r>
        <w:rPr>
          <w:rFonts w:ascii="Times New Roman;Times;serif" w:hAnsi="Times New Roman;Times;serif"/>
          <w:color w:val="000000"/>
          <w:sz w:val="20"/>
        </w:rPr>
        <w:t xml:space="preserve">” shall mean a cash bonus award, stock bonus award, performance award or incentive award that is paid in cash, Shares or a combination of both, awarded under Section 9.1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2.36 “</w:t>
      </w:r>
      <w:r>
        <w:rPr>
          <w:rFonts w:ascii="Times New Roman;Times;serif" w:hAnsi="Times New Roman;Times;serif"/>
          <w:color w:val="000000"/>
          <w:sz w:val="20"/>
          <w:u w:val="single"/>
        </w:rPr>
        <w:t>Performance Stock Unit</w:t>
      </w:r>
      <w:r>
        <w:rPr>
          <w:rFonts w:ascii="Times New Roman;Times;serif" w:hAnsi="Times New Roman;Times;serif"/>
          <w:color w:val="000000"/>
          <w:sz w:val="20"/>
        </w:rPr>
        <w:t xml:space="preserve">” shall mean a Performance Award awarded under Section 9.1 hereof which is denominated in units of value including dollar value of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2.37 “</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shall mean, with respect to a Holder, any “family member” of the Holder, as defined under the General Instructions to Form S-8 Registration Statement under the Securities Act or any successor Form thereto, or any other transferee specifically approved by the Administrator, after taking into account Applicable Law.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2.38 “</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shall have the meaning set forth in Article 1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2.39 “</w:t>
      </w:r>
      <w:r>
        <w:rPr>
          <w:rFonts w:ascii="Times New Roman;Times;serif" w:hAnsi="Times New Roman;Times;serif"/>
          <w:color w:val="000000"/>
          <w:sz w:val="20"/>
          <w:u w:val="single"/>
        </w:rPr>
        <w:t>Prior Plan</w:t>
      </w:r>
      <w:r>
        <w:rPr>
          <w:rFonts w:ascii="Times New Roman;Times;serif" w:hAnsi="Times New Roman;Times;serif"/>
          <w:color w:val="000000"/>
          <w:sz w:val="20"/>
        </w:rPr>
        <w:t xml:space="preserve">” shall mean the Ardelyx, Inc. 2016 Employment Commencement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2.40 “</w:t>
      </w:r>
      <w:r>
        <w:rPr>
          <w:rFonts w:ascii="Times New Roman;Times;serif" w:hAnsi="Times New Roman;Times;serif"/>
          <w:color w:val="000000"/>
          <w:sz w:val="20"/>
          <w:u w:val="single"/>
        </w:rPr>
        <w:t>Program</w:t>
      </w:r>
      <w:r>
        <w:rPr>
          <w:rFonts w:ascii="Times New Roman;Times;serif" w:hAnsi="Times New Roman;Times;serif"/>
          <w:color w:val="000000"/>
          <w:sz w:val="20"/>
        </w:rPr>
        <w:t xml:space="preserve">” shall mean any program adopted by the Administrator pursuant to the Plan containing the terms and conditions intended to govern a specified type of Award granted under the Plan and pursuant to which such type of Award may be granted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2.41 “</w:t>
      </w:r>
      <w:r>
        <w:rPr>
          <w:rFonts w:ascii="Times New Roman;Times;serif" w:hAnsi="Times New Roman;Times;serif"/>
          <w:color w:val="000000"/>
          <w:sz w:val="20"/>
          <w:u w:val="single"/>
        </w:rPr>
        <w:t>Restricted Stock</w:t>
      </w:r>
      <w:r>
        <w:rPr>
          <w:rFonts w:ascii="Times New Roman;Times;serif" w:hAnsi="Times New Roman;Times;serif"/>
          <w:color w:val="000000"/>
          <w:sz w:val="20"/>
        </w:rPr>
        <w:t xml:space="preserve">” shall mean an award of Shares made under Article 7 hereof that is subject to certain restrictions and may be subject to risk of forfeiture or repurchase.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2.42 “</w:t>
      </w:r>
      <w:r>
        <w:rPr>
          <w:rFonts w:ascii="Times New Roman;Times;serif" w:hAnsi="Times New Roman;Times;serif"/>
          <w:color w:val="000000"/>
          <w:sz w:val="20"/>
          <w:u w:val="single"/>
        </w:rPr>
        <w:t>Restricted Stock Unit</w:t>
      </w:r>
      <w:r>
        <w:rPr>
          <w:rFonts w:ascii="Times New Roman;Times;serif" w:hAnsi="Times New Roman;Times;serif"/>
          <w:color w:val="000000"/>
          <w:sz w:val="20"/>
        </w:rPr>
        <w:t xml:space="preserve">” shall mean a contractual right awarded under Article 8 hereof to receive in the future a Share or the Fair Market Value of a Share in cash.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2.43 “</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shall mean the Securities Act of 1933, as amended.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2.44 “</w:t>
      </w:r>
      <w:r>
        <w:rPr>
          <w:rFonts w:ascii="Times New Roman;Times;serif" w:hAnsi="Times New Roman;Times;serif"/>
          <w:color w:val="000000"/>
          <w:sz w:val="20"/>
          <w:u w:val="single"/>
        </w:rPr>
        <w:t>Shares</w:t>
      </w:r>
      <w:r>
        <w:rPr>
          <w:rFonts w:ascii="Times New Roman;Times;serif" w:hAnsi="Times New Roman;Times;serif"/>
          <w:color w:val="000000"/>
          <w:sz w:val="20"/>
        </w:rPr>
        <w:t xml:space="preserve">” shall mean shares of Common Stock.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2.45 “</w:t>
      </w:r>
      <w:r>
        <w:rPr>
          <w:rFonts w:ascii="Times New Roman;Times;serif" w:hAnsi="Times New Roman;Times;serif"/>
          <w:color w:val="000000"/>
          <w:sz w:val="20"/>
          <w:u w:val="single"/>
        </w:rPr>
        <w:t>Share Limit</w:t>
      </w:r>
      <w:r>
        <w:rPr>
          <w:rFonts w:ascii="Times New Roman;Times;serif" w:hAnsi="Times New Roman;Times;serif"/>
          <w:color w:val="000000"/>
          <w:sz w:val="20"/>
        </w:rPr>
        <w:t xml:space="preserve">” shall have the meaning set forth in Section 3.1(a)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2.46 “</w:t>
      </w:r>
      <w:r>
        <w:rPr>
          <w:rFonts w:ascii="Times New Roman;Times;serif" w:hAnsi="Times New Roman;Times;serif"/>
          <w:color w:val="000000"/>
          <w:sz w:val="20"/>
          <w:u w:val="single"/>
        </w:rPr>
        <w:t>Stock Appreciation Right</w:t>
      </w:r>
      <w:r>
        <w:rPr>
          <w:rFonts w:ascii="Times New Roman;Times;serif" w:hAnsi="Times New Roman;Times;serif"/>
          <w:color w:val="000000"/>
          <w:sz w:val="20"/>
        </w:rPr>
        <w:t xml:space="preserve">” shall mean a stock appreciation right granted under Article 10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2.47 “</w:t>
      </w:r>
      <w:r>
        <w:rPr>
          <w:rFonts w:ascii="Times New Roman;Times;serif" w:hAnsi="Times New Roman;Times;serif"/>
          <w:color w:val="000000"/>
          <w:sz w:val="20"/>
          <w:u w:val="single"/>
        </w:rPr>
        <w:t>Stock Appreciation Right Term</w:t>
      </w:r>
      <w:r>
        <w:rPr>
          <w:rFonts w:ascii="Times New Roman;Times;serif" w:hAnsi="Times New Roman;Times;serif"/>
          <w:color w:val="000000"/>
          <w:sz w:val="20"/>
        </w:rPr>
        <w:t xml:space="preserve">” shall have the meaning set forth in Section 10.4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2.48 “</w:t>
      </w:r>
      <w:r>
        <w:rPr>
          <w:rFonts w:ascii="Times New Roman;Times;serif" w:hAnsi="Times New Roman;Times;serif"/>
          <w:color w:val="000000"/>
          <w:sz w:val="20"/>
          <w:u w:val="single"/>
        </w:rPr>
        <w:t>Stock Payment</w:t>
      </w:r>
      <w:r>
        <w:rPr>
          <w:rFonts w:ascii="Times New Roman;Times;serif" w:hAnsi="Times New Roman;Times;serif"/>
          <w:color w:val="000000"/>
          <w:sz w:val="20"/>
        </w:rPr>
        <w:t xml:space="preserve">” shall mean (a) a payment in the form of Shares, or (b) an option or other right to purchase Shares, as part of a bonus, deferred compensation or other arrangement, awarded under Section 9.3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2.49 “</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 w:name="ny20024289x1_def14a_300-annexa_pg5"/>
        <w:bookmarkEnd w:id="7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2.50 “</w:t>
      </w:r>
      <w:r>
        <w:rPr>
          <w:rFonts w:ascii="Times New Roman;Times;serif" w:hAnsi="Times New Roman;Times;serif"/>
          <w:color w:val="000000"/>
          <w:sz w:val="20"/>
          <w:u w:val="single"/>
        </w:rPr>
        <w:t>Substitute Award</w:t>
      </w:r>
      <w:r>
        <w:rPr>
          <w:rFonts w:ascii="Times New Roman;Times;serif" w:hAnsi="Times New Roman;Times;serif"/>
          <w:color w:val="000000"/>
          <w:sz w:val="20"/>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the term “Substitute Award” be construed to refer to an award made in connection with the cancellation and repricing of an Option or Stock Appreciation Right.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2.51 “</w:t>
      </w:r>
      <w:r>
        <w:rPr>
          <w:rFonts w:ascii="Times New Roman;Times;serif" w:hAnsi="Times New Roman;Times;serif"/>
          <w:color w:val="000000"/>
          <w:sz w:val="20"/>
          <w:u w:val="single"/>
        </w:rPr>
        <w:t>Termination of Service</w:t>
      </w:r>
      <w:r>
        <w:rPr>
          <w:rFonts w:ascii="Times New Roman;Times;serif" w:hAnsi="Times New Roman;Times;serif"/>
          <w:color w:val="000000"/>
          <w:sz w:val="20"/>
        </w:rPr>
        <w:t xml:space="preserve">” shall mean: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SHARES SUBJECT TO THE PLAN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Number of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(a) Subject to Sections 13.1, 13.2 and 3.1(b) hereof, the aggregate number of Shares which may be issued or transferred pursuant to Awards under the Plan is (i) 58,457,566 and (ii) any of the 6,500,000 Shares which as of the Effective Date are subject to awards under the Prior Plan that, on or after the Effective Date, terminate, expire or lapse for any reason without the delivery of Shares to the holder thereof or for which the Shares are forfeited or repurchased for the original purchase prices thereof (the “</w:t>
      </w:r>
      <w:r>
        <w:rPr>
          <w:rFonts w:ascii="Times New Roman;Times;serif" w:hAnsi="Times New Roman;Times;serif"/>
          <w:color w:val="000000"/>
          <w:sz w:val="20"/>
          <w:u w:val="single"/>
        </w:rPr>
        <w:t>Share Limit</w:t>
      </w:r>
      <w:r>
        <w:rPr>
          <w:rFonts w:ascii="Times New Roman;Times;serif" w:hAnsi="Times New Roman;Times;serif"/>
          <w:color w:val="000000"/>
          <w:sz w:val="20"/>
        </w:rPr>
        <w:t xml:space="preserve">”). Notwithstanding anything in this Section 3.1 to the contrary, the number of shares of Stock that may be issued or transferred pursuant to Incentive Stock Options under the Plan shall not exceed an aggregate of 58,457,566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0" w:name="ny20024289x1_def14a_300-annexa_pg6"/>
        <w:bookmarkEnd w:id="8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Any Shares repurchased by the Company pursuant to Section 7.4 hereof at the same price paid by the Holder or a lower price so that such Shares are returned to the Company shall again be available for the grant of an Award pursuant to the Plan and shall be added back to the Share Limit. Notwithstanding anything to the contrary contained herein, the following Shares shall not be added to the Shares authorized for grant under Section 3.1(a) hereof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Stock Appreciation Rights that are not issued in connection with the stock settlement of the Stock Appreciation Rights on exercise thereof; and (iv) Shares purchased on the open market by the Company with the cash proceeds from the exercise of Options.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(c) Substitute Awards shall not reduce the Shares authorized for grant under the Plan and Shares subject to such Substitute Awards shall not be added back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Stock Distributed</w:t>
      </w:r>
      <w:r>
        <w:rPr>
          <w:rFonts w:ascii="Times New Roman;Times;serif" w:hAnsi="Times New Roman;Times;serif"/>
          <w:color w:val="000000"/>
          <w:sz w:val="20"/>
        </w:rPr>
        <w:t xml:space="preserve">. Any Shares distributed pursuant to an Award may consist, in whole or in part, of authorized and unissued Common Stock, treasury Common Stock or Common Stock purchased on the open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Limitation on Number of Shares Subject to Awards to Non-Employee Directors</w:t>
      </w:r>
      <w:r>
        <w:rPr>
          <w:rFonts w:ascii="Times New Roman;Times;serif" w:hAnsi="Times New Roman;Times;serif"/>
          <w:color w:val="000000"/>
          <w:sz w:val="20"/>
        </w:rPr>
        <w:t xml:space="preserve">. The maximum aggregate value of Awards (with such value determined as of the date of grant under Applicable Accounting Standards) that may be granted to any Non-Employee Director during any calendar year shall be $1,000,000.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GRANTING OF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Participation</w:t>
      </w:r>
      <w:r>
        <w:rPr>
          <w:rFonts w:ascii="Times New Roman;Times;serif" w:hAnsi="Times New Roman;Times;serif"/>
          <w:color w:val="000000"/>
          <w:sz w:val="20"/>
        </w:rPr>
        <w:t xml:space="preserve">.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1" w:name="ny20024289x1_def14a_300-annexa_pg7"/>
        <w:bookmarkEnd w:id="8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Limitations Applicable to Section 16 Persons</w:t>
      </w:r>
      <w:r>
        <w:rPr>
          <w:rFonts w:ascii="Times New Roman;Times;serif" w:hAnsi="Times New Roman;Times;serif"/>
          <w:color w:val="000000"/>
          <w:sz w:val="20"/>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4.4 </w:t>
      </w:r>
      <w:r>
        <w:rPr>
          <w:rFonts w:ascii="Times New Roman;Times;serif" w:hAnsi="Times New Roman;Times;serif"/>
          <w:color w:val="000000"/>
          <w:sz w:val="20"/>
          <w:u w:val="single"/>
        </w:rPr>
        <w:t>At-Will Employment; Voluntary Participation</w:t>
      </w:r>
      <w:r>
        <w:rPr>
          <w:rFonts w:ascii="Times New Roman;Times;serif" w:hAnsi="Times New Roman;Times;serif"/>
          <w:color w:val="000000"/>
          <w:sz w:val="20"/>
        </w:rPr>
        <w:t xml:space="preserve">.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4.5 </w:t>
      </w:r>
      <w:r>
        <w:rPr>
          <w:rFonts w:ascii="Times New Roman;Times;serif" w:hAnsi="Times New Roman;Times;serif"/>
          <w:color w:val="000000"/>
          <w:sz w:val="20"/>
          <w:u w:val="single"/>
        </w:rPr>
        <w:t>Foreign Holders</w:t>
      </w:r>
      <w:r>
        <w:rPr>
          <w:rFonts w:ascii="Times New Roman;Times;serif" w:hAnsi="Times New Roman;Times;serif"/>
          <w:color w:val="000000"/>
          <w:sz w:val="20"/>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4.6 </w:t>
      </w:r>
      <w:r>
        <w:rPr>
          <w:rFonts w:ascii="Times New Roman;Times;serif" w:hAnsi="Times New Roman;Times;serif"/>
          <w:color w:val="000000"/>
          <w:sz w:val="20"/>
          <w:u w:val="single"/>
        </w:rPr>
        <w:t>Non-Employee Director Awards</w:t>
      </w:r>
      <w:r>
        <w:rPr>
          <w:rFonts w:ascii="Times New Roman;Times;serif" w:hAnsi="Times New Roman;Times;serif"/>
          <w:color w:val="000000"/>
          <w:sz w:val="20"/>
        </w:rPr>
        <w:t>. The Administrator may, in its discretion, provide that Awards granted to Non-Employee Directors shall be granted pursuant to a written non-discretionary formula established by the Administrator (the “</w:t>
      </w:r>
      <w:r>
        <w:rPr>
          <w:rFonts w:ascii="Times New Roman;Times;serif" w:hAnsi="Times New Roman;Times;serif"/>
          <w:color w:val="000000"/>
          <w:sz w:val="20"/>
          <w:u w:val="single"/>
        </w:rPr>
        <w:t>Non-Employee Director Equity Compensation Policy</w:t>
      </w:r>
      <w:r>
        <w:rPr>
          <w:rFonts w:ascii="Times New Roman;Times;serif" w:hAnsi="Times New Roman;Times;serif"/>
          <w:color w:val="000000"/>
          <w:sz w:val="20"/>
        </w:rPr>
        <w:t xml:space="preserve">”),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4.7 </w:t>
      </w:r>
      <w:r>
        <w:rPr>
          <w:rFonts w:ascii="Times New Roman;Times;serif" w:hAnsi="Times New Roman;Times;serif"/>
          <w:color w:val="000000"/>
          <w:sz w:val="20"/>
          <w:u w:val="single"/>
        </w:rPr>
        <w:t>Stand-Alone and Tandem Awards</w:t>
      </w:r>
      <w:r>
        <w:rPr>
          <w:rFonts w:ascii="Times New Roman;Times;serif" w:hAnsi="Times New Roman;Times;serif"/>
          <w:color w:val="000000"/>
          <w:sz w:val="20"/>
        </w:rPr>
        <w:t xml:space="preserve">.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GRANTING OF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Granting of Options to Eligible Individuals</w:t>
      </w:r>
      <w:r>
        <w:rPr>
          <w:rFonts w:ascii="Times New Roman;Times;serif" w:hAnsi="Times New Roman;Times;serif"/>
          <w:color w:val="000000"/>
          <w:sz w:val="20"/>
        </w:rPr>
        <w:t xml:space="preserve">. The Administrator is authorized to grant Options to Eligible Individuals from time to time, in its sole discretion, on such terms and conditions as it may determine which shall not be inconsistent with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 w:name="ny20024289x1_def14a_300-annexa_pg8"/>
        <w:bookmarkEnd w:id="8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Qualification of Incentive Stock Options</w:t>
      </w:r>
      <w:r>
        <w:rPr>
          <w:rFonts w:ascii="Times New Roman;Times;serif" w:hAnsi="Times New Roman;Times;serif"/>
          <w:color w:val="000000"/>
          <w:sz w:val="20"/>
        </w:rPr>
        <w:t xml:space="preserve">.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Option Exercise Price</w:t>
      </w:r>
      <w:r>
        <w:rPr>
          <w:rFonts w:ascii="Times New Roman;Times;serif" w:hAnsi="Times New Roman;Times;serif"/>
          <w:color w:val="000000"/>
          <w:sz w:val="20"/>
        </w:rPr>
        <w:t xml:space="preserve">. Except as provided in Article 13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Option Term</w:t>
      </w:r>
      <w:r>
        <w:rPr>
          <w:rFonts w:ascii="Times New Roman;Times;serif" w:hAnsi="Times New Roman;Times;serif"/>
          <w:color w:val="000000"/>
          <w:sz w:val="20"/>
        </w:rPr>
        <w:t>. The term of each Option (the “</w:t>
      </w:r>
      <w:r>
        <w:rPr>
          <w:rFonts w:ascii="Times New Roman;Times;serif" w:hAnsi="Times New Roman;Times;serif"/>
          <w:color w:val="000000"/>
          <w:sz w:val="20"/>
          <w:u w:val="single"/>
        </w:rPr>
        <w:t>Option Term</w:t>
      </w:r>
      <w:r>
        <w:rPr>
          <w:rFonts w:ascii="Times New Roman;Times;serif" w:hAnsi="Times New Roman;Times;serif"/>
          <w:color w:val="000000"/>
          <w:sz w:val="20"/>
        </w:rPr>
        <w:t xml:space="preserve">”) shall be set by the Administrator in its sole discretion;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5.5 </w:t>
      </w:r>
      <w:r>
        <w:rPr>
          <w:rFonts w:ascii="Times New Roman;Times;serif" w:hAnsi="Times New Roman;Times;serif"/>
          <w:color w:val="000000"/>
          <w:sz w:val="20"/>
          <w:u w:val="single"/>
        </w:rPr>
        <w:t>Option Vesting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5.6 </w:t>
      </w:r>
      <w:r>
        <w:rPr>
          <w:rFonts w:ascii="Times New Roman;Times;serif" w:hAnsi="Times New Roman;Times;serif"/>
          <w:color w:val="000000"/>
          <w:sz w:val="20"/>
          <w:u w:val="single"/>
        </w:rPr>
        <w:t>Substitute Awards</w:t>
      </w:r>
      <w:r>
        <w:rPr>
          <w:rFonts w:ascii="Times New Roman;Times;serif" w:hAnsi="Times New Roman;Times;serif"/>
          <w:color w:val="000000"/>
          <w:sz w:val="20"/>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 w:name="ny20024289x1_def14a_300-annexa_pg9"/>
        <w:bookmarkEnd w:id="8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5.7 </w:t>
      </w:r>
      <w:r>
        <w:rPr>
          <w:rFonts w:ascii="Times New Roman;Times;serif" w:hAnsi="Times New Roman;Times;serif"/>
          <w:color w:val="000000"/>
          <w:sz w:val="20"/>
          <w:u w:val="single"/>
        </w:rPr>
        <w:t>Substitution of Stock Appreciation Rights</w:t>
      </w:r>
      <w:r>
        <w:rPr>
          <w:rFonts w:ascii="Times New Roman;Times;serif" w:hAnsi="Times New Roman;Times;serif"/>
          <w:color w:val="000000"/>
          <w:sz w:val="20"/>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EXERCISE OF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Partial Exercise</w:t>
      </w:r>
      <w:r>
        <w:rPr>
          <w:rFonts w:ascii="Times New Roman;Times;serif" w:hAnsi="Times New Roman;Times;serif"/>
          <w:color w:val="000000"/>
          <w:sz w:val="20"/>
        </w:rPr>
        <w:t xml:space="preserve">. An exercisable Option may be exercised in whole or in part. However, an Option shall not be exercisable with respect to fractional Shares and the Administrator may require that, by the terms of the Option, a partial exercise must be with respect to a minimum number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Manner of Exercise</w:t>
      </w:r>
      <w:r>
        <w:rPr>
          <w:rFonts w:ascii="Times New Roman;Times;serif" w:hAnsi="Times New Roman;Times;serif"/>
          <w:color w:val="000000"/>
          <w:sz w:val="20"/>
        </w:rPr>
        <w:t xml:space="preserve">. All or a portion of an exercisable Option shall be deemed exercised upon delivery of all of the following to the Secretary of the Company, or such other person or entity designated by the Administrator, or his, her or its office,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the Option shall be exercised pursuant to Section 11.3 hereof by any person or persons other than the Holder, appropriate proof of the right of such person or persons to exercise the Option, as determined in the sole discretion of the Administrator;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(d) Full payment of the exercise price and applicable withholding taxes to the stock administrator of the Company for the shares with respect to which the Option, or portion thereof, is exercised, in a manner permitted by Section 11.1 and 11.2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Notification Regarding Disposition</w:t>
      </w:r>
      <w:r>
        <w:rPr>
          <w:rFonts w:ascii="Times New Roman;Times;serif" w:hAnsi="Times New Roman;Times;serif"/>
          <w:color w:val="000000"/>
          <w:sz w:val="20"/>
        </w:rPr>
        <w:t xml:space="preserve">. The Holder shall give the Company prompt written or electronic notice of any disposition of Shares acquired by exercise of an Incentive Stock Option which occurs within (a) two (2) years from the date of granting (including the date the Option is modified, extended or renewed for purposes of Section 424(h) of the Code) of such Option to such Holder, or (b) one (1) year after the transfer of such shares to such Holder.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7.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AWARD OF RESTRICTED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Award of Restricted Stock</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Administrator shall establish the purchase price, if any, and form of payment for Restricted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 w:name="ny20024289x1_def14a_300-annexa_pg10"/>
        <w:bookmarkEnd w:id="8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Rights as Stockholders</w:t>
      </w:r>
      <w:r>
        <w:rPr>
          <w:rFonts w:ascii="Times New Roman;Times;serif" w:hAnsi="Times New Roman;Times;serif"/>
          <w:color w:val="000000"/>
          <w:sz w:val="20"/>
        </w:rPr>
        <w:t xml:space="preserve">. Subject to Section 7.4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the sole discretion of the Administrator, any extraordinary distributions with respect to the Shares shall be subject to the restrictions set forth in Section 7.3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7.3 </w:t>
      </w:r>
      <w:r>
        <w:rPr>
          <w:rFonts w:ascii="Times New Roman;Times;serif" w:hAnsi="Times New Roman;Times;serif"/>
          <w:color w:val="000000"/>
          <w:sz w:val="20"/>
          <w:u w:val="single"/>
        </w:rPr>
        <w:t>Restrictions</w:t>
      </w:r>
      <w:r>
        <w:rPr>
          <w:rFonts w:ascii="Times New Roman;Times;serif" w:hAnsi="Times New Roman;Times;serif"/>
          <w:color w:val="000000"/>
          <w:sz w:val="20"/>
        </w:rPr>
        <w:t xml:space="preserve">.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terminated or expire. In addition, notwithstanding anything to the contrary herein, with respect to a share of Restricted Stock, dividends which are paid prior to vesting shall only be paid out to the Participant to the extent the share of Restricted Stock vests.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7.4 </w:t>
      </w:r>
      <w:r>
        <w:rPr>
          <w:rFonts w:ascii="Times New Roman;Times;serif" w:hAnsi="Times New Roman;Times;serif"/>
          <w:color w:val="000000"/>
          <w:sz w:val="20"/>
          <w:u w:val="single"/>
        </w:rPr>
        <w:t>Repurchase or Forfeiture of Restricted Stock</w:t>
      </w:r>
      <w:r>
        <w:rPr>
          <w:rFonts w:ascii="Times New Roman;Times;serif" w:hAnsi="Times New Roman;Times;serif"/>
          <w:color w:val="000000"/>
          <w:sz w:val="20"/>
        </w:rPr>
        <w:t xml:space="preserve">.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7.5 </w:t>
      </w:r>
      <w:r>
        <w:rPr>
          <w:rFonts w:ascii="Times New Roman;Times;serif" w:hAnsi="Times New Roman;Times;serif"/>
          <w:color w:val="000000"/>
          <w:sz w:val="20"/>
          <w:u w:val="single"/>
        </w:rPr>
        <w:t>Certificates for Restricted Stock</w:t>
      </w:r>
      <w:r>
        <w:rPr>
          <w:rFonts w:ascii="Times New Roman;Times;serif" w:hAnsi="Times New Roman;Times;serif"/>
          <w:color w:val="000000"/>
          <w:sz w:val="20"/>
        </w:rPr>
        <w:t xml:space="preserve">.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7.6 </w:t>
      </w:r>
      <w:r>
        <w:rPr>
          <w:rFonts w:ascii="Times New Roman;Times;serif" w:hAnsi="Times New Roman;Times;serif"/>
          <w:color w:val="000000"/>
          <w:sz w:val="20"/>
          <w:u w:val="single"/>
        </w:rPr>
        <w:t>Section 83(b) Election</w:t>
      </w:r>
      <w:r>
        <w:rPr>
          <w:rFonts w:ascii="Times New Roman;Times;serif" w:hAnsi="Times New Roman;Times;serif"/>
          <w:color w:val="000000"/>
          <w:sz w:val="20"/>
        </w:rPr>
        <w:t xml:space="preserve">.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ARTICLE 8.</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AWARD OF RESTRICTED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Grant of Restricted Stock Units</w:t>
      </w:r>
      <w:r>
        <w:rPr>
          <w:rFonts w:ascii="Times New Roman;Times;serif" w:hAnsi="Times New Roman;Times;serif"/>
          <w:color w:val="000000"/>
          <w:sz w:val="20"/>
        </w:rPr>
        <w:t xml:space="preserve">. The Administrator is authorized to grant Awards of Restricted Stock Units to any Eligible Individual selected by the Administrator in such amounts and subject to such terms and conditions as determined by the Administrator.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5" w:name="ny20024289x1_def14a_300-annexa_pg11"/>
        <w:bookmarkEnd w:id="8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Except as otherwise provided herein, the term of a Restricted Stock Unit award shall be set by the Administrator in its sole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Purchase Price</w:t>
      </w:r>
      <w:r>
        <w:rPr>
          <w:rFonts w:ascii="Times New Roman;Times;serif" w:hAnsi="Times New Roman;Times;serif"/>
          <w:color w:val="000000"/>
          <w:sz w:val="20"/>
        </w:rPr>
        <w:t xml:space="preserve">. The Administrator shall specify the purchase price, if any, to be paid by the Holder to the Company with respect to any Restricted Stock Unit award;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value of the consideration shall not be less than the par value of a Share, unless otherwise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8.4 </w:t>
      </w:r>
      <w:r>
        <w:rPr>
          <w:rFonts w:ascii="Times New Roman;Times;serif" w:hAnsi="Times New Roman;Times;serif"/>
          <w:color w:val="000000"/>
          <w:sz w:val="20"/>
          <w:u w:val="single"/>
        </w:rPr>
        <w:t>Vesting of Restricted Stock Units</w:t>
      </w:r>
      <w:r>
        <w:rPr>
          <w:rFonts w:ascii="Times New Roman;Times;serif" w:hAnsi="Times New Roman;Times;serif"/>
          <w:color w:val="000000"/>
          <w:sz w:val="20"/>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8.5 </w:t>
      </w:r>
      <w:r>
        <w:rPr>
          <w:rFonts w:ascii="Times New Roman;Times;serif" w:hAnsi="Times New Roman;Times;serif"/>
          <w:color w:val="000000"/>
          <w:sz w:val="20"/>
          <w:u w:val="single"/>
        </w:rPr>
        <w:t>Maturity and Payment</w:t>
      </w:r>
      <w:r>
        <w:rPr>
          <w:rFonts w:ascii="Times New Roman;Times;serif" w:hAnsi="Times New Roman;Times;serif"/>
          <w:color w:val="000000"/>
          <w:sz w:val="20"/>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w:t>
      </w:r>
      <w:r>
        <w:rPr>
          <w:rFonts w:ascii="Times New Roman;Times;serif" w:hAnsi="Times New Roman;Times;serif"/>
          <w:color w:val="000000"/>
          <w:position w:val="7"/>
          <w:sz w:val="16"/>
          <w:sz w:val="20"/>
        </w:rPr>
        <w:t>th</w:t>
      </w:r>
      <w:r>
        <w:rPr>
          <w:rFonts w:ascii="Times New Roman;Times;serif" w:hAnsi="Times New Roman;Times;serif"/>
          <w:color w:val="000000"/>
          <w:sz w:val="20"/>
        </w:rPr>
        <w:t>) day of the third (3</w:t>
      </w:r>
      <w:r>
        <w:rPr>
          <w:rFonts w:ascii="Times New Roman;Times;serif" w:hAnsi="Times New Roman;Times;serif"/>
          <w:color w:val="000000"/>
          <w:position w:val="7"/>
          <w:sz w:val="16"/>
          <w:sz w:val="20"/>
        </w:rPr>
        <w:t>rd</w:t>
      </w:r>
      <w:r>
        <w:rPr>
          <w:rFonts w:ascii="Times New Roman;Times;serif" w:hAnsi="Times New Roman;Times;serif"/>
          <w:color w:val="000000"/>
          <w:sz w:val="20"/>
        </w:rPr>
        <w:t>) month following the end of calendar year in which the Restricted Stock Unit vests; or (b) the fifteenth (15</w:t>
      </w:r>
      <w:r>
        <w:rPr>
          <w:rFonts w:ascii="Times New Roman;Times;serif" w:hAnsi="Times New Roman;Times;serif"/>
          <w:color w:val="000000"/>
          <w:position w:val="7"/>
          <w:sz w:val="16"/>
          <w:sz w:val="20"/>
        </w:rPr>
        <w:t>th</w:t>
      </w:r>
      <w:r>
        <w:rPr>
          <w:rFonts w:ascii="Times New Roman;Times;serif" w:hAnsi="Times New Roman;Times;serif"/>
          <w:color w:val="000000"/>
          <w:sz w:val="20"/>
        </w:rPr>
        <w:t>) day of the third (3</w:t>
      </w:r>
      <w:r>
        <w:rPr>
          <w:rFonts w:ascii="Times New Roman;Times;serif" w:hAnsi="Times New Roman;Times;serif"/>
          <w:color w:val="000000"/>
          <w:position w:val="7"/>
          <w:sz w:val="16"/>
          <w:sz w:val="20"/>
        </w:rPr>
        <w:t>rd</w:t>
      </w:r>
      <w:r>
        <w:rPr>
          <w:rFonts w:ascii="Times New Roman;Times;serif" w:hAnsi="Times New Roman;Times;serif"/>
          <w:color w:val="000000"/>
          <w:sz w:val="20"/>
        </w:rPr>
        <w:t xml:space="preserve">)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8.6 </w:t>
      </w:r>
      <w:r>
        <w:rPr>
          <w:rFonts w:ascii="Times New Roman;Times;serif" w:hAnsi="Times New Roman;Times;serif"/>
          <w:color w:val="000000"/>
          <w:sz w:val="20"/>
          <w:u w:val="single"/>
        </w:rPr>
        <w:t>Payment upon Termination of Service</w:t>
      </w:r>
      <w:r>
        <w:rPr>
          <w:rFonts w:ascii="Times New Roman;Times;serif" w:hAnsi="Times New Roman;Times;serif"/>
          <w:color w:val="000000"/>
          <w:sz w:val="20"/>
        </w:rPr>
        <w:t xml:space="preserve">. An Award of Restricted Stock Units shall only be payable while the Holder is an Employee, a Consultant or a member of the Board,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8.7 </w:t>
      </w:r>
      <w:r>
        <w:rPr>
          <w:rFonts w:ascii="Times New Roman;Times;serif" w:hAnsi="Times New Roman;Times;serif"/>
          <w:color w:val="000000"/>
          <w:sz w:val="20"/>
          <w:u w:val="single"/>
        </w:rPr>
        <w:t>No Rights as a Stockholder</w:t>
      </w:r>
      <w:r>
        <w:rPr>
          <w:rFonts w:ascii="Times New Roman;Times;serif" w:hAnsi="Times New Roman;Times;serif"/>
          <w:color w:val="000000"/>
          <w:sz w:val="20"/>
        </w:rPr>
        <w:t xml:space="preserve">.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8.8 </w:t>
      </w:r>
      <w:r>
        <w:rPr>
          <w:rFonts w:ascii="Times New Roman;Times;serif" w:hAnsi="Times New Roman;Times;serif"/>
          <w:color w:val="000000"/>
          <w:sz w:val="20"/>
          <w:u w:val="single"/>
        </w:rPr>
        <w:t>Dividend Equivalents</w:t>
      </w:r>
      <w:r>
        <w:rPr>
          <w:rFonts w:ascii="Times New Roman;Times;serif" w:hAnsi="Times New Roman;Times;serif"/>
          <w:color w:val="000000"/>
          <w:sz w:val="20"/>
        </w:rPr>
        <w:t xml:space="preserve">.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9.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AWARD OF PERFORMANCE AWARDS, DIVIDEND EQUIVALENTS, STOCK PAYMENTS, DEFERRED STOCK, DEFERRED STOCK UNITS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Performance Awards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Administrator is authorized to grant Performance Awards, including Awards of Performance Stock Units, to any Eligible Individual. The value of Performance Awards, including Performance Stock Units, may be linked to any one or more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24289x1_def14a_300-annexa_pg12"/>
        <w:bookmarkEnd w:id="8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9.2 </w:t>
      </w:r>
      <w:r>
        <w:rPr>
          <w:rFonts w:ascii="Times New Roman;Times;serif" w:hAnsi="Times New Roman;Times;serif"/>
          <w:color w:val="000000"/>
          <w:sz w:val="20"/>
          <w:u w:val="single"/>
        </w:rPr>
        <w:t>Dividend Equivalents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in the Plan, dividends or Dividend Equivalents with respect to an Award that is subject to vesting and that are based on dividends paid prior to the vesting of such Award shall only be paid out to the Holder to the extent that the vesting conditions are subsequently satisfied and the Award vests.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Dividend Equivalents shall be payable with respect to Options or Stock Appreciation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9.3 </w:t>
      </w:r>
      <w:r>
        <w:rPr>
          <w:rFonts w:ascii="Times New Roman;Times;serif" w:hAnsi="Times New Roman;Times;serif"/>
          <w:color w:val="000000"/>
          <w:sz w:val="20"/>
          <w:u w:val="single"/>
        </w:rPr>
        <w:t>Stock Payments</w:t>
      </w:r>
      <w:r>
        <w:rPr>
          <w:rFonts w:ascii="Times New Roman;Times;serif" w:hAnsi="Times New Roman;Times;serif"/>
          <w:color w:val="000000"/>
          <w:sz w:val="20"/>
        </w:rPr>
        <w:t xml:space="preserve">.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9.4 </w:t>
      </w:r>
      <w:r>
        <w:rPr>
          <w:rFonts w:ascii="Times New Roman;Times;serif" w:hAnsi="Times New Roman;Times;serif"/>
          <w:color w:val="000000"/>
          <w:sz w:val="20"/>
          <w:u w:val="single"/>
        </w:rPr>
        <w:t>Deferred Stock</w:t>
      </w:r>
      <w:r>
        <w:rPr>
          <w:rFonts w:ascii="Times New Roman;Times;serif" w:hAnsi="Times New Roman;Times;serif"/>
          <w:color w:val="000000"/>
          <w:sz w:val="20"/>
        </w:rPr>
        <w:t xml:space="preserve">.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9.5 </w:t>
      </w:r>
      <w:r>
        <w:rPr>
          <w:rFonts w:ascii="Times New Roman;Times;serif" w:hAnsi="Times New Roman;Times;serif"/>
          <w:color w:val="000000"/>
          <w:sz w:val="20"/>
          <w:u w:val="single"/>
        </w:rPr>
        <w:t>Deferred Stock Units</w:t>
      </w:r>
      <w:r>
        <w:rPr>
          <w:rFonts w:ascii="Times New Roman;Times;serif" w:hAnsi="Times New Roman;Times;serif"/>
          <w:color w:val="000000"/>
          <w:sz w:val="20"/>
        </w:rPr>
        <w:t xml:space="preserve">.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9.6 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The term of a Performance Award, Dividend Equivalent award, Stock Payment award, Deferred Stock award and/or Deferred Stock Unit award shall be set by the Administrator in its sole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9.7 </w:t>
      </w:r>
      <w:r>
        <w:rPr>
          <w:rFonts w:ascii="Times New Roman;Times;serif" w:hAnsi="Times New Roman;Times;serif"/>
          <w:color w:val="000000"/>
          <w:sz w:val="20"/>
          <w:u w:val="single"/>
        </w:rPr>
        <w:t>Purchase Price</w:t>
      </w:r>
      <w:r>
        <w:rPr>
          <w:rFonts w:ascii="Times New Roman;Times;serif" w:hAnsi="Times New Roman;Times;serif"/>
          <w:color w:val="000000"/>
          <w:sz w:val="20"/>
        </w:rPr>
        <w:t xml:space="preserve">. The Administrator may establish the purchase price of a Performance Award, Shares distributed as a Stock Payment award, shares of Deferred Stock or Shares distributed pursuant to a Deferred Stock Unit award;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value of the consideration shall not be less than the par value of a Share, unless otherwise permitted by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7" w:name="ny20024289x1_def14a_300-annexa_pg13"/>
        <w:bookmarkEnd w:id="8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9.8 </w:t>
      </w:r>
      <w:r>
        <w:rPr>
          <w:rFonts w:ascii="Times New Roman;Times;serif" w:hAnsi="Times New Roman;Times;serif"/>
          <w:color w:val="000000"/>
          <w:sz w:val="20"/>
          <w:u w:val="single"/>
        </w:rPr>
        <w:t>Termination of Service</w:t>
      </w:r>
      <w:r>
        <w:rPr>
          <w:rFonts w:ascii="Times New Roman;Times;serif" w:hAnsi="Times New Roman;Times;serif"/>
          <w:color w:val="000000"/>
          <w:sz w:val="20"/>
        </w:rPr>
        <w:t xml:space="preserve">.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 </w:t>
      </w:r>
    </w:p>
    <w:p>
      <w:pPr>
        <w:pStyle w:val="TextBody"/>
        <w:bidi w:val="0"/>
        <w:spacing w:before="890" w:after="283"/>
        <w:jc w:val="center"/>
        <w:rPr>
          <w:rFonts w:ascii="Times New Roman;Times;serif" w:hAnsi="Times New Roman;Times;serif"/>
          <w:b/>
          <w:color w:val="000000"/>
          <w:sz w:val="20"/>
        </w:rPr>
      </w:pPr>
      <w:r>
        <w:rPr>
          <w:rFonts w:ascii="Times New Roman;Times;serif" w:hAnsi="Times New Roman;Times;serif"/>
          <w:b/>
          <w:color w:val="000000"/>
          <w:sz w:val="20"/>
        </w:rPr>
        <w:t>ARTICLE 10.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AWARD OF STOCK APPRECIATION RIGHTS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10.1 </w:t>
      </w:r>
      <w:r>
        <w:rPr>
          <w:rFonts w:ascii="Times New Roman;Times;serif" w:hAnsi="Times New Roman;Times;serif"/>
          <w:color w:val="000000"/>
          <w:sz w:val="20"/>
          <w:u w:val="single"/>
        </w:rPr>
        <w:t>Grant of Stock Appreciation Rights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Administrator is authorized to grant Stock Appreciation Rights to Eligible Individuals from time to time, in its sole discretion, on such terms and conditions as it may determine consistent with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10.2 </w:t>
      </w:r>
      <w:r>
        <w:rPr>
          <w:rFonts w:ascii="Times New Roman;Times;serif" w:hAnsi="Times New Roman;Times;serif"/>
          <w:color w:val="000000"/>
          <w:sz w:val="20"/>
          <w:u w:val="single"/>
        </w:rPr>
        <w:t>Stock Appreciation Right Vesting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 w:name="ny20024289x1_def14a_300-annexa_pg14"/>
        <w:bookmarkEnd w:id="8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10.3 </w:t>
      </w:r>
      <w:r>
        <w:rPr>
          <w:rFonts w:ascii="Times New Roman;Times;serif" w:hAnsi="Times New Roman;Times;serif"/>
          <w:color w:val="000000"/>
          <w:sz w:val="20"/>
          <w:u w:val="single"/>
        </w:rPr>
        <w:t>Manner of Exercise</w:t>
      </w:r>
      <w:r>
        <w:rPr>
          <w:rFonts w:ascii="Times New Roman;Times;serif" w:hAnsi="Times New Roman;Times;serif"/>
          <w:color w:val="000000"/>
          <w:sz w:val="20"/>
        </w:rPr>
        <w:t xml:space="preserve">. All or a portion of an exercisable Stock Appreciation Right shall be deemed exercised upon delivery of all of the following to the stock administrator of the Company, or such other person or entity designated by the Administrator, or his, her or its office,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the Stock Appreciation Right shall be exercised pursuant to this Section 10.3 hereof by any person or persons other than the Holder, appropriate proof of the right of such person or persons to exercise the Stock Appreciation Right.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10.4 </w:t>
      </w:r>
      <w:r>
        <w:rPr>
          <w:rFonts w:ascii="Times New Roman;Times;serif" w:hAnsi="Times New Roman;Times;serif"/>
          <w:color w:val="000000"/>
          <w:sz w:val="20"/>
          <w:u w:val="single"/>
        </w:rPr>
        <w:t>Stock Appreciation Right Term</w:t>
      </w:r>
      <w:r>
        <w:rPr>
          <w:rFonts w:ascii="Times New Roman;Times;serif" w:hAnsi="Times New Roman;Times;serif"/>
          <w:color w:val="000000"/>
          <w:sz w:val="20"/>
        </w:rPr>
        <w:t>. The term of each Stock Appreciation Right (the “</w:t>
      </w:r>
      <w:r>
        <w:rPr>
          <w:rFonts w:ascii="Times New Roman;Times;serif" w:hAnsi="Times New Roman;Times;serif"/>
          <w:color w:val="000000"/>
          <w:sz w:val="20"/>
          <w:u w:val="single"/>
        </w:rPr>
        <w:t>Stock Appreciation Right Term</w:t>
      </w:r>
      <w:r>
        <w:rPr>
          <w:rFonts w:ascii="Times New Roman;Times;serif" w:hAnsi="Times New Roman;Times;serif"/>
          <w:color w:val="000000"/>
          <w:sz w:val="20"/>
        </w:rPr>
        <w:t xml:space="preserve">”) shall be set by the Administrator in its sole discretion;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10.5 </w:t>
      </w:r>
      <w:r>
        <w:rPr>
          <w:rFonts w:ascii="Times New Roman;Times;serif" w:hAnsi="Times New Roman;Times;serif"/>
          <w:color w:val="000000"/>
          <w:sz w:val="20"/>
          <w:u w:val="single"/>
        </w:rPr>
        <w:t>Payment</w:t>
      </w:r>
      <w:r>
        <w:rPr>
          <w:rFonts w:ascii="Times New Roman;Times;serif" w:hAnsi="Times New Roman;Times;serif"/>
          <w:color w:val="000000"/>
          <w:sz w:val="20"/>
        </w:rPr>
        <w:t xml:space="preserve">. Payment of the amounts payable with respect to Stock Appreciation Rights pursuant to this Article 10 shall be in cash, Shares (based on its Fair Market Value as of the date the Stock Appreciation Right is exercised), or a combination of both, as determined by the Administrator.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11.</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TERMS OF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11.1 </w:t>
      </w:r>
      <w:r>
        <w:rPr>
          <w:rFonts w:ascii="Times New Roman;Times;serif" w:hAnsi="Times New Roman;Times;serif"/>
          <w:color w:val="000000"/>
          <w:sz w:val="20"/>
          <w:u w:val="single"/>
        </w:rPr>
        <w:t>Payment</w:t>
      </w:r>
      <w:r>
        <w:rPr>
          <w:rFonts w:ascii="Times New Roman;Times;serif" w:hAnsi="Times New Roman;Times;serif"/>
          <w:color w:val="000000"/>
          <w:sz w:val="20"/>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11.2 </w:t>
      </w: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The Administrator shall determine the methods by which payments by any Holder with respect to the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9" w:name="ny20024289x1_def14a_300-annexa_pg15"/>
        <w:bookmarkEnd w:id="8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withholding obligations with respect to any Awards granted under the Plan shall be made, which methods may include any of the methods permitted under Section 11.1 above. Without limiting the foregoing, the Administrator, in its sole discretion and in satisfaction of the foregoing requirement , may withhold, or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or such higher rate as may be approved by the Administrator (which rates shall in no event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withheld, delivered or returned shall be rounded up to the nearest whole share sufficient to cover the applicable tax withholding obligation to the extent rounding up to the nearest whole share does not result in the liability classification of the applicable Award under generally accepted accounting principles in the United States of America.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11.3 </w:t>
      </w:r>
      <w:r>
        <w:rPr>
          <w:rFonts w:ascii="Times New Roman;Times;serif" w:hAnsi="Times New Roman;Times;serif"/>
          <w:color w:val="000000"/>
          <w:sz w:val="20"/>
          <w:u w:val="single"/>
        </w:rPr>
        <w:t>Transferability of Awards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otherwise provided in Sections 11.3(b) and 11.3(c) 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Section 11.3(a)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0" w:name="ny20024289x1_def14a_300-annexa_pg16"/>
        <w:bookmarkEnd w:id="9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change or revocation is filed with the Administrator prior to the Holder’s death.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11.4 </w:t>
      </w:r>
      <w:r>
        <w:rPr>
          <w:rFonts w:ascii="Times New Roman;Times;serif" w:hAnsi="Times New Roman;Times;serif"/>
          <w:color w:val="000000"/>
          <w:sz w:val="20"/>
          <w:u w:val="single"/>
        </w:rPr>
        <w:t>Conditions to Issuance of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Administrator shall have the right to require any Holder to comply with any timing or other restrictions with respect to the settlement, distribution or exercise of any Award, including a window-period limitation, as may be imposed in the sole discretion of the Administrator.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 fractional Shares shall be issued and the Administrator shall determine, in its sole discretion, whether cash shall be given in lieu of fractional Shares or whether such fractional Shares shall be eliminated by rounding down.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11.5 </w:t>
      </w:r>
      <w:r>
        <w:rPr>
          <w:rFonts w:ascii="Times New Roman;Times;serif" w:hAnsi="Times New Roman;Times;serif"/>
          <w:color w:val="000000"/>
          <w:sz w:val="20"/>
          <w:u w:val="single"/>
        </w:rPr>
        <w:t>Forfeiture and Claw-Back Provisions</w:t>
      </w:r>
      <w:r>
        <w:rPr>
          <w:rFonts w:ascii="Times New Roman;Times;serif" w:hAnsi="Times New Roman;Times;serif"/>
          <w:color w:val="000000"/>
          <w:sz w:val="20"/>
        </w:rPr>
        <w:t xml:space="preserve">. Pursuant to its general authority to determine the terms and conditions applicable to Awards under the Plan, the Administrator shall have the right to provide, in an Award Agreement or otherwise, or to require a Holder to agree by separate written or electronic instrument, that: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1" w:name="ny20024289x1_def14a_300-annexa_pg17"/>
        <w:bookmarkEnd w:id="9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11.6 </w:t>
      </w:r>
      <w:r>
        <w:rPr>
          <w:rFonts w:ascii="Times New Roman;Times;serif" w:hAnsi="Times New Roman;Times;serif"/>
          <w:color w:val="000000"/>
          <w:sz w:val="20"/>
          <w:u w:val="single"/>
        </w:rPr>
        <w:t>Prohibition on Repricing</w:t>
      </w:r>
      <w:r>
        <w:rPr>
          <w:rFonts w:ascii="Times New Roman;Times;serif" w:hAnsi="Times New Roman;Times;serif"/>
          <w:color w:val="000000"/>
          <w:sz w:val="20"/>
        </w:rPr>
        <w:t xml:space="preserve">. Subject to Section 13.2 hereof,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11.7 </w:t>
      </w:r>
      <w:r>
        <w:rPr>
          <w:rFonts w:ascii="Times New Roman;Times;serif" w:hAnsi="Times New Roman;Times;serif"/>
          <w:color w:val="000000"/>
          <w:sz w:val="20"/>
          <w:u w:val="single"/>
        </w:rPr>
        <w:t>Leave of Absence</w:t>
      </w:r>
      <w:r>
        <w:rPr>
          <w:rFonts w:ascii="Times New Roman;Times;serif" w:hAnsi="Times New Roman;Times;serif"/>
          <w:color w:val="000000"/>
          <w:sz w:val="20"/>
        </w:rPr>
        <w:t xml:space="preserve">. Unless the Administrator provides otherwise, vesting of Awards granted hereunder shall be suspended during any unpaid leave of absence. A Holder shall not cease to be considered an Employee, Non-Employee Director or Consultant, as applicable, in the case of any (a) 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ARTICLE 12.</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ADMINISTRATION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12.1 </w:t>
      </w:r>
      <w:r>
        <w:rPr>
          <w:rFonts w:ascii="Times New Roman;Times;serif" w:hAnsi="Times New Roman;Times;serif"/>
          <w:color w:val="000000"/>
          <w:sz w:val="20"/>
          <w:u w:val="single"/>
        </w:rPr>
        <w:t>Administrator</w:t>
      </w:r>
      <w:r>
        <w:rPr>
          <w:rFonts w:ascii="Times New Roman;Times;serif" w:hAnsi="Times New Roman;Times;serif"/>
          <w:color w:val="000000"/>
          <w:sz w:val="20"/>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12.6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12.2 </w:t>
      </w:r>
      <w:r>
        <w:rPr>
          <w:rFonts w:ascii="Times New Roman;Times;serif" w:hAnsi="Times New Roman;Times;serif"/>
          <w:color w:val="000000"/>
          <w:sz w:val="20"/>
          <w:u w:val="single"/>
        </w:rPr>
        <w:t>Duties and Powers of Administrator</w:t>
      </w:r>
      <w:r>
        <w:rPr>
          <w:rFonts w:ascii="Times New Roman;Times;serif" w:hAnsi="Times New Roman;Times;serif"/>
          <w:color w:val="000000"/>
          <w:sz w:val="20"/>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13.10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2" w:name="ny20024289x1_def14a_300-annexa_pg18"/>
        <w:bookmarkEnd w:id="9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12.3 </w:t>
      </w:r>
      <w:r>
        <w:rPr>
          <w:rFonts w:ascii="Times New Roman;Times;serif" w:hAnsi="Times New Roman;Times;serif"/>
          <w:color w:val="000000"/>
          <w:sz w:val="20"/>
          <w:u w:val="single"/>
        </w:rPr>
        <w:t>Action by the Committee</w:t>
      </w:r>
      <w:r>
        <w:rPr>
          <w:rFonts w:ascii="Times New Roman;Times;serif" w:hAnsi="Times New Roman;Times;serif"/>
          <w:color w:val="000000"/>
          <w:sz w:val="20"/>
        </w:rPr>
        <w:t xml:space="preserve">.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12.4 </w:t>
      </w:r>
      <w:r>
        <w:rPr>
          <w:rFonts w:ascii="Times New Roman;Times;serif" w:hAnsi="Times New Roman;Times;serif"/>
          <w:color w:val="000000"/>
          <w:sz w:val="20"/>
          <w:u w:val="single"/>
        </w:rPr>
        <w:t>Authority of Administrator</w:t>
      </w:r>
      <w:r>
        <w:rPr>
          <w:rFonts w:ascii="Times New Roman;Times;serif" w:hAnsi="Times New Roman;Times;serif"/>
          <w:color w:val="000000"/>
          <w:sz w:val="20"/>
        </w:rPr>
        <w:t xml:space="preserve">. Subject to the Company’s Bylaws, the Committee’s Charter and any specific designation in the Plan, the Administrator has the exclusive power, authority and sole discretion to: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(a) Designate Eligible Individuals to receive Awards;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(b) Determine the type or types of Awards to be granted to each Eligible Individual;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(c) Determine the number of Awards to be granted and the number of Shares to which an Award will relate;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(e) Determine whether, to what extent, and pursuant to what circumstances an Award may be settled in, or the exercise price of an Award may be paid in cash, Shares, other Awards, or other property, or an Award may be canceled, forfeited, or surrendered;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(f) Prescribe the form of each Award Agreement, which need not be identical for each Holder;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(g) Decide all other matters that must be determined in connection with an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(h) Establish, adopt, or revise any rules and regulations as it may deem necessary or advisable to administer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(i) Interpret the terms of, and any matter arising pursuant to, the Plan, any Program or any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(j) Make all other decisions and determinations that may be required pursuant to the Plan or as the Administrator deems necessary or advisable to administer the Plan;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(k) Accelerate wholly or partially the vesting or lapse of restrictions of any Award or portion thereof at any time after the grant of an Award, subject to whatever terms and conditions it selects and Section 13.2(d)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12.5 </w:t>
      </w:r>
      <w:r>
        <w:rPr>
          <w:rFonts w:ascii="Times New Roman;Times;serif" w:hAnsi="Times New Roman;Times;serif"/>
          <w:color w:val="000000"/>
          <w:sz w:val="20"/>
          <w:u w:val="single"/>
        </w:rPr>
        <w:t>Decisions Binding</w:t>
      </w:r>
      <w:r>
        <w:rPr>
          <w:rFonts w:ascii="Times New Roman;Times;serif" w:hAnsi="Times New Roman;Times;serif"/>
          <w:color w:val="000000"/>
          <w:sz w:val="20"/>
        </w:rPr>
        <w:t xml:space="preserve">. The Administrator’s interpretation of the Plan, any Awards granted pursuant to the Plan, any Program, any Award Agreement and all decisions and determinations by the Administrator with respect to the Plan are final, binding, and conclusive on all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12.6 </w:t>
      </w:r>
      <w:r>
        <w:rPr>
          <w:rFonts w:ascii="Times New Roman;Times;serif" w:hAnsi="Times New Roman;Times;serif"/>
          <w:color w:val="000000"/>
          <w:sz w:val="20"/>
          <w:u w:val="single"/>
        </w:rPr>
        <w:t>Delegation of Authority</w:t>
      </w:r>
      <w:r>
        <w:rPr>
          <w:rFonts w:ascii="Times New Roman;Times;serif" w:hAnsi="Times New Roman;Times;serif"/>
          <w:color w:val="000000"/>
          <w:sz w:val="20"/>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12;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hereof shall serve in such capacity at the pleasure of the Board and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3" w:name="ny20024289x1_def14a_300-annexa_pg19"/>
        <w:bookmarkEnd w:id="9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13.</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PROVISIONS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13.1 </w:t>
      </w:r>
      <w:r>
        <w:rPr>
          <w:rFonts w:ascii="Times New Roman;Times;serif" w:hAnsi="Times New Roman;Times;serif"/>
          <w:color w:val="000000"/>
          <w:sz w:val="20"/>
          <w:u w:val="single"/>
        </w:rPr>
        <w:t>Amendment, Suspension or Termination of the Plan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(a) This Plan shall be effective on the date it is adopted by the Board (the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provided, that the stockholders of the Company approve the Plan within twelve (12) months following the Effective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hereof, (a) increase the limits imposed in Section 3.1 hereof on the maximum number of shares which may be issued under the Plan, or (b) reduce the price per share of any outstanding Option or Stock Appreciation Right granted under the Plan, or (c) cancel any Option or Stock Appreciation Right in exchange for cash or another Award when the Option or Stock Appreciation Right price per share exceeds the 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anniversary of the Effective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13.2 </w:t>
      </w:r>
      <w:r>
        <w:rPr>
          <w:rFonts w:ascii="Times New Roman;Times;serif" w:hAnsi="Times New Roman;Times;serif"/>
          <w:color w:val="000000"/>
          <w:sz w:val="20"/>
          <w:u w:val="single"/>
        </w:rPr>
        <w:t>Changes in Common Stock or Assets of the Company, Acquisition or Liquidation of the Company and Other Corporate Events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4" w:name="ny20024289x1_def14a_300-annexa_pg20"/>
        <w:bookmarkEnd w:id="9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(iv) To provide that such Award shall be exercisable or payable or fully vested with respect to all shares covered thereby, notwithstanding anything to the contrary in the Plan or the applicable Program or Award Agreement;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(v) To provide that the Award cannot vest, be exercised or become payable after such event.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connection with the occurrence of any Equity Restructuring, and notwithstanding anything to the contrary in Sections 13.2(a) and 13.2(b) 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number and type of securities subject to each outstanding Award and the exercise price or grant price thereof, if applicable, shall be equitably adjusted; and/or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adjustments provided under this Section 13.2(c) shall be nondiscretionary and shall be final and binding on the affected Holder and the Company.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5" w:name="ny20024289x1_def14a_300-annexa_pg21"/>
        <w:bookmarkEnd w:id="9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Administrator may, in its sole discretion, include such further provisions and limitations in any Award, agreement or certificate, as it may deem equitable and in the best interests of the Company that are not inconsistent with the provisions of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13.3 </w:t>
      </w:r>
      <w:r>
        <w:rPr>
          <w:rFonts w:ascii="Times New Roman;Times;serif" w:hAnsi="Times New Roman;Times;serif"/>
          <w:color w:val="000000"/>
          <w:sz w:val="20"/>
          <w:u w:val="single"/>
        </w:rPr>
        <w:t>Approval of Plan by Stockholders</w:t>
      </w:r>
      <w:r>
        <w:rPr>
          <w:rFonts w:ascii="Times New Roman;Times;serif" w:hAnsi="Times New Roman;Times;serif"/>
          <w:color w:val="000000"/>
          <w:sz w:val="20"/>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such approval has not been obtained at the end of said twelve (12) month period, all Awards previously granted or awarded under the Plan shall thereupon be canceled and become null and void.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13.4 </w:t>
      </w:r>
      <w:r>
        <w:rPr>
          <w:rFonts w:ascii="Times New Roman;Times;serif" w:hAnsi="Times New Roman;Times;serif"/>
          <w:color w:val="000000"/>
          <w:sz w:val="20"/>
          <w:u w:val="single"/>
        </w:rPr>
        <w:t>No Stockholders Rights</w:t>
      </w:r>
      <w:r>
        <w:rPr>
          <w:rFonts w:ascii="Times New Roman;Times;serif" w:hAnsi="Times New Roman;Times;serif"/>
          <w:color w:val="000000"/>
          <w:sz w:val="20"/>
        </w:rPr>
        <w:t xml:space="preserve">. Except as otherwise provided herein, a Holder shall have none of the rights of a stockholder with respect to Shares covered by any Award until the Holder becomes the record owner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13.5 </w:t>
      </w:r>
      <w:r>
        <w:rPr>
          <w:rFonts w:ascii="Times New Roman;Times;serif" w:hAnsi="Times New Roman;Times;serif"/>
          <w:color w:val="000000"/>
          <w:sz w:val="20"/>
          <w:u w:val="single"/>
        </w:rPr>
        <w:t>Paperless Administration</w:t>
      </w:r>
      <w:r>
        <w:rPr>
          <w:rFonts w:ascii="Times New Roman;Times;serif" w:hAnsi="Times New Roman;Times;serif"/>
          <w:color w:val="000000"/>
          <w:sz w:val="20"/>
        </w:rPr>
        <w:t xml:space="preserve">.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13.6 </w:t>
      </w:r>
      <w:r>
        <w:rPr>
          <w:rFonts w:ascii="Times New Roman;Times;serif" w:hAnsi="Times New Roman;Times;serif"/>
          <w:color w:val="000000"/>
          <w:sz w:val="20"/>
          <w:u w:val="single"/>
        </w:rPr>
        <w:t>Effect of Plan upon Other Compensation Plans</w:t>
      </w:r>
      <w:r>
        <w:rPr>
          <w:rFonts w:ascii="Times New Roman;Times;serif" w:hAnsi="Times New Roman;Times;serif"/>
          <w:color w:val="000000"/>
          <w:sz w:val="20"/>
        </w:rPr>
        <w:t xml:space="preserve">.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13.7 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6" w:name="ny20024289x1_def14a_300-annexa_pg22"/>
        <w:bookmarkEnd w:id="9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as the Company may deem necessary or desirable to assure compliance with all Applicable Law. To the extent permitted by Applicable Law, the Plan and Awards granted or awarded hereunder shall be deemed amended to the extent necessary to conform to such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13.8 </w:t>
      </w:r>
      <w:r>
        <w:rPr>
          <w:rFonts w:ascii="Times New Roman;Times;serif" w:hAnsi="Times New Roman;Times;serif"/>
          <w:color w:val="000000"/>
          <w:sz w:val="20"/>
          <w:u w:val="single"/>
        </w:rPr>
        <w:t>Titles and Headings, References to Sections of the Code or Exchange Act</w:t>
      </w:r>
      <w:r>
        <w:rPr>
          <w:rFonts w:ascii="Times New Roman;Times;serif" w:hAnsi="Times New Roman;Times;serif"/>
          <w:color w:val="000000"/>
          <w:sz w:val="20"/>
        </w:rPr>
        <w:t xml:space="preserve">.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13.9 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Plan and any agreements hereunder shall be administered, interpreted and enforced under the internal laws of the State of Delaware without regard to conflicts of laws thereof or of any other jurisdiction.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13.10 </w:t>
      </w:r>
      <w:r>
        <w:rPr>
          <w:rFonts w:ascii="Times New Roman;Times;serif" w:hAnsi="Times New Roman;Times;serif"/>
          <w:color w:val="000000"/>
          <w:sz w:val="20"/>
          <w:u w:val="single"/>
        </w:rPr>
        <w:t>Section 409A</w:t>
      </w:r>
      <w:r>
        <w:rPr>
          <w:rFonts w:ascii="Times New Roman;Times;serif" w:hAnsi="Times New Roman;Times;serif"/>
          <w:color w:val="000000"/>
          <w:sz w:val="20"/>
        </w:rPr>
        <w:t xml:space="preserve">.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13.11 </w:t>
      </w:r>
      <w:r>
        <w:rPr>
          <w:rFonts w:ascii="Times New Roman;Times;serif" w:hAnsi="Times New Roman;Times;serif"/>
          <w:color w:val="000000"/>
          <w:sz w:val="20"/>
          <w:u w:val="single"/>
        </w:rPr>
        <w:t>No Rights to Awards</w:t>
      </w:r>
      <w:r>
        <w:rPr>
          <w:rFonts w:ascii="Times New Roman;Times;serif" w:hAnsi="Times New Roman;Times;serif"/>
          <w:color w:val="000000"/>
          <w:sz w:val="20"/>
        </w:rPr>
        <w:t xml:space="preserve">. No Eligible Individual or other person shall have any claim to be granted any Award pursuant to the Plan, and neither the Company nor the Administrator is obligated to treat Eligible Individuals, Holders or any other persons uniformly.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13.12 </w:t>
      </w:r>
      <w:r>
        <w:rPr>
          <w:rFonts w:ascii="Times New Roman;Times;serif" w:hAnsi="Times New Roman;Times;serif"/>
          <w:color w:val="000000"/>
          <w:sz w:val="20"/>
          <w:u w:val="single"/>
        </w:rPr>
        <w:t>Unfunded Status of Awards</w:t>
      </w:r>
      <w:r>
        <w:rPr>
          <w:rFonts w:ascii="Times New Roman;Times;serif" w:hAnsi="Times New Roman;Times;serif"/>
          <w:color w:val="000000"/>
          <w:sz w:val="20"/>
        </w:rPr>
        <w:t xml:space="preserve">.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13.13 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13.14 </w:t>
      </w:r>
      <w:r>
        <w:rPr>
          <w:rFonts w:ascii="Times New Roman;Times;serif" w:hAnsi="Times New Roman;Times;serif"/>
          <w:color w:val="000000"/>
          <w:sz w:val="20"/>
          <w:u w:val="single"/>
        </w:rPr>
        <w:t>Relationship to other Benefits</w:t>
      </w:r>
      <w:r>
        <w:rPr>
          <w:rFonts w:ascii="Times New Roman;Times;serif" w:hAnsi="Times New Roman;Times;serif"/>
          <w:color w:val="000000"/>
          <w:sz w:val="20"/>
        </w:rPr>
        <w:t xml:space="preserve">.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13.15 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The expenses of administering the Plan shall be borne by the Company and its Affiliates.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7" w:name="ny20024289x1_def14a_301-annexb_pg1"/>
        <w:bookmarkEnd w:id="9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8" w:name="tANNEXB"/>
      <w:bookmarkEnd w:id="98"/>
      <w:r>
        <w:rPr>
          <w:rFonts w:ascii="Times New Roman;Times;serif" w:hAnsi="Times New Roman;Times;serif"/>
          <w:b/>
          <w:color w:val="000000"/>
          <w:sz w:val="20"/>
        </w:rPr>
        <w:t xml:space="preserve">Annex B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2014 EMPLOYEE STOCK PURCHASE PLAN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PURPOSE, SCOPE AND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Purpose and Scope</w:t>
      </w:r>
      <w:r>
        <w:rPr>
          <w:rFonts w:ascii="Times New Roman;Times;serif" w:hAnsi="Times New Roman;Times;serif"/>
          <w:color w:val="000000"/>
          <w:sz w:val="20"/>
        </w:rPr>
        <w:t>. The purpose of the Amended and Restated Ardelyx, Inc. 2014 Employee Stock Purchase Plan, as it may be amended from time to time (the “</w:t>
      </w:r>
      <w:r>
        <w:rPr>
          <w:rFonts w:ascii="Times New Roman;Times;serif" w:hAnsi="Times New Roman;Times;serif"/>
          <w:color w:val="000000"/>
          <w:sz w:val="20"/>
          <w:u w:val="single"/>
        </w:rPr>
        <w:t>Plan</w:t>
      </w:r>
      <w:r>
        <w:rPr>
          <w:rFonts w:ascii="Times New Roman;Times;serif" w:hAnsi="Times New Roman;Times;serif"/>
          <w:color w:val="000000"/>
          <w:sz w:val="20"/>
        </w:rPr>
        <w:t>”) is to assist employees of Ardelyx,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its Designated Subsidiaries in acquiring a stock ownership interest in the Company pursuant to a plan which is intended to qualify as an “employee stock purchase plan” under Section 423 of the Code and to help such employees provide for their future security and to encourage them to remain in the employment of the Company and its Subsidiaries. The Plan amends and restates the 2014 Employee Stock Purchase Plan (the “</w:t>
      </w:r>
      <w:r>
        <w:rPr>
          <w:rFonts w:ascii="Times New Roman;Times;serif" w:hAnsi="Times New Roman;Times;serif"/>
          <w:color w:val="000000"/>
          <w:sz w:val="20"/>
          <w:u w:val="single"/>
        </w:rPr>
        <w:t>Original 2014 Plan</w:t>
      </w:r>
      <w:r>
        <w:rPr>
          <w:rFonts w:ascii="Times New Roman;Times;serif" w:hAnsi="Times New Roman;Times;serif"/>
          <w:color w:val="000000"/>
          <w:sz w:val="20"/>
        </w:rPr>
        <w:t xml:space="preserve">”)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ab initio and the Original 2014 Plan shall continue in effect in accordance with its terms.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the following terms are used in the Plan, they shall have the meaning specified below unless the context clearly indicates to the contrary. The singular pronoun shall include the plural where the context so indicates.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Agent</w:t>
      </w:r>
      <w:r>
        <w:rPr>
          <w:rFonts w:ascii="Times New Roman;Times;serif" w:hAnsi="Times New Roman;Times;serif"/>
          <w:color w:val="000000"/>
          <w:sz w:val="20"/>
        </w:rPr>
        <w:t xml:space="preserve">” means the brokerage firm, bank or other financial institution, entity or person(s), if any, engaged, retained, appointed or authorized to act as the agent of the Company or an Employee with regard to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Administrator</w:t>
      </w:r>
      <w:r>
        <w:rPr>
          <w:rFonts w:ascii="Times New Roman;Times;serif" w:hAnsi="Times New Roman;Times;serif"/>
          <w:color w:val="000000"/>
          <w:sz w:val="20"/>
        </w:rPr>
        <w:t xml:space="preserve">” shall mean the Committee, or such individuals to which authority to administer the Plan has been delegated under Section 7.1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shall mean the Board of Directors of the Company.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shall mean the Internal Revenue Code of 1986, as amended.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Committee</w:t>
      </w:r>
      <w:r>
        <w:rPr>
          <w:rFonts w:ascii="Times New Roman;Times;serif" w:hAnsi="Times New Roman;Times;serif"/>
          <w:color w:val="000000"/>
          <w:sz w:val="20"/>
        </w:rPr>
        <w:t xml:space="preserve">” shall mean the Compensation Committee of the Board.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shall mean the common stock of the Company.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shall have such meaning as set forth in Section 1.1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color w:val="000000"/>
          <w:sz w:val="20"/>
          <w:u w:val="single"/>
        </w:rPr>
        <w:t>Compensation</w:t>
      </w:r>
      <w:r>
        <w:rPr>
          <w:rFonts w:ascii="Times New Roman;Times;serif" w:hAnsi="Times New Roman;Times;serif"/>
          <w:color w:val="000000"/>
          <w:sz w:val="20"/>
        </w:rPr>
        <w:t xml:space="preserve">” of an Employee shall mean the regular straight-time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bonuses and commissions, education or tuition reimbursements, imputed income arising under any group insurance or benefit program, travel expenses, business and moving reimbursements,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color w:val="000000"/>
          <w:sz w:val="20"/>
          <w:u w:val="single"/>
        </w:rPr>
        <w:t>Designated Subsidiary</w:t>
      </w:r>
      <w:r>
        <w:rPr>
          <w:rFonts w:ascii="Times New Roman;Times;serif" w:hAnsi="Times New Roman;Times;serif"/>
          <w:color w:val="000000"/>
          <w:sz w:val="20"/>
        </w:rPr>
        <w:t xml:space="preserve">” shall mean each Subsidiary that have been designated by the Board or Committee from time to time in its sole discretion as eligible to participate in the Plan, including any Subsidiary in existence on the Effective Date and any Subsidiary formed or acquired following the Effective Date, in accordance with Section 7.2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2.10 “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shall have the meaning set forth in Section 7.5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9" w:name="ny20024289x1_def14a_301-annexb_pg2"/>
        <w:bookmarkEnd w:id="9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2.11 “</w:t>
      </w:r>
      <w:r>
        <w:rPr>
          <w:rFonts w:ascii="Times New Roman;Times;serif" w:hAnsi="Times New Roman;Times;serif"/>
          <w:color w:val="000000"/>
          <w:sz w:val="20"/>
          <w:u w:val="single"/>
        </w:rPr>
        <w:t>Eligible Employee</w:t>
      </w:r>
      <w:r>
        <w:rPr>
          <w:rFonts w:ascii="Times New Roman;Times;serif" w:hAnsi="Times New Roman;Times;serif"/>
          <w:color w:val="000000"/>
          <w:sz w:val="20"/>
        </w:rPr>
        <w:t xml:space="preserve">” shall mean an Employee who (a) is customarily scheduled to work at least twenty (20) hours per week, (b) whose customary employment is more than five (5) months in a calendar year and (c) after the granting of the Option would not be deemed for purposes of Section 423(b)(3) of the Code to possess five percent (5%) or more of the total combined voting power or value of all classes of stock of the Company or any Subsidiary. 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 Notwithstanding the foregoing, the Administrator may exclude from participation in the Plan as an Eligible Employee (x) any Employee that is a “highly compensated employee” of the Company or any Designated Subsidiary (within the meaning of Section 414(q) of the Code), or that is such a “highly compensated employee” (A) with compensation above a specified level, (B) who is an officer and/or (C) is subject to the disclosure requirements of Section 16(a) of the Exchange Act and/or (y) any Employee who is a citizen or resident of a foreign jurisdiction (without regard to whether they are also a citizen of the United States or a resident alien (within the meaning of Section 7701(b)(1)(A) of the Code)) if either (i) the grant of the Option is prohibited under the laws of the jurisdiction governing such Employee, or (ii) compliance with the laws of the foreign jurisdiction would cause the Plan or the Option to violate the requirements of Section 423 of the Code;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exclusion in clauses (x), and/or (y) shall be applied in an identical manner under each Offering Period to all Employees of the Company and all Designated Subsidiaries, in accordance with Treasury Regulation Section 1.423-2(e).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2.12 “</w:t>
      </w:r>
      <w:r>
        <w:rPr>
          <w:rFonts w:ascii="Times New Roman;Times;serif" w:hAnsi="Times New Roman;Times;serif"/>
          <w:color w:val="000000"/>
          <w:sz w:val="20"/>
          <w:u w:val="single"/>
        </w:rPr>
        <w:t>Employee</w:t>
      </w:r>
      <w:r>
        <w:rPr>
          <w:rFonts w:ascii="Times New Roman;Times;serif" w:hAnsi="Times New Roman;Times;serif"/>
          <w:color w:val="000000"/>
          <w:sz w:val="20"/>
        </w:rPr>
        <w:t xml:space="preserve">” shall mean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Designated Subsidiary and meeting the requirements of Treasury Regulation Section 1.421-1(h)(2). Where the period of leave exceeds three (3) months, or such other period specified in Treasury Regulation Section 1.421-1(h)(2), and the individual’s right to reemployment is not guaranteed either by statute or by contract, the employment relationship shall be deemed to have terminated on the first day immediately following such three (3)-month period, or such other period specified in Treasury Regulation Section 1.421-1(h)(2).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2.13 “</w:t>
      </w:r>
      <w:r>
        <w:rPr>
          <w:rFonts w:ascii="Times New Roman;Times;serif" w:hAnsi="Times New Roman;Times;serif"/>
          <w:color w:val="000000"/>
          <w:sz w:val="20"/>
          <w:u w:val="single"/>
        </w:rPr>
        <w:t>Enrollment Date</w:t>
      </w:r>
      <w:r>
        <w:rPr>
          <w:rFonts w:ascii="Times New Roman;Times;serif" w:hAnsi="Times New Roman;Times;serif"/>
          <w:color w:val="000000"/>
          <w:sz w:val="20"/>
        </w:rPr>
        <w:t xml:space="preserve">” shall mean the first date of each Offering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2.14 “</w:t>
      </w:r>
      <w:r>
        <w:rPr>
          <w:rFonts w:ascii="Times New Roman;Times;serif" w:hAnsi="Times New Roman;Times;serif"/>
          <w:color w:val="000000"/>
          <w:sz w:val="20"/>
          <w:u w:val="single"/>
        </w:rPr>
        <w:t>Exercise Date</w:t>
      </w:r>
      <w:r>
        <w:rPr>
          <w:rFonts w:ascii="Times New Roman;Times;serif" w:hAnsi="Times New Roman;Times;serif"/>
          <w:color w:val="000000"/>
          <w:sz w:val="20"/>
        </w:rPr>
        <w:t xml:space="preserve">” shall mean the last Trading Day of each Offering Period, except as provided in Section 5.2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2.15 “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shall mean the Securities Exchange Act of 1934, as amended.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2.16 “</w:t>
      </w:r>
      <w:r>
        <w:rPr>
          <w:rFonts w:ascii="Times New Roman;Times;serif" w:hAnsi="Times New Roman;Times;serif"/>
          <w:color w:val="000000"/>
          <w:sz w:val="20"/>
          <w:u w:val="single"/>
        </w:rPr>
        <w:t>Fair Market Value</w:t>
      </w:r>
      <w:r>
        <w:rPr>
          <w:rFonts w:ascii="Times New Roman;Times;serif" w:hAnsi="Times New Roman;Times;serif"/>
          <w:color w:val="000000"/>
          <w:sz w:val="20"/>
        </w:rPr>
        <w:t xml:space="preserve">” shall mean, as of any date, the value of Common Stock determined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Stock on the last preceding date for which such quotation exists, as reported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or such other source as the Administrator deems reliable;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or such other source as the Administrator deems reliable;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(c) If the Common Stock is neither listed on an established securities exchange, national market system or automated quotation system nor regularly quoted by a recognized securities dealer, its Fair Market Value shall be established by the Administrator in good faith.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2.17 “</w:t>
      </w:r>
      <w:r>
        <w:rPr>
          <w:rFonts w:ascii="Times New Roman;Times;serif" w:hAnsi="Times New Roman;Times;serif"/>
          <w:color w:val="000000"/>
          <w:sz w:val="20"/>
          <w:u w:val="single"/>
        </w:rPr>
        <w:t>Grant Date</w:t>
      </w:r>
      <w:r>
        <w:rPr>
          <w:rFonts w:ascii="Times New Roman;Times;serif" w:hAnsi="Times New Roman;Times;serif"/>
          <w:color w:val="000000"/>
          <w:sz w:val="20"/>
        </w:rPr>
        <w:t xml:space="preserve">” shall mean the first Trading Day of an Offering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0" w:name="ny20024289x1_def14a_301-annexb_pg3"/>
        <w:bookmarkEnd w:id="10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2.18 “</w:t>
      </w:r>
      <w:r>
        <w:rPr>
          <w:rFonts w:ascii="Times New Roman;Times;serif" w:hAnsi="Times New Roman;Times;serif"/>
          <w:color w:val="000000"/>
          <w:sz w:val="20"/>
          <w:u w:val="single"/>
        </w:rPr>
        <w:t>New Exercise Date</w:t>
      </w:r>
      <w:r>
        <w:rPr>
          <w:rFonts w:ascii="Times New Roman;Times;serif" w:hAnsi="Times New Roman;Times;serif"/>
          <w:color w:val="000000"/>
          <w:sz w:val="20"/>
        </w:rPr>
        <w:t xml:space="preserve">” shall have such meaning as set forth in Section 5.2(b)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2.19 “</w:t>
      </w:r>
      <w:r>
        <w:rPr>
          <w:rFonts w:ascii="Times New Roman;Times;serif" w:hAnsi="Times New Roman;Times;serif"/>
          <w:color w:val="000000"/>
          <w:sz w:val="20"/>
          <w:u w:val="single"/>
        </w:rPr>
        <w:t>Offering Period</w:t>
      </w:r>
      <w:r>
        <w:rPr>
          <w:rFonts w:ascii="Times New Roman;Times;serif" w:hAnsi="Times New Roman;Times;serif"/>
          <w:color w:val="000000"/>
          <w:sz w:val="20"/>
        </w:rPr>
        <w:t xml:space="preserve">” shall mean the six (6)-month period commencing on each March 1 and September 1 following the Effective Date, except as otherwise provided under Section 5.3 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first Offering Period commencing on or after the Effective Date shall commence and end on the dates determined by the Administrator. The duration and timing of Offering Periods may be changed by the Board or Committee, in its sole discretion. In no event may an Offering Period exceed twenty-seven (27) months.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2.20 “</w:t>
      </w:r>
      <w:r>
        <w:rPr>
          <w:rFonts w:ascii="Times New Roman;Times;serif" w:hAnsi="Times New Roman;Times;serif"/>
          <w:color w:val="000000"/>
          <w:sz w:val="20"/>
          <w:u w:val="single"/>
        </w:rPr>
        <w:t>Option</w:t>
      </w:r>
      <w:r>
        <w:rPr>
          <w:rFonts w:ascii="Times New Roman;Times;serif" w:hAnsi="Times New Roman;Times;serif"/>
          <w:color w:val="000000"/>
          <w:sz w:val="20"/>
        </w:rPr>
        <w:t xml:space="preserve">” shall mean the right to purchase shares of Common Stock pursuant to the Plan during each Offering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2.21 “</w:t>
      </w:r>
      <w:r>
        <w:rPr>
          <w:rFonts w:ascii="Times New Roman;Times;serif" w:hAnsi="Times New Roman;Times;serif"/>
          <w:color w:val="000000"/>
          <w:sz w:val="20"/>
          <w:u w:val="single"/>
        </w:rPr>
        <w:t>Option Price</w:t>
      </w:r>
      <w:r>
        <w:rPr>
          <w:rFonts w:ascii="Times New Roman;Times;serif" w:hAnsi="Times New Roman;Times;serif"/>
          <w:color w:val="000000"/>
          <w:sz w:val="20"/>
        </w:rPr>
        <w:t xml:space="preserve">” shall mean the purchase price of a share of Common Stock hereunder as provided in Section 4.2 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2.22 “</w:t>
      </w:r>
      <w:r>
        <w:rPr>
          <w:rFonts w:ascii="Times New Roman;Times;serif" w:hAnsi="Times New Roman;Times;serif"/>
          <w:color w:val="000000"/>
          <w:sz w:val="20"/>
          <w:u w:val="single"/>
        </w:rPr>
        <w:t>Original 2014 Plan</w:t>
      </w:r>
      <w:r>
        <w:rPr>
          <w:rFonts w:ascii="Times New Roman;Times;serif" w:hAnsi="Times New Roman;Times;serif"/>
          <w:color w:val="000000"/>
          <w:sz w:val="20"/>
        </w:rPr>
        <w:t xml:space="preserve">” shall have the meaning set forth in Section 1.1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2.23 “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means any entity that is a parent corporation of the Company within the meaning of Section 424 of the Code and the Treasury Regulations thereunder.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2.24 “</w:t>
      </w:r>
      <w:r>
        <w:rPr>
          <w:rFonts w:ascii="Times New Roman;Times;serif" w:hAnsi="Times New Roman;Times;serif"/>
          <w:color w:val="000000"/>
          <w:sz w:val="20"/>
          <w:u w:val="single"/>
        </w:rPr>
        <w:t>Participant</w:t>
      </w:r>
      <w:r>
        <w:rPr>
          <w:rFonts w:ascii="Times New Roman;Times;serif" w:hAnsi="Times New Roman;Times;serif"/>
          <w:color w:val="000000"/>
          <w:sz w:val="20"/>
        </w:rPr>
        <w:t xml:space="preserve">” shall mean any Eligible Employee who elects to participate in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2.25 “</w:t>
      </w:r>
      <w:r>
        <w:rPr>
          <w:rFonts w:ascii="Times New Roman;Times;serif" w:hAnsi="Times New Roman;Times;serif"/>
          <w:color w:val="000000"/>
          <w:sz w:val="20"/>
          <w:u w:val="single"/>
        </w:rPr>
        <w:t>Payday</w:t>
      </w:r>
      <w:r>
        <w:rPr>
          <w:rFonts w:ascii="Times New Roman;Times;serif" w:hAnsi="Times New Roman;Times;serif"/>
          <w:color w:val="000000"/>
          <w:sz w:val="20"/>
        </w:rPr>
        <w:t xml:space="preserve">” shall mean the regular and recurring established day for payment of Compensation to an Employee of the Company or any Designated Subsidiary.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2.26 “</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shall have such meaning as set forth in Section 1.1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2.27 “</w:t>
      </w:r>
      <w:r>
        <w:rPr>
          <w:rFonts w:ascii="Times New Roman;Times;serif" w:hAnsi="Times New Roman;Times;serif"/>
          <w:color w:val="000000"/>
          <w:sz w:val="20"/>
          <w:u w:val="single"/>
        </w:rPr>
        <w:t>Plan Account</w:t>
      </w:r>
      <w:r>
        <w:rPr>
          <w:rFonts w:ascii="Times New Roman;Times;serif" w:hAnsi="Times New Roman;Times;serif"/>
          <w:color w:val="000000"/>
          <w:sz w:val="20"/>
        </w:rPr>
        <w:t xml:space="preserve">” shall mean a bookkeeping account established and maintained by the Company in the name of each Participant.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2.28 “</w:t>
      </w:r>
      <w:r>
        <w:rPr>
          <w:rFonts w:ascii="Times New Roman;Times;serif" w:hAnsi="Times New Roman;Times;serif"/>
          <w:color w:val="000000"/>
          <w:sz w:val="20"/>
          <w:u w:val="single"/>
        </w:rPr>
        <w:t>Section 423 Option</w:t>
      </w:r>
      <w:r>
        <w:rPr>
          <w:rFonts w:ascii="Times New Roman;Times;serif" w:hAnsi="Times New Roman;Times;serif"/>
          <w:color w:val="000000"/>
          <w:sz w:val="20"/>
        </w:rPr>
        <w:t xml:space="preserve">” shall have such meaning as set forth in Section 3.1(b)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2.29 “</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shall mean any entity that is a subsidiary corporation of the Company within the meaning of Section 424 of the Code and the Treasury Regulations thereunder. In addition, with respect to any sub-plans adopted under Section 7.1(d) hereof which are designed to be outside the scope of Section 423 of the Code, Subsidiary shall include any corporate or noncorporate entity in which the Company has a direct or indirect equity interest or significant business relationship.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2.30 “</w:t>
      </w:r>
      <w:r>
        <w:rPr>
          <w:rFonts w:ascii="Times New Roman;Times;serif" w:hAnsi="Times New Roman;Times;serif"/>
          <w:color w:val="000000"/>
          <w:sz w:val="20"/>
          <w:u w:val="single"/>
        </w:rPr>
        <w:t>Trading Day</w:t>
      </w:r>
      <w:r>
        <w:rPr>
          <w:rFonts w:ascii="Times New Roman;Times;serif" w:hAnsi="Times New Roman;Times;serif"/>
          <w:color w:val="000000"/>
          <w:sz w:val="20"/>
        </w:rPr>
        <w:t xml:space="preserve">” shall mean a day on which the principal securities exchange on which the Common Stock is listed is open for trading or, if the Common Stock is not listed on a securities exchange, shall mean a business day, as determined by the Administrator in good faith.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2.31 “</w:t>
      </w:r>
      <w:r>
        <w:rPr>
          <w:rFonts w:ascii="Times New Roman;Times;serif" w:hAnsi="Times New Roman;Times;serif"/>
          <w:color w:val="000000"/>
          <w:sz w:val="20"/>
          <w:u w:val="single"/>
        </w:rPr>
        <w:t>Withdrawal Election</w:t>
      </w:r>
      <w:r>
        <w:rPr>
          <w:rFonts w:ascii="Times New Roman;Times;serif" w:hAnsi="Times New Roman;Times;serif"/>
          <w:color w:val="000000"/>
          <w:sz w:val="20"/>
        </w:rPr>
        <w:t xml:space="preserve">” shall have such meaning as set forth in Section 6.1(a) hereof.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PARTICIPATION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Eligibility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Eligible Employee who shall be employed by the Company or a Designated Subsidiary on a given Enrollment Date for an Offering Period shall be eligible to participate in the Plan during such Offering Period, subject to the requirements of Articles IV and V hereof, and the limitations imposed by Section 423(b) of the Code and the Treasury Regulations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 Eligible Employee shall be granted an Option under the Plan which permits the Participant’s rights to purchase shares of Common Stock under the Plan, and to purchase stock under all other employee stock purchase plans of the Company, any Parent or any Subsidiary subject to the Section 423 of the Code (any such Option or other option, a “</w:t>
      </w:r>
      <w:r>
        <w:rPr>
          <w:rFonts w:ascii="Times New Roman;Times;serif" w:hAnsi="Times New Roman;Times;serif"/>
          <w:color w:val="000000"/>
          <w:sz w:val="20"/>
          <w:u w:val="single"/>
        </w:rPr>
        <w:t>Section 423 Option</w:t>
      </w:r>
      <w:r>
        <w:rPr>
          <w:rFonts w:ascii="Times New Roman;Times;serif" w:hAnsi="Times New Roman;Times;serif"/>
          <w:color w:val="000000"/>
          <w:sz w:val="20"/>
        </w:rPr>
        <w:t xml:space="preserve">”), to accrue at a rate which exceeds $25,000 of fair market value of such stock (determined at the time the Section 423 Option is granted) for each calendar year in which any Section 423 Option granted to the Participant is outstanding at any time. For purposes of the limitation imposed by this subsection,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right to purchase stock under a Section 423 Option accrues when the Section 423 Option (or any portion thereof) first becomes exercisable during the calendar year,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24289x1_def14a_301-annexb_pg4"/>
        <w:bookmarkEnd w:id="10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right to purchase stock under a Section 423 Option accrues at the rate provided in the Section 423 Option, but in no case may such rate exceed $25,000 of fair market value of such stock (determined at the time such option is granted) for any one calendar year,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 right to purchase stock which has accrued under a Section 423 Option may not be carried over to any other Section 423 Option;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Participants may carry forward amounts so accrued that represent a fractional share of stock and were withheld but not applied towards the purchase of Common Stock under an earlier Offering Period, and may apply such amounts towards the purchase of additional shares of Common Stock under a subsequent Offering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limitation under this Section 3.1(b) shall be applied in accordance with Section 423(b)(8) of the Code and the Treasury Regulations thereunder.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Election to Participate; Payroll Deductions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provided in Section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such period of time prior to the applicable Enrollment Date as determined by the Administrator, in its sole discretion.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Section 3.1(b) hereof, payroll deductions (i) shall be equal to at least one percent (1%) of the Participant’s Compensation as of each Payday of the Offering Period following the Enrollment Date, but not more than the lesser of fifteen percent (15%) of the Participant’s Compensation as of each Payday of the Offering Period following the Enrollment Date or $25,000 per Offering Period;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(c) Following at least one (1) payroll deduction, a Participant may decrease (to as low as zero) the amount deducted from such Participant’s Compensation only once during an Offering Period upon ten (10) calendar days’ prior written notice to the Company. A Participant may not increase the amount deducted from such Participant’s Compensation during an Offering Period.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the foregoing, upon the termination of an Offering Period, each Participant in such Offering Period shall automatically participate in the immediately following Offering Period at the same payroll deduction percentage or fixed amount as in effect at the termination of the prior Offering Period, unless such Participant delivers to the Company a different election with respect to the successive Offering Period in accordance with Section 3.1(a) hereof, or unless such Participant becomes ineligible for participation in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Leave of Absence</w:t>
      </w:r>
      <w:r>
        <w:rPr>
          <w:rFonts w:ascii="Times New Roman;Times;serif" w:hAnsi="Times New Roman;Times;serif"/>
          <w:color w:val="000000"/>
          <w:sz w:val="20"/>
        </w:rPr>
        <w:t xml:space="preserve">.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PURCHASE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Grant of Option</w:t>
      </w:r>
      <w:r>
        <w:rPr>
          <w:rFonts w:ascii="Times New Roman;Times;serif" w:hAnsi="Times New Roman;Times;serif"/>
          <w:color w:val="000000"/>
          <w:sz w:val="20"/>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such Exercise Date and retained in the Participant’s Plan Account on such Exercise Date by (b) the applicable Option Price;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a Participant be permitted to purchase during each Offering Period more than 3,000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Exercise Date for the applicable Offering Period immediately after the automatic exercise of the Option in accordance with Section 4.3 hereof, unless such Option terminates earlier in accordance with Article 6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2" w:name="ny20024289x1_def14a_301-annexb_pg5"/>
        <w:bookmarkEnd w:id="10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Option Price</w:t>
      </w:r>
      <w:r>
        <w:rPr>
          <w:rFonts w:ascii="Times New Roman;Times;serif" w:hAnsi="Times New Roman;Times;serif"/>
          <w:color w:val="000000"/>
          <w:sz w:val="20"/>
        </w:rPr>
        <w:t>. The “</w:t>
      </w:r>
      <w:r>
        <w:rPr>
          <w:rFonts w:ascii="Times New Roman;Times;serif" w:hAnsi="Times New Roman;Times;serif"/>
          <w:color w:val="000000"/>
          <w:sz w:val="20"/>
          <w:u w:val="single"/>
        </w:rPr>
        <w:t>Option Price</w:t>
      </w:r>
      <w:r>
        <w:rPr>
          <w:rFonts w:ascii="Times New Roman;Times;serif" w:hAnsi="Times New Roman;Times;serif"/>
          <w:color w:val="000000"/>
          <w:sz w:val="20"/>
        </w:rPr>
        <w:t xml:space="preserve">” per share of Common Stock to be paid by a Participant upon exercise of the Participant’s Option on the applicable Exercise Date for an Offering Period shall be equal to eighty five percent (85%) of the lesser of the Fair Market Value of a share of Common Stock on (a) the applicable Grant Date and (b) the applicable Exercise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the Option Price per share of Common Stock be less than the par value per share of the Common Stock.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Purchase of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(a) On the applicable Exercise Date for an Offering Period, each Participant shall automatically and without any action on such Participant’s part be deemed to have exercised his or her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Offering Period, unless the Participant has elected to withdraw from the Plan pursuant to Section 6.1 hereof or, pursuant to Section 6.2 hereof, such Participant has ceased to be an Eligible Employee. Any balance not carried forward to the next Offering Period in accordance with the prior sentence promptly shall be refunded to the applicable Participant. For the avoidance of doubt, in no event shall an amount greater than or equal to the per share Option Price as of an Exercise Date be carried forward to the next Offering Period.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soon as practicable following the applicable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4.4 </w:t>
      </w:r>
      <w:r>
        <w:rPr>
          <w:rFonts w:ascii="Times New Roman;Times;serif" w:hAnsi="Times New Roman;Times;serif"/>
          <w:color w:val="000000"/>
          <w:sz w:val="20"/>
          <w:u w:val="single"/>
        </w:rPr>
        <w:t>Transferability of Rights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PROVISIONS RELATING TO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Common Stock Reserved</w:t>
      </w:r>
      <w:r>
        <w:rPr>
          <w:rFonts w:ascii="Times New Roman;Times;serif" w:hAnsi="Times New Roman;Times;serif"/>
          <w:color w:val="000000"/>
          <w:sz w:val="20"/>
        </w:rPr>
        <w:t xml:space="preserve">. Subject to adjustment as provided in Section 5.2 hereof, the maximum number of shares of Common Stock that shall be made available for sale under the Plan is 5,940,132. Shares of Common Stock made available for sale under the Plan may be authorized but unissued shares, treasury shares of Common Stock, or reacquired shares reserved for issuance under the Plan.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Adjustments Upon Changes in Capitalization, Dissolution, Liquidation, Merger or Asset Sale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Changes in Capitalization</w:t>
      </w:r>
      <w:r>
        <w:rPr>
          <w:rFonts w:ascii="Times New Roman;Times;serif" w:hAnsi="Times New Roman;Times;serif"/>
          <w:color w:val="000000"/>
          <w:sz w:val="20"/>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conversion of any convertible securities of the Company shall not be deemed to have been “effected without receipt of consideration.” Such adjustment shall be made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24289x1_def14a_301-annexb_pg6"/>
        <w:bookmarkEnd w:id="10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Dissolution or Liquidation</w:t>
      </w:r>
      <w:r>
        <w:rPr>
          <w:rFonts w:ascii="Times New Roman;Times;serif" w:hAnsi="Times New Roman;Times;serif"/>
          <w:color w:val="000000"/>
          <w:sz w:val="20"/>
        </w:rPr>
        <w:t>. In the event of the proposed dissolution or liquidation of the Company, the Offering Period then in progress shall be shortened by setting a new Exercise Date (the “</w:t>
      </w:r>
      <w:r>
        <w:rPr>
          <w:rFonts w:ascii="Times New Roman;Times;serif" w:hAnsi="Times New Roman;Times;serif"/>
          <w:color w:val="000000"/>
          <w:sz w:val="20"/>
          <w:u w:val="single"/>
        </w:rPr>
        <w:t>New Exercise Date</w:t>
      </w:r>
      <w:r>
        <w:rPr>
          <w:rFonts w:ascii="Times New Roman;Times;serif" w:hAnsi="Times New Roman;Times;serif"/>
          <w:color w:val="000000"/>
          <w:sz w:val="20"/>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Merger or Asset Sale</w:t>
      </w:r>
      <w:r>
        <w:rPr>
          <w:rFonts w:ascii="Times New Roman;Times;serif" w:hAnsi="Times New Roman;Times;serif"/>
          <w:color w:val="000000"/>
          <w:sz w:val="20"/>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Insufficient Shares</w:t>
      </w:r>
      <w:r>
        <w:rPr>
          <w:rFonts w:ascii="Times New Roman;Times;serif" w:hAnsi="Times New Roman;Times;serif"/>
          <w:color w:val="000000"/>
          <w:sz w:val="20"/>
        </w:rPr>
        <w:t xml:space="preserve">.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thirty (30) days after such Exercise Date, without any interest thereon.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Rights as Stockholders</w:t>
      </w:r>
      <w:r>
        <w:rPr>
          <w:rFonts w:ascii="Times New Roman;Times;serif" w:hAnsi="Times New Roman;Times;serif"/>
          <w:color w:val="000000"/>
          <w:sz w:val="20"/>
        </w:rPr>
        <w:t xml:space="preserve">.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his or her Option.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OF PARTICIPATION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Cessation of Contributions; Voluntary Withdrawal</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Times;serif" w:hAnsi="Times New Roman;Times;serif"/>
          <w:color w:val="000000"/>
          <w:sz w:val="20"/>
          <w:u w:val="single"/>
        </w:rPr>
        <w:t>Withdrawal Election</w:t>
      </w:r>
      <w:r>
        <w:rPr>
          <w:rFonts w:ascii="Times New Roman;Times;serif" w:hAnsi="Times New Roman;Times;serif"/>
          <w:color w:val="000000"/>
          <w:sz w:val="20"/>
        </w:rPr>
        <w:t xml:space="preserve">”).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(1) lump-sum payment in cash within thirty (30) days after such election is received by the Company, without any interest thereon, and the Participant shall cease to participate in the Plan and the Participant’s Option for such Offering Period shall terminate; or (ii) exercise the Option for the maximum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4" w:name="ny20024289x1_def14a_301-annexb_pg7"/>
        <w:bookmarkEnd w:id="10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number of whole shares of Common Stock on the applicable Exercise Date with any remaining Plan Account balance returned to the Participant in one (1) lump-sum payment in cash within thirty (30) days after such Exercise Date, without any interest thereon, and after such exercise cease to participate in the Plan. Upon receipt of a Withdrawal Election, the Participant’s payroll deduction authorization and his or her Option to purchase under the Plan shall terminate.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 participant’s withdrawal from the Plan shall not have any effect upon his or her eligibility to participate in any similar plan which may hereafter be adopted by the Company or in succeeding Offering Periods which commence after the termination of the Offering Period from which the Participant withdraws.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 Participant who ceases contributions to the Plan during any Offering Period shall not be permitted to resume contributions to the Plan during that Offering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Termination of Eligibility</w:t>
      </w:r>
      <w:r>
        <w:rPr>
          <w:rFonts w:ascii="Times New Roman;Times;serif" w:hAnsi="Times New Roman;Times;serif"/>
          <w:color w:val="000000"/>
          <w:sz w:val="20"/>
        </w:rPr>
        <w:t xml:space="preserve">. Upon a Participant’s ceasing to be an Eligible Employee, for any reason, such Participant’s Option for the applicable Offering Period shall automatically terminate, he or she shall be deemed to have elected to withdraw from the Plan, and such Participant’s Plan Account shall be paid to such Participant or, in the case of his or her death, to the person or persons entitled thereto pursuant to applicable law, within thirty (30) days after such cessation of being an Eligible Employee, without any interest thereon.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Administration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Plan shall be administered by the Committee, which shall be composed of members of the Board. The Committee may delegate administrative tasks under the Plan to the services of an Agent and/or Employees to assist in the administration of the Plan, including establishing and maintaining an individual securities account under the Plan for each Participant.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(b) It shall be the duty of the Administrator to conduct the general administration of the Plan in accordance with the provisions of the Plan. The Administrator shall have the power, subject to, and within the limitations of, the express provisions of the Plan: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establish Offering Periods;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determine when and how Options shall be granted and the provisions and terms of each Offering Period (which need not be identical);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select Designated Subsidiaries in accordance with Section 7.2 hereof;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(iv) To construe and interpret the Plan, the terms of any Offering Period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Period or any Option, in a manner and to the extent it shall deem necessary or expedient to make the Plan fully effect, subject to Section 423 of the Code and the Treasury Regulations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(e) All expenses and liabilities incurred by the Administrator in connection with the administration of the Plan shall be borne by the Company. The Administrator may, with the approval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5" w:name="ny20024289x1_def14a_301-annexb_pg8"/>
        <w:bookmarkEnd w:id="10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Designation of Subsidiary Corporations</w:t>
      </w:r>
      <w:r>
        <w:rPr>
          <w:rFonts w:ascii="Times New Roman;Times;serif" w:hAnsi="Times New Roman;Times;serif"/>
          <w:color w:val="000000"/>
          <w:sz w:val="20"/>
        </w:rPr>
        <w:t xml:space="preserve">. The Board or Committee shall designate from among the Subsidiaries, as determined from time to time, the Subsidiary or Subsidiaries that shall constitute Designated Subsidiaries. The Board or Committee may designate a Subsidiary, or terminate the designation of a Subsidiary, without the approval of the stockholders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7.3 </w:t>
      </w:r>
      <w:r>
        <w:rPr>
          <w:rFonts w:ascii="Times New Roman;Times;serif" w:hAnsi="Times New Roman;Times;serif"/>
          <w:color w:val="000000"/>
          <w:sz w:val="20"/>
          <w:u w:val="single"/>
        </w:rPr>
        <w:t>Reports</w:t>
      </w:r>
      <w:r>
        <w:rPr>
          <w:rFonts w:ascii="Times New Roman;Times;serif" w:hAnsi="Times New Roman;Times;serif"/>
          <w:color w:val="000000"/>
          <w:sz w:val="20"/>
        </w:rPr>
        <w:t xml:space="preserve">.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7.4 </w:t>
      </w:r>
      <w:r>
        <w:rPr>
          <w:rFonts w:ascii="Times New Roman;Times;serif" w:hAnsi="Times New Roman;Times;serif"/>
          <w:color w:val="000000"/>
          <w:sz w:val="20"/>
          <w:u w:val="single"/>
        </w:rPr>
        <w:t>No Right to Employment</w:t>
      </w:r>
      <w:r>
        <w:rPr>
          <w:rFonts w:ascii="Times New Roman;Times;serif" w:hAnsi="Times New Roman;Times;serif"/>
          <w:color w:val="000000"/>
          <w:sz w:val="20"/>
        </w:rPr>
        <w:t xml:space="preserve">.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7.5 </w:t>
      </w:r>
      <w:r>
        <w:rPr>
          <w:rFonts w:ascii="Times New Roman;Times;serif" w:hAnsi="Times New Roman;Times;serif"/>
          <w:color w:val="000000"/>
          <w:sz w:val="20"/>
          <w:u w:val="single"/>
        </w:rPr>
        <w:t>Amendment and Termination of the Plan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(a) This Plan shall be effective on the date it is adopted by the Board (the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stockholders of the Company approve the Plan within twelve (12) months following the effective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Board may, in its sole discretion, amend, suspend or terminate the Plan at any time and from time to time;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without approval of the Company’s stockholders given within twelve (12) months before or after action by the Board, the Plan may not be amended to increase the maximum number of shares of Common Stock subject to the Plan or change the designation or class of Eligible Employees;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without approval of the Company’s stockholders, the Plan may not be amended in any manner that would cause the Plan to no longer be an “employee stock purchase plan” within the meaning of Section 423(b)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the Administrator determines that the ongoing operation of the Plan may result in unfavorable financial accounting consequences, the Administrator may, to the extent permitted under Section 423 of the Code, in its discretion and, to the extent necessary or desirable, modify or amend the Plan to reduce or eliminate such accounting consequence including, but not limited to: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(i) altering the Option Price for any Offering Period including an Offering Period underway at the time of the change in Option Price;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(ii) shortening any Offering Period so that the Offering Period ends on a new Exercise Date, including an Offering Period underway at the time of the Administrator action; and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(iii) allocating shares of Common Stock.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modifications or amendments shall not require stockholder approval or the consent of any Participant.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(d) Upon termination of the Plan, the balance in each Participant’s Plan Account shall be refunded as soon as practicable after such termination, without any interest thereon.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7.6 </w:t>
      </w:r>
      <w:r>
        <w:rPr>
          <w:rFonts w:ascii="Times New Roman;Times;serif" w:hAnsi="Times New Roman;Times;serif"/>
          <w:color w:val="000000"/>
          <w:sz w:val="20"/>
          <w:u w:val="single"/>
        </w:rPr>
        <w:t>Use of Funds; No Interest Paid</w:t>
      </w:r>
      <w:r>
        <w:rPr>
          <w:rFonts w:ascii="Times New Roman;Times;serif" w:hAnsi="Times New Roman;Times;serif"/>
          <w:color w:val="000000"/>
          <w:sz w:val="20"/>
        </w:rPr>
        <w:t xml:space="preserve">. All funds received by the Company by reason of purchase of Common Stock under the Plan shall be included in the general funds of the Company free of any trust or other restriction and may be used for any corporate purpose. No interest shall be paid to any Participant or credited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7.7 </w:t>
      </w:r>
      <w:r>
        <w:rPr>
          <w:rFonts w:ascii="Times New Roman;Times;serif" w:hAnsi="Times New Roman;Times;serif"/>
          <w:color w:val="000000"/>
          <w:sz w:val="20"/>
          <w:u w:val="single"/>
        </w:rPr>
        <w:t>Term; Approval by Stockholders</w:t>
      </w:r>
      <w:r>
        <w:rPr>
          <w:rFonts w:ascii="Times New Roman;Times;serif" w:hAnsi="Times New Roman;Times;serif"/>
          <w:color w:val="000000"/>
          <w:sz w:val="20"/>
        </w:rPr>
        <w:t xml:space="preserve">. No Option may be granted during any period of suspension of the Plan or after termination of the Plan. The Plan shall be submitted for the approval of the Company’s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6" w:name="ny20024289x1_def14a_301-annexb_pg9"/>
        <w:bookmarkEnd w:id="10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twelve (12) months after the date of the Board’s initial adoption of the Plan. Options may be granted prior to such stockholder approval;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Options shall not be exercisable prior to the time when the Plan is approved by the stockholders;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if such approval has not been obtained by the end of said twelve (12)-month period, all Options previously granted under the Plan shall thereupon terminate and be canceled and become null and void without being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7.8 </w:t>
      </w:r>
      <w:r>
        <w:rPr>
          <w:rFonts w:ascii="Times New Roman;Times;serif" w:hAnsi="Times New Roman;Times;serif"/>
          <w:color w:val="000000"/>
          <w:sz w:val="20"/>
          <w:u w:val="single"/>
        </w:rPr>
        <w:t>Effect Upon Other Plans</w:t>
      </w:r>
      <w:r>
        <w:rPr>
          <w:rFonts w:ascii="Times New Roman;Times;serif" w:hAnsi="Times New Roman;Times;serif"/>
          <w:color w:val="000000"/>
          <w:sz w:val="20"/>
        </w:rPr>
        <w:t xml:space="preserve">.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7.9 </w:t>
      </w:r>
      <w:r>
        <w:rPr>
          <w:rFonts w:ascii="Times New Roman;Times;serif" w:hAnsi="Times New Roman;Times;serif"/>
          <w:color w:val="000000"/>
          <w:sz w:val="20"/>
          <w:u w:val="single"/>
        </w:rPr>
        <w:t>Conformity to Securities Laws</w:t>
      </w:r>
      <w:r>
        <w:rPr>
          <w:rFonts w:ascii="Times New Roman;Times;serif" w:hAnsi="Times New Roman;Times;serif"/>
          <w:color w:val="000000"/>
          <w:sz w:val="20"/>
        </w:rPr>
        <w:t xml:space="preserve">.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7.10 </w:t>
      </w:r>
      <w:r>
        <w:rPr>
          <w:rFonts w:ascii="Times New Roman;Times;serif" w:hAnsi="Times New Roman;Times;serif"/>
          <w:color w:val="000000"/>
          <w:sz w:val="20"/>
          <w:u w:val="single"/>
        </w:rPr>
        <w:t>Notice of Disposition of Shares</w:t>
      </w:r>
      <w:r>
        <w:rPr>
          <w:rFonts w:ascii="Times New Roman;Times;serif" w:hAnsi="Times New Roman;Times;serif"/>
          <w:color w:val="000000"/>
          <w:sz w:val="20"/>
        </w:rPr>
        <w:t xml:space="preserve">. Each Participant shall give the Company prompt notice of any disposition or other transfer of any shares of Common Stock, acquired pursuant to the exercise of an Option, if such disposition or transfer is made (a) within two (2) years after the applicable Grant Date or (b) within one (1) year after the transfer of such shares of Common Stock to such Participant upon exercise of such Option. The Company may direct that any certificates evidencing shares acquired pursuant to the Plan refer to such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7.11 </w:t>
      </w: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7.12 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Plan and all rights and obligations thereunder shall be construed and enforced in accordance with the laws of the State of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7.13 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7.14 </w:t>
      </w:r>
      <w:r>
        <w:rPr>
          <w:rFonts w:ascii="Times New Roman;Times;serif" w:hAnsi="Times New Roman;Times;serif"/>
          <w:color w:val="000000"/>
          <w:sz w:val="20"/>
          <w:u w:val="single"/>
        </w:rPr>
        <w:t>Conditions To Issuance of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7" w:name="ny20024289x1_def14a_301-annexb_pg10"/>
        <w:bookmarkEnd w:id="10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Committee shall have the right to require any Participant to comply with any timing or other restrictions with respect to the settlement, distribution or exercise of any Option, including a window-period limitation, as may be imposed in the sole discretion of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7.15 </w:t>
      </w:r>
      <w:r>
        <w:rPr>
          <w:rFonts w:ascii="Times New Roman;Times;serif" w:hAnsi="Times New Roman;Times;serif"/>
          <w:color w:val="000000"/>
          <w:sz w:val="20"/>
          <w:u w:val="single"/>
        </w:rPr>
        <w:t>Equal Rights and Privileges</w:t>
      </w:r>
      <w:r>
        <w:rPr>
          <w:rFonts w:ascii="Times New Roman;Times;serif" w:hAnsi="Times New Roman;Times;serif"/>
          <w:color w:val="000000"/>
          <w:sz w:val="20"/>
        </w:rPr>
        <w:t xml:space="preserve">. Except with respect to sub-plans designed to be outside the scope of Section 423 of the Code, all Eligible Employees of the Company (or of any Designated Subsidiary) shall have equal rights and privileges under this Plan to the extent required under Section 423 of the Code or the regulations promulgated thereunder so that this Plan qualifies as an “employee stock purchase plan” within the meaning of Section 423 of the Code or the Treasury Regulations thereunder. Any provision of this Plan that is inconsistent with Section 423 of the Code or the Treasury Regulations thereunder shall, without further act or amendment by the Company or the Board, be reformed to comply with the equal rights and privileges requirement of Section 423 of the Code or the Treasury Regulations thereunder.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8" w:name="ny20024289x1_def14a_400-proxycards_pg1"/>
        <w:bookmarkEnd w:id="10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9" w:name="ny20024289x1_def14a_400-proxycards_pg2"/>
        <w:bookmarkEnd w:id="10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53865</Words>
  <Characters>282231</Characters>
  <CharactersWithSpaces>336679</CharactersWithSpaces>
  <Paragraphs>3314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