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Date of Report (Date of earliest event reported): September 15,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26-1303944</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4"/>
          <w:szCs w:val="14"/>
          <w:b w:val="1"/>
          <w:bCs w:val="1"/>
          <w:color w:val="auto"/>
        </w:rPr>
        <w:t>(IRS Employer</w:t>
      </w:r>
    </w:p>
    <w:p>
      <w:pPr>
        <w:jc w:val="center"/>
        <w:ind w:right="104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700" w:space="720"/>
            <w:col w:w="2740" w:space="720"/>
            <w:col w:w="2480"/>
          </w:cols>
          <w:pgMar w:left="240" w:top="368" w:right="299" w:bottom="1440" w:gutter="0" w:footer="0" w:header="0"/>
          <w:type w:val="continuous"/>
        </w:sectPr>
      </w:pP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263525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-391160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720" w:space="660"/>
            <w:col w:w="9960"/>
          </w:cols>
          <w:pgMar w:left="240" w:top="270" w:right="319" w:bottom="1440" w:gutter="0" w:footer="0" w:header="0"/>
        </w:sectPr>
      </w:pPr>
    </w:p>
    <w:p>
      <w:pPr>
        <w:ind w:right="180"/>
        <w:spacing w:after="0" w:line="259" w:lineRule="auto"/>
        <w:rPr>
          <w:sz w:val="20"/>
          <w:szCs w:val="20"/>
          <w:color w:val="auto"/>
        </w:rPr>
      </w:pPr>
      <w:r>
        <w:rPr>
          <w:rFonts w:ascii="Arial" w:cs="Arial" w:eastAsia="Arial" w:hAnsi="Arial"/>
          <w:sz w:val="18"/>
          <w:szCs w:val="18"/>
          <w:color w:val="auto"/>
        </w:rPr>
        <w:t>September 15, 2017, was Bryan Shaw’s last day of employment with Ardelyx, Inc. (the “Company”). Mr. Shaw served the Company as Vice President, Corporate Controller and Chief Accounting Officer from December 1, 2016 through September 15, 2017. The Company expects to provide Mr. Shaw with the severance benefits set forth in his previously filed Change of Control Severance Agreement, conditioned upon the receipt of a general release of claims against the Company.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on September 15, 2017, the Company appointed its current Chief Financial Officer, Mark Kaufmann, to the role of Principal Accounting Officer, effective as of September 15, 2017. Mr. Kaufmann has served as the Company’s Chief Financial Officer since May 2014, and formerly served as our Chief Business Officer from August 2011 until May 2014. His compensation shall not change as a result of this appointment. Mr. Kaufmann has not been involved in any transactions that would require disclosure under Item 404(a) of Regulation S-K.</w:t>
      </w:r>
    </w:p>
    <w:p>
      <w:pPr>
        <w:sectPr>
          <w:pgSz w:w="11900" w:h="16838" w:orient="portrait"/>
          <w:cols w:equalWidth="0" w:num="1">
            <w:col w:w="11340"/>
          </w:cols>
          <w:pgMar w:left="240" w:top="270" w:right="319" w:bottom="1440" w:gutter="0" w:footer="0" w:header="0"/>
          <w:type w:val="continuous"/>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September 18, 2017</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Kaufmann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2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2019-12-07T09:19:23Z</dcterms:created>
  <dcterms:modified xsi:type="dcterms:W3CDTF">2019-12-07T09:19:23Z</dcterms:modified>
</cp:coreProperties>
</file>