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February 20, 2025, Ardelyx, Inc. (the “Company”) announced its financial results for the quarter and year ended December 31, 2024. The full text of the press release issued in connection with the announcement is furnished as Exhibit 99.1 to this Current Report on Form 8-K.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3"/>
                <w:szCs w:val="13"/>
                <w:color w:val="auto"/>
              </w:rPr>
            </w:pPr>
          </w:p>
        </w:tc>
        <w:tc>
          <w:tcPr>
            <w:tcW w:w="9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940" w:type="dxa"/>
            <w:vAlign w:val="bottom"/>
            <w:tcBorders>
              <w:bottom w:val="single" w:sz="8" w:color="auto"/>
            </w:tcBorders>
            <w:gridSpan w:val="2"/>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of Ardelyx, Inc.</w:t>
            </w:r>
          </w:p>
        </w:tc>
        <w:tc>
          <w:tcPr>
            <w:tcW w:w="7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06"/>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February 20, 2025</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p>
      <w:pPr>
        <w:sectPr>
          <w:pgSz w:w="11900" w:h="16838" w:orient="portrait"/>
          <w:cols w:equalWidth="0" w:num="1">
            <w:col w:w="11220"/>
          </w:cols>
          <w:pgMar w:left="320" w:top="114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Reports Fourth Quarter and Full Year 2024 Financial Results and Provides Business Update</w:t>
      </w:r>
    </w:p>
    <w:p>
      <w:pPr>
        <w:spacing w:after="0" w:line="254"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Company achieved significant commercial progress in 2024, finishing with total revenue of $333.6 million, including $319.2 million in U.S. Net Product Sales</w:t>
      </w:r>
    </w:p>
    <w:p>
      <w:pPr>
        <w:spacing w:after="0" w:line="104" w:lineRule="exact"/>
        <w:rPr>
          <w:sz w:val="20"/>
          <w:szCs w:val="20"/>
          <w:color w:val="auto"/>
        </w:rPr>
      </w:pPr>
    </w:p>
    <w:p>
      <w:pPr>
        <w:jc w:val="center"/>
        <w:spacing w:after="0" w:line="437" w:lineRule="auto"/>
        <w:rPr>
          <w:sz w:val="20"/>
          <w:szCs w:val="20"/>
          <w:color w:val="auto"/>
        </w:rPr>
      </w:pPr>
      <w:r>
        <w:rPr>
          <w:rFonts w:ascii="Times New Roman" w:cs="Times New Roman" w:eastAsia="Times New Roman" w:hAnsi="Times New Roman"/>
          <w:sz w:val="18"/>
          <w:szCs w:val="18"/>
          <w:i w:val="1"/>
          <w:iCs w:val="1"/>
          <w:color w:val="auto"/>
        </w:rPr>
        <w:t>Company reaffirms combined peak sales of IBSRELA and XPHOZAH of $1.75 Billion Company ended FY 2024 with $250.1 million in cash, cash equivalents and investments Conference call scheduled for 8:00 AM Eastern Time</w:t>
      </w:r>
    </w:p>
    <w:p>
      <w:pPr>
        <w:spacing w:after="0" w:line="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Mass., February 20, 2025 </w:t>
      </w:r>
      <w:r>
        <w:rPr>
          <w:rFonts w:ascii="Times New Roman" w:cs="Times New Roman" w:eastAsia="Times New Roman" w:hAnsi="Times New Roman"/>
          <w:sz w:val="18"/>
          <w:szCs w:val="18"/>
          <w:color w:val="auto"/>
        </w:rPr>
        <w:t>- Ardelyx, Inc. (Nasdaq: ARDX), a biopharmaceutical company founded with a mission to discover, develop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innovative, first-in-class medicines that meet significant unmet medical needs, today reported financial results for the fourth quarter and full year ended December 31, 2024, and provided a business update.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“Ardelyx enters 2025 in a position of strength, evidenced by significant year-over-year revenue growth for IBSRELA in 2024 and a strong first full year of XPHOZAH commercialization, driven by consistently high levels of commercial excellence, meaningful long-term potential for our existing commercial products and a strong cash position to support future growth opportunities,” said Mike Raab, president and chief executive officer of Ardelyx. “We are focused on our key priorities to grow IBSRELA, execute the XPHOZAH strategy, build a pipeline of important medicines, continue to deliver a strong financial performance, and, most importantly, achieve our mission of bringing novel therapies to patients with unmet medical needs.”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IBSRELA</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finishes 2024 with $158.3 million in net product sales revenue</w:t>
      </w:r>
    </w:p>
    <w:p>
      <w:pPr>
        <w:ind w:right="40"/>
        <w:spacing w:after="0" w:line="253" w:lineRule="auto"/>
        <w:rPr>
          <w:sz w:val="20"/>
          <w:szCs w:val="20"/>
          <w:color w:val="auto"/>
        </w:rPr>
      </w:pPr>
      <w:r>
        <w:rPr>
          <w:rFonts w:ascii="Times New Roman" w:cs="Times New Roman" w:eastAsia="Times New Roman" w:hAnsi="Times New Roman"/>
          <w:sz w:val="18"/>
          <w:szCs w:val="18"/>
          <w:color w:val="auto"/>
        </w:rPr>
        <w:t>U.S. net product sales revenue for IBSRELA in 2024 was $158.3 million, including $53.8 million in net product sales revenue in the fourth quarter, approximately 32% growth compared to the third quarter of 2024. Ardelyx currently expects full year 2025 U.S. net product sales revenue for IBSRELA to be between $240 and $250 million. Ardelyx continues to expect IBSRELA to achieve greater than ten percent market share at peak and generate more than $1 billion in annual U.S. net product sales revenue before patent term expiration.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XPHOZAH</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records $160.9 million net product sales revenue in first full year of commercialization</w:t>
      </w:r>
    </w:p>
    <w:p>
      <w:pPr>
        <w:ind w:right="60"/>
        <w:spacing w:after="0" w:line="254" w:lineRule="auto"/>
        <w:rPr>
          <w:sz w:val="20"/>
          <w:szCs w:val="20"/>
          <w:color w:val="auto"/>
        </w:rPr>
      </w:pPr>
      <w:r>
        <w:rPr>
          <w:rFonts w:ascii="Times New Roman" w:cs="Times New Roman" w:eastAsia="Times New Roman" w:hAnsi="Times New Roman"/>
          <w:sz w:val="18"/>
          <w:szCs w:val="18"/>
          <w:color w:val="auto"/>
        </w:rPr>
        <w:t>U.S. net product sales revenue for the first full calendar year of commercialization of XPHOZAH was $160.9 million, including $57.2 million in net product sales revenue during the fourth quarter of 2024. At peak, Ardelyx currently expects XPHOZAH to achieve $750 million in annual U.S. net product sales revenue before patent term expiration.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Corporate Developments</w:t>
      </w:r>
    </w:p>
    <w:p>
      <w:pPr>
        <w:spacing w:after="0" w:line="31"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7"/>
          <w:szCs w:val="17"/>
          <w:color w:val="auto"/>
        </w:rPr>
        <w:t>The company recently released its 2024 Environmental, Social and Governance (ESG) report, demonstrating the company’s commitment and progress towards initiatives and best practices that build a more equitable and sustainable organization. The report is available on the company’s website.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2024 Financial Results</w:t>
      </w:r>
    </w:p>
    <w:p>
      <w:pPr>
        <w:spacing w:after="0" w:line="31" w:lineRule="exact"/>
        <w:rPr>
          <w:sz w:val="20"/>
          <w:szCs w:val="20"/>
          <w:color w:val="auto"/>
        </w:rPr>
      </w:pPr>
    </w:p>
    <w:p>
      <w:pPr>
        <w:ind w:left="340" w:hanging="332"/>
        <w:spacing w:after="0" w:line="250"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December 31, 2024, the company had total cash, cash equivalents and short-term investments of $250.1 million, compared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cash equivalents and short-term investments of $184.3 million as of December 31, 2023. During the quarter ended December 31, 2024, the company drew $49.7 million in net proceeds under its term loan with SLR Investment Corp.</w:t>
      </w:r>
    </w:p>
    <w:p>
      <w:pPr>
        <w:spacing w:after="0" w:line="1" w:lineRule="exact"/>
        <w:rPr>
          <w:rFonts w:ascii="Times New Roman" w:cs="Times New Roman" w:eastAsia="Times New Roman" w:hAnsi="Times New Roman"/>
          <w:sz w:val="18"/>
          <w:szCs w:val="18"/>
          <w:color w:val="auto"/>
        </w:rPr>
      </w:pPr>
    </w:p>
    <w:p>
      <w:pPr>
        <w:ind w:left="340" w:right="340" w:hanging="332"/>
        <w:spacing w:after="0" w:line="250"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for the year ended December 31, 2024, was $333.6 million, compared to $124.5 million in total revenue in 2023, driven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increases in net product sales revenue.</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U.S. net product sales revenue was $158.3 million, compared to $80.1 million in 2023.</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XPHOZAH U.S. net product sales revenue was $160.9 million, compared to $2.5 million in 2023.</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supply revenue was $11.6 million, compared to $6.1 million in 2023.</w:t>
      </w:r>
    </w:p>
    <w:p>
      <w:pPr>
        <w:spacing w:after="0" w:line="9" w:lineRule="exact"/>
        <w:rPr>
          <w:rFonts w:ascii="Times New Roman" w:cs="Times New Roman" w:eastAsia="Times New Roman" w:hAnsi="Times New Roman"/>
          <w:sz w:val="18"/>
          <w:szCs w:val="18"/>
          <w:color w:val="auto"/>
        </w:rPr>
      </w:pPr>
    </w:p>
    <w:p>
      <w:pPr>
        <w:ind w:left="1300" w:right="100" w:hanging="320"/>
        <w:spacing w:after="0" w:line="250"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was $78 thousand, compared to $35.8 million in 2023. 2023 licensing revenue included $30.0 million in payments from Kyowa Kirin following the approval of tenapanor for hyperphosphatemia in Japan, as well as $5.0 million in payments from Fosun Pharma related to the acceptance of the New Drug Application for tenapanor for the control of serum phosphorus in adult patients with CKD on dialysis in China and the FDA approval of XPHOZAH in the U.S.</w:t>
      </w:r>
    </w:p>
    <w:p>
      <w:pPr>
        <w:spacing w:after="0" w:line="1" w:lineRule="exact"/>
        <w:rPr>
          <w:rFonts w:ascii="Times New Roman" w:cs="Times New Roman" w:eastAsia="Times New Roman" w:hAnsi="Times New Roman"/>
          <w:sz w:val="18"/>
          <w:szCs w:val="18"/>
          <w:color w:val="auto"/>
        </w:rPr>
      </w:pPr>
    </w:p>
    <w:p>
      <w:pPr>
        <w:ind w:left="1300" w:right="200" w:hanging="320"/>
        <w:spacing w:after="0" w:line="260"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royalty revenue related to the sale of future royalties was $2.7 million with no comparable revenue during the same period of 2023.</w:t>
      </w:r>
    </w:p>
    <w:p>
      <w:pPr>
        <w:sectPr>
          <w:pgSz w:w="11900" w:h="16838" w:orient="portrait"/>
          <w:cols w:equalWidth="0" w:num="1">
            <w:col w:w="11240"/>
          </w:cols>
          <w:pgMar w:left="320" w:top="1427" w:right="339" w:bottom="1440" w:gutter="0" w:footer="0" w:header="0"/>
        </w:sectPr>
      </w:pPr>
    </w:p>
    <w:bookmarkStart w:id="4" w:name="page5"/>
    <w:bookmarkEnd w:id="4"/>
    <w:p>
      <w:pPr>
        <w:ind w:left="340" w:hanging="332"/>
        <w:spacing w:after="0" w:line="259"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200660</wp:posOffset>
            </wp:positionV>
            <wp:extent cx="172275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 xml:space="preserve">R&amp;D Expenses: </w:t>
      </w:r>
      <w:r>
        <w:rPr>
          <w:rFonts w:ascii="Times New Roman" w:cs="Times New Roman" w:eastAsia="Times New Roman" w:hAnsi="Times New Roman"/>
          <w:sz w:val="18"/>
          <w:szCs w:val="18"/>
          <w:color w:val="auto"/>
        </w:rPr>
        <w:t>Research and development expenses were $52.3 million for the year ended December 31, 2024, compared to $35.5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ended December 31, 2023, primarily related to increased medical engagement with the scientific communities in the areas of gastroenterology and nephrology and pediatric clinical trials.</w:t>
      </w:r>
    </w:p>
    <w:p>
      <w:pPr>
        <w:ind w:left="340" w:right="60" w:hanging="332"/>
        <w:spacing w:after="0" w:line="25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$258.7 million for the year ended December 31, 2024 compared to $134.4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year ended December 31, 2023. The increase in selling, general and administrative expenses was primarily due to increased costs associated with the company’s field-based sales team expansion for IBSRELA and the launch of XPHOZAH.</w:t>
      </w:r>
    </w:p>
    <w:p>
      <w:pPr>
        <w:spacing w:after="0" w:line="1" w:lineRule="exact"/>
        <w:rPr>
          <w:rFonts w:ascii="Times New Roman" w:cs="Times New Roman" w:eastAsia="Times New Roman" w:hAnsi="Times New Roman"/>
          <w:sz w:val="18"/>
          <w:szCs w:val="18"/>
          <w:color w:val="auto"/>
        </w:rPr>
      </w:pPr>
    </w:p>
    <w:p>
      <w:pPr>
        <w:ind w:left="340" w:right="20" w:hanging="332"/>
        <w:spacing w:after="0" w:line="255"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for the year ended December 31, 2024, was $39.1 million, or $(0.17) per share, compared to net loss of $66.1 million, or $(0.30)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for the year ended December 31, 2023. The net loss for the full year 2024 included share-based compensation expense of $37.4 million and non-cash interest expense related to the sale of future royalties of $7.1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today, February 20, 2025, at 8:00 AM ET to discuss today’s announcement. To participate in the conference call, please dial (877) 346-6112 (domestic) or (848) 280-6350 (international) and ask to be joined into the Ardelyx call. A webcast of the call can also be accessed by visiting the Investor page of the company's website, </w:t>
      </w:r>
      <w:r>
        <w:rPr>
          <w:rFonts w:ascii="Times New Roman" w:cs="Times New Roman" w:eastAsia="Times New Roman" w:hAnsi="Times New Roman"/>
          <w:sz w:val="18"/>
          <w:szCs w:val="18"/>
          <w:u w:val="single" w:color="auto"/>
          <w:color w:val="0000FF"/>
        </w:rPr>
        <w:t>www.ardelyx.com</w:t>
      </w:r>
      <w:r>
        <w:rPr>
          <w:rFonts w:ascii="Times New Roman" w:cs="Times New Roman" w:eastAsia="Times New Roman" w:hAnsi="Times New Roman"/>
          <w:sz w:val="18"/>
          <w:szCs w:val="18"/>
          <w:color w:val="auto"/>
        </w:rPr>
        <w:t>, and will be available on the website for 30 days following the call.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40575" cy="968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96837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WARNING: RISK OF SERIOUS DEHYDRATION IN PEDIATRIC PATIENTS</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IBSRELA is contraindicated in patients less than 6 years of age; in nonclinical studies in young juvenile rats administration of tenapanor caused</w:t>
      </w:r>
    </w:p>
    <w:p>
      <w:pPr>
        <w:spacing w:after="0" w:line="117" w:lineRule="exact"/>
        <w:rPr>
          <w:sz w:val="20"/>
          <w:szCs w:val="20"/>
          <w:color w:val="auto"/>
        </w:rPr>
      </w:pPr>
    </w:p>
    <w:p>
      <w:pPr>
        <w:ind w:left="40" w:right="740"/>
        <w:spacing w:after="0" w:line="391" w:lineRule="auto"/>
        <w:rPr>
          <w:sz w:val="20"/>
          <w:szCs w:val="20"/>
          <w:color w:val="auto"/>
        </w:rPr>
      </w:pPr>
      <w:r>
        <w:rPr>
          <w:rFonts w:ascii="Times New Roman" w:cs="Times New Roman" w:eastAsia="Times New Roman" w:hAnsi="Times New Roman"/>
          <w:sz w:val="18"/>
          <w:szCs w:val="18"/>
          <w:color w:val="auto"/>
        </w:rPr>
        <w:t>deaths presumed to be due to dehydration. Avoid use of IBSRELA in patients 6 years to less than 12 years of age. The safety and effectiveness of IBSRELA have not been established in patients less than 18 years of age.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IBSRELA is contraindicated in patients less than 6 years of age due to the risk of serious dehydration.</w:t>
      </w:r>
    </w:p>
    <w:p>
      <w:pPr>
        <w:spacing w:after="0" w:line="13"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IBSRELA is contraindicated in patients with known or suspected mechanical gastrointestinal obstruction.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Serious Dehydration in Pediatric Patients</w:t>
      </w:r>
    </w:p>
    <w:p>
      <w:pPr>
        <w:spacing w:after="0" w:line="31" w:lineRule="exact"/>
        <w:rPr>
          <w:sz w:val="20"/>
          <w:szCs w:val="20"/>
          <w:color w:val="auto"/>
        </w:rPr>
      </w:pPr>
    </w:p>
    <w:p>
      <w:pPr>
        <w:ind w:left="660" w:right="100" w:hanging="328"/>
        <w:spacing w:after="0" w:line="246"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22" w:lineRule="exact"/>
        <w:rPr>
          <w:rFonts w:ascii="Arial" w:cs="Arial" w:eastAsia="Arial" w:hAnsi="Arial"/>
          <w:sz w:val="22"/>
          <w:szCs w:val="22"/>
          <w:color w:val="auto"/>
        </w:rPr>
      </w:pPr>
    </w:p>
    <w:p>
      <w:pPr>
        <w:jc w:val="both"/>
        <w:ind w:left="660" w:right="280" w:hanging="328"/>
        <w:spacing w:after="0" w:line="239"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3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The most common adverse reactions in IBSRELA-treated patients (incidence ≥2% and greater than placebo) were: diarrhea (16% vs 4% placebo), abdominal distension (3% vs &lt;1%), flatulence (3% vs 1%) and dizziness (2% vs &lt;1%).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INDICATION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IBSRELA (tenapanor) is indicated for the treatment of Irritable Bowel Syndrome with Constipation (IBS-C) in adults.</w:t>
      </w:r>
    </w:p>
    <w:p>
      <w:pPr>
        <w:sectPr>
          <w:pgSz w:w="11900" w:h="16838" w:orient="portrait"/>
          <w:cols w:equalWidth="0" w:num="1">
            <w:col w:w="11240"/>
          </w:cols>
          <w:pgMar w:left="320" w:top="14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 xml:space="preserve">Please see full </w:t>
      </w:r>
      <w:r>
        <w:rPr>
          <w:rFonts w:ascii="Times New Roman" w:cs="Times New Roman" w:eastAsia="Times New Roman" w:hAnsi="Times New Roman"/>
          <w:sz w:val="18"/>
          <w:szCs w:val="18"/>
          <w:u w:val="single" w:color="auto"/>
          <w:color w:val="0000FF"/>
        </w:rPr>
        <w:t>Prescribing Information</w:t>
      </w:r>
      <w:r>
        <w:rPr>
          <w:rFonts w:ascii="Times New Roman" w:cs="Times New Roman" w:eastAsia="Times New Roman" w:hAnsi="Times New Roman"/>
          <w:sz w:val="18"/>
          <w:szCs w:val="18"/>
          <w:color w:val="auto"/>
          <w:highlight w:val="white"/>
        </w:rPr>
        <w:t>, including Boxed Warning, for additional risk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(XPHOZAH)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XPHOZAH is contraindicated in:</w:t>
      </w:r>
    </w:p>
    <w:p>
      <w:pPr>
        <w:spacing w:after="0" w:line="1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Pediatric patients under 6 years of age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Patients with known or suspected mechanical gastrointestinal obstruction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9" w:lineRule="exact"/>
        <w:rPr>
          <w:sz w:val="20"/>
          <w:szCs w:val="20"/>
          <w:color w:val="auto"/>
        </w:rPr>
      </w:pPr>
    </w:p>
    <w:p>
      <w:pPr>
        <w:ind w:right="1600"/>
        <w:spacing w:after="0" w:line="344" w:lineRule="auto"/>
        <w:rPr>
          <w:sz w:val="20"/>
          <w:szCs w:val="20"/>
          <w:color w:val="auto"/>
        </w:rPr>
      </w:pPr>
      <w:r>
        <w:rPr>
          <w:rFonts w:ascii="Times New Roman" w:cs="Times New Roman" w:eastAsia="Times New Roman" w:hAnsi="Times New Roman"/>
          <w:sz w:val="18"/>
          <w:szCs w:val="18"/>
          <w:color w:val="auto"/>
        </w:rPr>
        <w:t xml:space="preserve">Patients may experience severe diarrhea. Treatment with XPHOZAH should be discontinued in patients who develop severe diarrhea. </w:t>
      </w:r>
      <w:r>
        <w:rPr>
          <w:rFonts w:ascii="Times New Roman" w:cs="Times New Roman" w:eastAsia="Times New Roman" w:hAnsi="Times New Roman"/>
          <w:sz w:val="18"/>
          <w:szCs w:val="18"/>
          <w:b w:val="1"/>
          <w:bCs w:val="1"/>
          <w:color w:val="auto"/>
        </w:rPr>
        <w:t>MOST COMMON ADVERSE REACTIONS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INDICATION</w:t>
      </w:r>
    </w:p>
    <w:p>
      <w:pPr>
        <w:spacing w:after="0" w:line="3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safety information, please see full </w:t>
      </w:r>
      <w:r>
        <w:rPr>
          <w:rFonts w:ascii="Times New Roman" w:cs="Times New Roman" w:eastAsia="Times New Roman" w:hAnsi="Times New Roman"/>
          <w:sz w:val="18"/>
          <w:szCs w:val="18"/>
          <w:u w:val="single" w:color="auto"/>
          <w:color w:val="0000FF"/>
        </w:rPr>
        <w:t>Prescribing Information</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w:t>
      </w:r>
    </w:p>
    <w:p>
      <w:pPr>
        <w:spacing w:after="0" w:line="3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Ardelyx was founded with a mission to discover, develop and commercialize innovative, first-in-class medicines that meet significant unmet medical needs. Ardelyx has two commercial products approved in the United States,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and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Ardelyx has agreements for the development and commercialization of tenapanor outside of the U.S. Kyowa Kirin commercializes PHOZEVEL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for hyperphosphatemia in Japan. A New Drug Application for tenapanor for hyperphosphatemia has been submitted in China with Fosun Pharma. Knight Therapeutics commercializes IBSRELA in Canada. For more information, please visit </w:t>
      </w:r>
      <w:r>
        <w:rPr>
          <w:rFonts w:ascii="Times New Roman" w:cs="Times New Roman" w:eastAsia="Times New Roman" w:hAnsi="Times New Roman"/>
          <w:sz w:val="18"/>
          <w:szCs w:val="18"/>
          <w:u w:val="single" w:color="auto"/>
          <w:color w:val="0000FF"/>
        </w:rPr>
        <w:t>https://ardelyx.com/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0000FF"/>
        </w:rPr>
        <w:t>X (formerly known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Twitter)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LinkedIn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Facebook</w:t>
      </w:r>
      <w:r>
        <w:rPr>
          <w:rFonts w:ascii="Times New Roman" w:cs="Times New Roman" w:eastAsia="Times New Roman" w:hAnsi="Times New Roman"/>
          <w:sz w:val="18"/>
          <w:szCs w:val="18"/>
          <w:color w:val="000000"/>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expectations regarding: the long term potential for Ardelyx’s existing commercial products; opportunities for continued IBSRELA growth; annual U.S. net product sales revenue at peak for IBSRELA and XPHOZAH; and the projected U.S. net product sales revenue for IBSRELA for full year 2025. Such forward-looking statements involve known and unknown risks, uncertainties and other factors that are in some cases beyond our control, that could cause actual outcomes or results to differ materially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filed with the Securities and Exchange Commission on February 20, 2025, and its future current and periodic reports to be filed with the Securities and Exchange Commission.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Lowie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clowie@ardelyx.com</w:t>
      </w:r>
    </w:p>
    <w:p>
      <w:pPr>
        <w:sectPr>
          <w:pgSz w:w="11900" w:h="16838" w:orient="portrait"/>
          <w:cols w:equalWidth="0" w:num="1">
            <w:col w:w="11240"/>
          </w:cols>
          <w:pgMar w:left="320" w:top="1255"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6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7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3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21,470</w:t>
            </w: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162,829</w:t>
            </w: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w:t>
            </w: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commercial manufacturing</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w:t>
            </w: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commercial manufacturing, non-current</w:t>
            </w:r>
          </w:p>
        </w:tc>
        <w:tc>
          <w:tcPr>
            <w:tcW w:w="18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current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non-current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r>
      <w:tr>
        <w:trPr>
          <w:trHeight w:val="223"/>
        </w:trPr>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435,754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297,579</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7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w:t>
            </w: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15,826</w:t>
            </w: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r>
      <w:tr>
        <w:trPr>
          <w:trHeight w:val="230"/>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royalty obligation related to the sale of future royalties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w:t>
            </w: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166,816</w:t>
            </w:r>
          </w:p>
        </w:tc>
      </w:tr>
      <w:tr>
        <w:trPr>
          <w:trHeight w:val="223"/>
        </w:trPr>
        <w:tc>
          <w:tcPr>
            <w:tcW w:w="7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435,754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297,579</w:t>
            </w:r>
          </w:p>
        </w:tc>
      </w:tr>
      <w:tr>
        <w:trPr>
          <w:trHeight w:val="20"/>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Derived from the audited financial statements included in the Company’s Annual Report on Form 10-K for the year ended December 31, 2023.</w:t>
      </w:r>
    </w:p>
    <w:p>
      <w:pPr>
        <w:sectPr>
          <w:pgSz w:w="11900" w:h="16838" w:orient="portrait"/>
          <w:cols w:equalWidth="0" w:num="1">
            <w:col w:w="11220"/>
          </w:cols>
          <w:pgMar w:left="320" w:top="1251"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3020" w:type="dxa"/>
            <w:vAlign w:val="bottom"/>
            <w:gridSpan w:val="4"/>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0" w:type="dxa"/>
            <w:vAlign w:val="bottom"/>
          </w:tcPr>
          <w:p>
            <w:pPr>
              <w:spacing w:after="0"/>
              <w:rPr>
                <w:sz w:val="1"/>
                <w:szCs w:val="1"/>
                <w:color w:val="auto"/>
              </w:rPr>
            </w:pPr>
          </w:p>
        </w:tc>
      </w:tr>
      <w:tr>
        <w:trPr>
          <w:trHeight w:val="211"/>
        </w:trPr>
        <w:tc>
          <w:tcPr>
            <w:tcW w:w="45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IBSRELA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80,062</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XPHOZAH</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product sales,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supply revenue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Licensing revenue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0" w:type="dxa"/>
            <w:vAlign w:val="bottom"/>
          </w:tcPr>
          <w:p>
            <w:pPr>
              <w:spacing w:after="0"/>
              <w:rPr>
                <w:sz w:val="1"/>
                <w:szCs w:val="1"/>
                <w:color w:val="auto"/>
              </w:rPr>
            </w:pPr>
          </w:p>
        </w:tc>
      </w:tr>
      <w:tr>
        <w:trPr>
          <w:trHeight w:val="176"/>
        </w:trPr>
        <w:tc>
          <w:tcPr>
            <w:tcW w:w="45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Non-cash royalty revenue related to the sale of future</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333,615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0" w:type="dxa"/>
            <w:vAlign w:val="bottom"/>
          </w:tcPr>
          <w:p>
            <w:pPr>
              <w:spacing w:after="0"/>
              <w:rPr>
                <w:sz w:val="1"/>
                <w:szCs w:val="1"/>
                <w:color w:val="auto"/>
              </w:rPr>
            </w:pPr>
          </w:p>
        </w:tc>
      </w:tr>
      <w:tr>
        <w:trPr>
          <w:trHeight w:val="20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cost of revenue</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0" w:type="dxa"/>
            <w:vAlign w:val="bottom"/>
          </w:tcPr>
          <w:p>
            <w:pPr>
              <w:spacing w:after="0"/>
              <w:rPr>
                <w:sz w:val="1"/>
                <w:szCs w:val="1"/>
                <w:color w:val="auto"/>
              </w:rPr>
            </w:pPr>
          </w:p>
        </w:tc>
      </w:tr>
      <w:tr>
        <w:trPr>
          <w:trHeight w:val="20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134,401</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169,937</w:t>
            </w:r>
          </w:p>
        </w:tc>
        <w:tc>
          <w:tcPr>
            <w:tcW w:w="0" w:type="dxa"/>
            <w:vAlign w:val="bottom"/>
          </w:tcPr>
          <w:p>
            <w:pPr>
              <w:spacing w:after="0"/>
              <w:rPr>
                <w:sz w:val="1"/>
                <w:szCs w:val="1"/>
                <w:color w:val="auto"/>
              </w:rPr>
            </w:pPr>
          </w:p>
        </w:tc>
      </w:tr>
      <w:tr>
        <w:trPr>
          <w:trHeight w:val="223"/>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(63,276)</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176"/>
        </w:trPr>
        <w:tc>
          <w:tcPr>
            <w:tcW w:w="45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Non-cash interest expense related to the sale of future</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for income taxes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(65,520)</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Net income (loss) per share of common stock - basic and</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Shares used in computing net income (loss) per share -</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5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237,370,654</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232,253,351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235,232,927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219,331,253</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Shares used in computing net income (loss) per share -</w:t>
            </w:r>
          </w:p>
        </w:tc>
        <w:tc>
          <w:tcPr>
            <w:tcW w:w="26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244,050,606</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232,253,351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235,232,927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219,331,253</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4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2025-02-20T06:41:49Z</dcterms:created>
  <dcterms:modified xsi:type="dcterms:W3CDTF">2025-02-20T06:41:49Z</dcterms:modified>
</cp:coreProperties>
</file>