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81915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97790</wp:posOffset>
            </wp:positionV>
            <wp:extent cx="1663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4040" w:type="dxa"/>
        <w:tblCellMar>
          <w:top w:w="0" w:type="dxa"/>
          <w:left w:w="0" w:type="dxa"/>
          <w:bottom w:w="0" w:type="dxa"/>
          <w:right w:w="0" w:type="dxa"/>
        </w:tblCellMar>
      </w:tblPr>
      <w:tr>
        <w:trPr>
          <w:trHeight w:val="216"/>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r>
      <w:tr>
        <w:trPr>
          <w:trHeight w:val="234"/>
        </w:trPr>
        <w:tc>
          <w:tcPr>
            <w:tcW w:w="300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Commission file number: 001-36485</w:t>
            </w:r>
          </w:p>
        </w:tc>
        <w:tc>
          <w:tcPr>
            <w:tcW w:w="160" w:type="dxa"/>
            <w:vAlign w:val="bottom"/>
          </w:tcPr>
          <w:p>
            <w:pPr>
              <w:spacing w:after="0"/>
              <w:rPr>
                <w:sz w:val="20"/>
                <w:szCs w:val="20"/>
                <w:color w:val="auto"/>
              </w:rPr>
            </w:pPr>
          </w:p>
        </w:tc>
      </w:tr>
      <w:tr>
        <w:trPr>
          <w:trHeight w:val="121"/>
        </w:trPr>
        <w:tc>
          <w:tcPr>
            <w:tcW w:w="28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ARDELYX,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90805</wp:posOffset>
            </wp:positionV>
            <wp:extent cx="1663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320" w:type="dxa"/>
            <w:vAlign w:val="bottom"/>
          </w:tcPr>
          <w:p>
            <w:pPr>
              <w:jc w:val="center"/>
              <w:ind w:left="2201"/>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26-1303944</w:t>
            </w:r>
          </w:p>
        </w:tc>
        <w:tc>
          <w:tcPr>
            <w:tcW w:w="0" w:type="dxa"/>
            <w:vAlign w:val="bottom"/>
          </w:tcPr>
          <w:p>
            <w:pPr>
              <w:spacing w:after="0"/>
              <w:rPr>
                <w:sz w:val="1"/>
                <w:szCs w:val="1"/>
                <w:color w:val="auto"/>
              </w:rPr>
            </w:pPr>
          </w:p>
        </w:tc>
      </w:tr>
      <w:tr>
        <w:trPr>
          <w:trHeight w:val="230"/>
        </w:trPr>
        <w:tc>
          <w:tcPr>
            <w:tcW w:w="6940" w:type="dxa"/>
            <w:vAlign w:val="bottom"/>
            <w:gridSpan w:val="6"/>
          </w:tcPr>
          <w:p>
            <w:pPr>
              <w:jc w:val="center"/>
              <w:ind w:right="13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gridSpan w:val="2"/>
          </w:tcPr>
          <w:p>
            <w:pPr>
              <w:jc w:val="center"/>
              <w:ind w:right="130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5"/>
        </w:trPr>
        <w:tc>
          <w:tcPr>
            <w:tcW w:w="3320" w:type="dxa"/>
            <w:vAlign w:val="bottom"/>
          </w:tcPr>
          <w:p>
            <w:pPr>
              <w:spacing w:after="0"/>
              <w:rPr>
                <w:sz w:val="24"/>
                <w:szCs w:val="24"/>
                <w:color w:val="auto"/>
              </w:rPr>
            </w:pPr>
          </w:p>
        </w:tc>
        <w:tc>
          <w:tcPr>
            <w:tcW w:w="7920" w:type="dxa"/>
            <w:vAlign w:val="bottom"/>
            <w:gridSpan w:val="7"/>
          </w:tcPr>
          <w:p>
            <w:pPr>
              <w:jc w:val="center"/>
              <w:ind w:right="3248"/>
              <w:spacing w:after="0"/>
              <w:rPr>
                <w:sz w:val="20"/>
                <w:szCs w:val="20"/>
                <w:color w:val="auto"/>
              </w:rPr>
            </w:pPr>
            <w:r>
              <w:rPr>
                <w:rFonts w:ascii="Arial" w:cs="Arial" w:eastAsia="Arial" w:hAnsi="Arial"/>
                <w:sz w:val="18"/>
                <w:szCs w:val="18"/>
                <w:b w:val="1"/>
                <w:bCs w:val="1"/>
                <w:color w:val="auto"/>
                <w:w w:val="89"/>
              </w:rPr>
              <w:t>400 Fifth Avenue, Suite 210, Waltham, Massachusetts 02451</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28"/>
              <w:spacing w:after="0"/>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425"/>
        </w:trPr>
        <w:tc>
          <w:tcPr>
            <w:tcW w:w="3320" w:type="dxa"/>
            <w:vAlign w:val="bottom"/>
          </w:tcPr>
          <w:p>
            <w:pPr>
              <w:spacing w:after="0"/>
              <w:rPr>
                <w:sz w:val="24"/>
                <w:szCs w:val="24"/>
                <w:color w:val="auto"/>
              </w:rPr>
            </w:pPr>
          </w:p>
        </w:tc>
        <w:tc>
          <w:tcPr>
            <w:tcW w:w="350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0"/>
              </w:rPr>
              <w:t>(510) 745-1700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20" w:type="dxa"/>
            <w:vAlign w:val="bottom"/>
            <w:gridSpan w:val="6"/>
          </w:tcPr>
          <w:p>
            <w:pPr>
              <w:jc w:val="center"/>
              <w:ind w:right="3848"/>
              <w:spacing w:after="0"/>
              <w:rPr>
                <w:sz w:val="20"/>
                <w:szCs w:val="20"/>
                <w:color w:val="auto"/>
              </w:rPr>
            </w:pPr>
            <w:r>
              <w:rPr>
                <w:rFonts w:ascii="Arial" w:cs="Arial" w:eastAsia="Arial" w:hAnsi="Arial"/>
                <w:sz w:val="14"/>
                <w:szCs w:val="14"/>
                <w:color w:val="auto"/>
                <w:w w:val="93"/>
              </w:rPr>
              <w:t>(Registrant’s Telephone Number, Including Area Code)</w:t>
            </w:r>
          </w:p>
        </w:tc>
        <w:tc>
          <w:tcPr>
            <w:tcW w:w="0" w:type="dxa"/>
            <w:vAlign w:val="bottom"/>
          </w:tcPr>
          <w:p>
            <w:pPr>
              <w:spacing w:after="0"/>
              <w:rPr>
                <w:sz w:val="1"/>
                <w:szCs w:val="1"/>
                <w:color w:val="auto"/>
              </w:rPr>
            </w:pPr>
          </w:p>
        </w:tc>
      </w:tr>
      <w:tr>
        <w:trPr>
          <w:trHeight w:val="39"/>
        </w:trPr>
        <w:tc>
          <w:tcPr>
            <w:tcW w:w="332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3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center"/>
              <w:ind w:left="521"/>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3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320" w:type="dxa"/>
            <w:vAlign w:val="bottom"/>
          </w:tcPr>
          <w:p>
            <w:pPr>
              <w:jc w:val="center"/>
              <w:ind w:left="521"/>
              <w:spacing w:after="0"/>
              <w:rPr>
                <w:sz w:val="20"/>
                <w:szCs w:val="20"/>
                <w:color w:val="auto"/>
              </w:rPr>
            </w:pPr>
            <w:r>
              <w:rPr>
                <w:rFonts w:ascii="Arial" w:cs="Arial" w:eastAsia="Arial" w:hAnsi="Arial"/>
                <w:sz w:val="14"/>
                <w:szCs w:val="14"/>
                <w:color w:val="auto"/>
                <w:w w:val="92"/>
              </w:rPr>
              <w:t>Common Stock, par value $0.0001</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ARDX</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4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bl>
    <w:p>
      <w:pPr>
        <w:spacing w:after="0" w:line="272" w:lineRule="exact"/>
        <w:rPr>
          <w:sz w:val="24"/>
          <w:szCs w:val="24"/>
          <w:color w:val="auto"/>
        </w:rPr>
      </w:pPr>
    </w:p>
    <w:p>
      <w:pPr>
        <w:ind w:right="2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60"/>
        <w:spacing w:after="0" w:line="22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28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303"/>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18"/>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2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8" w:lineRule="exact"/>
        <w:rPr>
          <w:sz w:val="24"/>
          <w:szCs w:val="24"/>
          <w:color w:val="auto"/>
        </w:rPr>
      </w:pPr>
    </w:p>
    <w:p>
      <w:pPr>
        <w:ind w:right="560"/>
        <w:spacing w:after="0" w:line="21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3"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October 26, 2023, was 232,137,709.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in this Quarterly Report on Form 10-Q the terms “Ardelyx”, “we,” “us,” “our” and “the Company” refer to Ardelyx, Inc.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3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expectations regarding the availability of XPHOZAH® (tenapanor);</w:t>
      </w:r>
    </w:p>
    <w:p>
      <w:pPr>
        <w:spacing w:after="0" w:line="63" w:lineRule="exact"/>
        <w:rPr>
          <w:rFonts w:ascii="Arial" w:cs="Arial" w:eastAsia="Arial" w:hAnsi="Arial"/>
          <w:sz w:val="18"/>
          <w:szCs w:val="18"/>
          <w:color w:val="auto"/>
        </w:rPr>
      </w:pPr>
    </w:p>
    <w:p>
      <w:pPr>
        <w:jc w:val="both"/>
        <w:ind w:left="340" w:hanging="332"/>
        <w:spacing w:after="0" w:line="279"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or when XPHOZAH, along with other oral ESRD-related drugs without an injectable or intravenous equivalent, are bundled into the ESRD prospective payment system (ESRD PPS), and the manner in which such introduction into the ESRD PPS may occur, including the length of any applicable Transitional Drug Add-on Payment Adjustment (TDAPA) period; the amount of the add-on payment available during the TDAPA period and whether, and the extent to which, the ESRD PPS base rate is adjusted following any applicable TDAPA period;</w:t>
      </w:r>
    </w:p>
    <w:p>
      <w:pPr>
        <w:spacing w:after="0" w:line="9" w:lineRule="exact"/>
        <w:rPr>
          <w:rFonts w:ascii="Arial" w:cs="Arial" w:eastAsia="Arial" w:hAnsi="Arial"/>
          <w:sz w:val="17"/>
          <w:szCs w:val="17"/>
          <w:color w:val="auto"/>
        </w:rPr>
      </w:pPr>
    </w:p>
    <w:p>
      <w:pPr>
        <w:jc w:val="both"/>
        <w:ind w:left="340" w:hanging="332"/>
        <w:spacing w:after="0" w:line="279"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address our operating cash flow requirements with our current cash, cash equivalents and short-term investments, cash generated from the sales of IBSRELA® (tenapanor) and sales of XPHOZAH, the potential receipt of anticipated future milestone payments from our collaboration partners, with funding under our loan and security agreement with SLR Investment Corp. (SLR), potential additional financing sources and through the implementation of cash preservation activities to reduce or defer discretionary spending;</w:t>
      </w:r>
    </w:p>
    <w:p>
      <w:pPr>
        <w:spacing w:after="0" w:line="9"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RDX013 and RDX020;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 and</w:t>
      </w:r>
    </w:p>
    <w:p>
      <w:pPr>
        <w:spacing w:after="0" w:line="74"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under the caption “Risk Factors.”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ASSOCIATED WITH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30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losses since our inception and will incur losses in the future, which makes it difficult for us to assess our future viability.</w:t>
      </w:r>
    </w:p>
    <w:p>
      <w:pPr>
        <w:spacing w:after="0" w:line="86" w:lineRule="exact"/>
        <w:rPr>
          <w:rFonts w:ascii="Arial" w:cs="Arial" w:eastAsia="Arial" w:hAnsi="Arial"/>
          <w:sz w:val="16"/>
          <w:szCs w:val="16"/>
          <w:color w:val="auto"/>
        </w:rPr>
      </w:pPr>
    </w:p>
    <w:p>
      <w:pPr>
        <w:ind w:left="340" w:right="240" w:hanging="332"/>
        <w:spacing w:after="0" w:line="29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require additional financing for the foreseeable future as we invest in the commercialization of IBSRELA and XPHOZAH in the U.S. The inability to access necessary capital when needed on acceptable terms, or at all, could force us to reduce our efforts to commercialize IBSRELA and</w:t>
      </w:r>
    </w:p>
    <w:p>
      <w:pPr>
        <w:ind w:left="340"/>
        <w:spacing w:after="0"/>
        <w:rPr>
          <w:rFonts w:ascii="Arial" w:cs="Arial" w:eastAsia="Arial" w:hAnsi="Arial"/>
          <w:sz w:val="16"/>
          <w:szCs w:val="16"/>
          <w:color w:val="auto"/>
        </w:rPr>
      </w:pPr>
      <w:r>
        <w:rPr>
          <w:rFonts w:ascii="Arial" w:cs="Arial" w:eastAsia="Arial" w:hAnsi="Arial"/>
          <w:sz w:val="18"/>
          <w:szCs w:val="18"/>
          <w:color w:val="auto"/>
        </w:rPr>
        <w:t>XPHOZAH.</w:t>
      </w:r>
    </w:p>
    <w:p>
      <w:pPr>
        <w:spacing w:after="0" w:line="48"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generated limited revenue from product sales and may never be profitable.</w:t>
      </w:r>
    </w:p>
    <w:p>
      <w:pPr>
        <w:spacing w:after="0" w:line="63" w:lineRule="exact"/>
        <w:rPr>
          <w:rFonts w:ascii="Arial" w:cs="Arial" w:eastAsia="Arial" w:hAnsi="Arial"/>
          <w:sz w:val="18"/>
          <w:szCs w:val="18"/>
          <w:color w:val="auto"/>
        </w:rPr>
      </w:pPr>
    </w:p>
    <w:p>
      <w:pPr>
        <w:jc w:val="both"/>
        <w:ind w:left="340" w:right="300" w:hanging="332"/>
        <w:spacing w:after="0" w:line="263"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21"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no guarantee that we will achieve sufficient market acceptance for XPHOZAH, secure adequate coverage and reimbursement for XPHOZAH, or generate sufficient revenue from product sales of XPHOZAH.</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no legislative or regulatory action is taken to further delay the inclusion of oral only ESRD related drugs in the ESRD prospective payment system (ESRD PPS), XPHOZAH will become part of the ESRD PPS on January 1, 2025,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will no longer be separately paid for under Part D, and as a result the revenue that we may generate on sales of XPHOZAH will be negatively and materially impacted.</w:t>
      </w:r>
    </w:p>
    <w:p>
      <w:pPr>
        <w:spacing w:after="0" w:line="8"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IBSRELA and/or XPHOZAH may cause undesirable side effects or have other properties that could limit the commercial success of the product.</w:t>
      </w:r>
    </w:p>
    <w:p>
      <w:pPr>
        <w:spacing w:after="0" w:line="74" w:lineRule="exact"/>
        <w:rPr>
          <w:rFonts w:ascii="Arial" w:cs="Arial" w:eastAsia="Arial" w:hAnsi="Arial"/>
          <w:sz w:val="17"/>
          <w:szCs w:val="17"/>
          <w:color w:val="auto"/>
        </w:rPr>
      </w:pPr>
    </w:p>
    <w:p>
      <w:pPr>
        <w:ind w:left="340" w:hanging="332"/>
        <w:spacing w:after="0" w:line="316"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1" w:lineRule="exact"/>
        <w:rPr>
          <w:rFonts w:ascii="Arial" w:cs="Arial" w:eastAsia="Arial" w:hAnsi="Arial"/>
          <w:sz w:val="16"/>
          <w:szCs w:val="16"/>
          <w:color w:val="auto"/>
        </w:rPr>
      </w:pPr>
    </w:p>
    <w:p>
      <w:pPr>
        <w:ind w:left="340" w:right="60" w:hanging="332"/>
        <w:spacing w:after="0" w:line="259"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and our future development efforts for tenapanor may be materially harmed.</w:t>
      </w:r>
    </w:p>
    <w:p>
      <w:pPr>
        <w:spacing w:after="0" w:line="24"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results depend on contract manufacturing organizations (CMOs), many of whom are our single source manufacturers.</w:t>
      </w:r>
    </w:p>
    <w:p>
      <w:pPr>
        <w:spacing w:after="0" w:line="63" w:lineRule="exact"/>
        <w:rPr>
          <w:rFonts w:ascii="Arial" w:cs="Arial" w:eastAsia="Arial" w:hAnsi="Arial"/>
          <w:sz w:val="18"/>
          <w:szCs w:val="18"/>
          <w:color w:val="auto"/>
        </w:rPr>
      </w:pPr>
    </w:p>
    <w:p>
      <w:pPr>
        <w:ind w:left="340" w:right="320" w:hanging="332"/>
        <w:spacing w:after="0" w:line="342"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9" w:lineRule="exact"/>
        <w:rPr>
          <w:sz w:val="20"/>
          <w:szCs w:val="20"/>
          <w:color w:val="auto"/>
        </w:rPr>
      </w:pPr>
    </w:p>
    <w:p>
      <w:pPr>
        <w:jc w:val="both"/>
        <w:ind w:right="20"/>
        <w:spacing w:after="0" w:line="230" w:lineRule="auto"/>
        <w:rPr>
          <w:sz w:val="20"/>
          <w:szCs w:val="20"/>
          <w:color w:val="auto"/>
        </w:rPr>
      </w:pPr>
      <w:r>
        <w:rPr>
          <w:rFonts w:ascii="Arial" w:cs="Arial" w:eastAsia="Arial" w:hAnsi="Arial"/>
          <w:sz w:val="18"/>
          <w:szCs w:val="18"/>
          <w:color w:val="auto"/>
        </w:rPr>
        <w:t>ARDELYX</w:t>
      </w:r>
      <w:r>
        <w:rPr>
          <w:rFonts w:ascii="Arial" w:cs="Arial" w:eastAsia="Arial" w:hAnsi="Arial"/>
          <w:sz w:val="23"/>
          <w:szCs w:val="23"/>
          <w:color w:val="auto"/>
          <w:vertAlign w:val="superscript"/>
        </w:rPr>
        <w:t>®</w:t>
      </w:r>
      <w:r>
        <w:rPr>
          <w:rFonts w:ascii="Arial" w:cs="Arial" w:eastAsia="Arial" w:hAnsi="Arial"/>
          <w:sz w:val="18"/>
          <w:szCs w:val="18"/>
          <w:color w:val="auto"/>
        </w:rPr>
        <w:t>, IBSRELA</w:t>
      </w:r>
      <w:r>
        <w:rPr>
          <w:rFonts w:ascii="Arial" w:cs="Arial" w:eastAsia="Arial" w:hAnsi="Arial"/>
          <w:sz w:val="23"/>
          <w:szCs w:val="23"/>
          <w:color w:val="auto"/>
          <w:vertAlign w:val="superscript"/>
        </w:rPr>
        <w:t>®</w:t>
      </w:r>
      <w:r>
        <w:rPr>
          <w:rFonts w:ascii="Arial" w:cs="Arial" w:eastAsia="Arial" w:hAnsi="Arial"/>
          <w:sz w:val="18"/>
          <w:szCs w:val="18"/>
          <w:color w:val="auto"/>
        </w:rPr>
        <w:t>, and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are trademarks of Ardelyx. All other trademarks, trade names and service marks appearing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3080" w:type="dxa"/>
            <w:vAlign w:val="bottom"/>
            <w:gridSpan w:val="7"/>
            <w:vMerge w:val="restart"/>
          </w:tcPr>
          <w:p>
            <w:pPr>
              <w:jc w:val="center"/>
              <w:spacing w:after="0"/>
              <w:rPr>
                <w:sz w:val="20"/>
                <w:szCs w:val="20"/>
                <w:color w:val="auto"/>
              </w:rPr>
            </w:pPr>
            <w:r>
              <w:rPr>
                <w:rFonts w:ascii="Arial" w:cs="Arial" w:eastAsia="Arial" w:hAnsi="Arial"/>
                <w:sz w:val="18"/>
                <w:szCs w:val="18"/>
                <w:b w:val="1"/>
                <w:bCs w:val="1"/>
                <w:color w:val="0000FF"/>
              </w:rPr>
              <w:t>PART I. FINANCIAL INFORMATION</w:t>
            </w:r>
          </w:p>
        </w:tc>
        <w:tc>
          <w:tcPr>
            <w:tcW w:w="3560" w:type="dxa"/>
            <w:vAlign w:val="bottom"/>
            <w:gridSpan w:val="2"/>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080" w:type="dxa"/>
            <w:vAlign w:val="bottom"/>
            <w:tcBorders>
              <w:bottom w:val="single" w:sz="8" w:color="0000FF"/>
            </w:tcBorders>
            <w:gridSpan w:val="7"/>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Item 1. Financial Statements:</w:t>
            </w:r>
          </w:p>
        </w:tc>
        <w:tc>
          <w:tcPr>
            <w:tcW w:w="808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Arial" w:cs="Arial" w:eastAsia="Arial" w:hAnsi="Arial"/>
                <w:sz w:val="18"/>
                <w:szCs w:val="18"/>
                <w:color w:val="0000FF"/>
              </w:rPr>
              <w:t>Condensed Balance Sheets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6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Statements of Operations and Comprehensive Income (Loss) (unaudited)</w:t>
            </w:r>
          </w:p>
        </w:tc>
        <w:tc>
          <w:tcPr>
            <w:tcW w:w="356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Arial" w:cs="Arial" w:eastAsia="Arial" w:hAnsi="Arial"/>
                <w:sz w:val="18"/>
                <w:szCs w:val="18"/>
                <w:color w:val="0000FF"/>
              </w:rPr>
              <w:t>Condensed Statements of Changes in Stockholders' Equity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50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Statements of Cash Flows (unaudited)</w:t>
            </w:r>
          </w:p>
        </w:tc>
        <w:tc>
          <w:tcPr>
            <w:tcW w:w="458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Arial" w:cs="Arial" w:eastAsia="Arial" w:hAnsi="Arial"/>
                <w:sz w:val="18"/>
                <w:szCs w:val="18"/>
                <w:color w:val="0000FF"/>
              </w:rPr>
              <w:t>Notes to Condensed Financial Statements (unaudited)</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9"/>
        </w:trPr>
        <w:tc>
          <w:tcPr>
            <w:tcW w:w="10200" w:type="dxa"/>
            <w:vAlign w:val="bottom"/>
            <w:gridSpan w:val="20"/>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0200" w:type="dxa"/>
            <w:vAlign w:val="bottom"/>
            <w:gridSpan w:val="20"/>
          </w:tcPr>
          <w:p>
            <w:pPr>
              <w:spacing w:after="0"/>
              <w:rPr>
                <w:sz w:val="20"/>
                <w:szCs w:val="20"/>
                <w:color w:val="auto"/>
              </w:rPr>
            </w:pPr>
            <w:r>
              <w:rPr>
                <w:rFonts w:ascii="Arial" w:cs="Arial" w:eastAsia="Arial" w:hAnsi="Arial"/>
                <w:sz w:val="18"/>
                <w:szCs w:val="18"/>
                <w:color w:val="0000FF"/>
              </w:rPr>
              <w:t>Item 4. Controls and Procedures</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0000FF"/>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1820" w:type="dxa"/>
            <w:vAlign w:val="bottom"/>
            <w:gridSpan w:val="6"/>
          </w:tcPr>
          <w:p>
            <w:pPr>
              <w:spacing w:after="0"/>
              <w:rPr>
                <w:sz w:val="24"/>
                <w:szCs w:val="24"/>
                <w:color w:val="auto"/>
              </w:rPr>
            </w:pPr>
          </w:p>
        </w:tc>
        <w:tc>
          <w:tcPr>
            <w:tcW w:w="2760" w:type="dxa"/>
            <w:vAlign w:val="bottom"/>
            <w:tcBorders>
              <w:top w:val="single" w:sz="8" w:color="0000FF"/>
            </w:tcBorders>
            <w:gridSpan w:val="5"/>
          </w:tcPr>
          <w:p>
            <w:pPr>
              <w:spacing w:after="0"/>
              <w:rPr>
                <w:sz w:val="24"/>
                <w:szCs w:val="24"/>
                <w:color w:val="auto"/>
              </w:rPr>
            </w:pPr>
          </w:p>
        </w:tc>
        <w:tc>
          <w:tcPr>
            <w:tcW w:w="372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Item 1A. Risk Factors</w:t>
            </w:r>
          </w:p>
        </w:tc>
        <w:tc>
          <w:tcPr>
            <w:tcW w:w="8600" w:type="dxa"/>
            <w:vAlign w:val="bottom"/>
            <w:gridSpan w:val="16"/>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0200" w:type="dxa"/>
            <w:vAlign w:val="bottom"/>
            <w:gridSpan w:val="20"/>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49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3. Defaults Upon Senior Securities</w:t>
            </w:r>
          </w:p>
        </w:tc>
        <w:tc>
          <w:tcPr>
            <w:tcW w:w="530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4. Mine Safety Disclosures</w:t>
            </w:r>
          </w:p>
        </w:tc>
        <w:tc>
          <w:tcPr>
            <w:tcW w:w="7320" w:type="dxa"/>
            <w:vAlign w:val="bottom"/>
            <w:gridSpan w:val="11"/>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8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Item 5. Other Information</w:t>
            </w:r>
          </w:p>
        </w:tc>
        <w:tc>
          <w:tcPr>
            <w:tcW w:w="440" w:type="dxa"/>
            <w:vAlign w:val="bottom"/>
            <w:tcBorders>
              <w:top w:val="single" w:sz="8" w:color="0000FF"/>
            </w:tcBorders>
            <w:gridSpan w:val="3"/>
          </w:tcPr>
          <w:p>
            <w:pPr>
              <w:spacing w:after="0"/>
              <w:rPr>
                <w:sz w:val="18"/>
                <w:szCs w:val="18"/>
                <w:color w:val="auto"/>
              </w:rPr>
            </w:pPr>
          </w:p>
        </w:tc>
        <w:tc>
          <w:tcPr>
            <w:tcW w:w="788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10200" w:type="dxa"/>
            <w:vAlign w:val="bottom"/>
            <w:gridSpan w:val="20"/>
          </w:tcPr>
          <w:p>
            <w:pPr>
              <w:spacing w:after="0"/>
              <w:rPr>
                <w:sz w:val="20"/>
                <w:szCs w:val="20"/>
                <w:color w:val="auto"/>
              </w:rPr>
            </w:pPr>
            <w:r>
              <w:rPr>
                <w:rFonts w:ascii="Arial" w:cs="Arial" w:eastAsia="Arial" w:hAnsi="Arial"/>
                <w:sz w:val="18"/>
                <w:szCs w:val="18"/>
                <w:color w:val="0000FF"/>
              </w:rPr>
              <w:t>Item 6. Exhibits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904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1"/>
              </w:rPr>
              <w:t>(Unaudited)</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96,140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Prepaid commercial manufacturing</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153,603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non-current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65,603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Preferred stock, $0.0001 par value; 5,000,000 shares authorized; no shares issued and outstanding as of</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2023 and December 31, 2022, respectively.</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40"/>
              <w:spacing w:after="0" w:line="176" w:lineRule="exact"/>
              <w:rPr>
                <w:sz w:val="20"/>
                <w:szCs w:val="20"/>
                <w:color w:val="auto"/>
              </w:rPr>
            </w:pPr>
            <w:r>
              <w:rPr>
                <w:rFonts w:ascii="Arial" w:cs="Arial" w:eastAsia="Arial" w:hAnsi="Arial"/>
                <w:sz w:val="18"/>
                <w:szCs w:val="18"/>
                <w:color w:val="auto"/>
                <w:w w:val="93"/>
              </w:rPr>
              <w:t>Common stock, $0.0001 par value; 500,000,000 shares and 300,000,000 shares authorized; 232,133,132 and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w w:val="94"/>
              </w:rPr>
              <w:t>198,575,016 shares issued and outstanding as of September 30, 2023 and December 31, 2022, respectively.</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878,500</w:t>
            </w:r>
          </w:p>
        </w:tc>
        <w:tc>
          <w:tcPr>
            <w:tcW w:w="0" w:type="dxa"/>
            <w:vAlign w:val="bottom"/>
          </w:tcPr>
          <w:p>
            <w:pPr>
              <w:spacing w:after="0"/>
              <w:rPr>
                <w:sz w:val="1"/>
                <w:szCs w:val="1"/>
                <w:color w:val="auto"/>
              </w:rPr>
            </w:pP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(817,402)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(780,137)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51,949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Licensing revenue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cost of revenue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82,927</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(75,902)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Non-cash interest expense related to the sale of future royalties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(77,894)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(77,902)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common stock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tcPr>
          <w:p>
            <w:pPr>
              <w:ind w:left="20"/>
              <w:spacing w:after="0" w:line="203" w:lineRule="exact"/>
              <w:rPr>
                <w:sz w:val="20"/>
                <w:szCs w:val="20"/>
                <w:color w:val="auto"/>
              </w:rPr>
            </w:pPr>
            <w:r>
              <w:rPr>
                <w:rFonts w:ascii="Arial" w:cs="Arial" w:eastAsia="Arial" w:hAnsi="Arial"/>
                <w:sz w:val="18"/>
                <w:szCs w:val="18"/>
                <w:color w:val="auto"/>
              </w:rPr>
              <w:t>Shares used in computing net income (loss) per share - basic</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222,782,229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165,104,789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214,976,555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147,319,818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(loss) per share - diluted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227,894,335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165,104,789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214,976,555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147,319,818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Nine Months ended September 30, 2023 and 2022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2"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5"/>
                <w:szCs w:val="5"/>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5"/>
                <w:szCs w:val="5"/>
                <w:color w:val="auto"/>
              </w:rPr>
            </w:pPr>
          </w:p>
        </w:tc>
        <w:tc>
          <w:tcPr>
            <w:tcW w:w="14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5"/>
                <w:szCs w:val="5"/>
                <w:color w:val="auto"/>
              </w:rPr>
            </w:pPr>
          </w:p>
        </w:tc>
        <w:tc>
          <w:tcPr>
            <w:tcW w:w="1060" w:type="dxa"/>
            <w:vAlign w:val="bottom"/>
            <w:vMerge w:val="restart"/>
          </w:tcPr>
          <w:p>
            <w:pPr>
              <w:jc w:val="center"/>
              <w:ind w:right="54"/>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217,862,921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123,161</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269,739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211,277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13,760,968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57,163</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Unrealized gains on available-for-sale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232,133,132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191,161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4"/>
              </w:rPr>
              <w:t>Nine Months Ended September 30, 2023</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4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200" w:type="dxa"/>
            <w:vAlign w:val="bottom"/>
            <w:gridSpan w:val="3"/>
          </w:tcPr>
          <w:p>
            <w:pPr>
              <w:jc w:val="right"/>
              <w:ind w:right="396"/>
              <w:spacing w:after="0" w:line="142"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5"/>
                <w:szCs w:val="5"/>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5"/>
                <w:szCs w:val="5"/>
                <w:color w:val="auto"/>
              </w:rPr>
            </w:pPr>
          </w:p>
        </w:tc>
        <w:tc>
          <w:tcPr>
            <w:tcW w:w="14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5"/>
                <w:szCs w:val="5"/>
                <w:color w:val="auto"/>
              </w:rPr>
            </w:pPr>
          </w:p>
        </w:tc>
        <w:tc>
          <w:tcPr>
            <w:tcW w:w="1060" w:type="dxa"/>
            <w:vAlign w:val="bottom"/>
            <w:vMerge w:val="restart"/>
          </w:tcPr>
          <w:p>
            <w:pPr>
              <w:jc w:val="center"/>
              <w:ind w:right="54"/>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198,575,016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98,329</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435,708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75"/>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0"/>
              </w:rPr>
              <w:t>Issuance of common stock upon exercise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of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127,221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Issuance of common stock upon vesting</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restricted stock units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634,351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stock in at the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market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32,274,741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119,248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176"/>
        </w:trPr>
        <w:tc>
          <w:tcPr>
            <w:tcW w:w="3140" w:type="dxa"/>
            <w:vAlign w:val="bottom"/>
          </w:tcPr>
          <w:p>
            <w:pPr>
              <w:ind w:left="140"/>
              <w:spacing w:after="0" w:line="176" w:lineRule="exact"/>
              <w:rPr>
                <w:sz w:val="20"/>
                <w:szCs w:val="20"/>
                <w:color w:val="auto"/>
              </w:rPr>
            </w:pPr>
            <w:r>
              <w:rPr>
                <w:rFonts w:ascii="Arial" w:cs="Arial" w:eastAsia="Arial" w:hAnsi="Arial"/>
                <w:sz w:val="18"/>
                <w:szCs w:val="18"/>
                <w:color w:val="auto"/>
                <w:w w:val="96"/>
              </w:rPr>
              <w:t>Unrealized losses on available-for-sale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232,133,132</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1,008,741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(817,402)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191,161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Balance as of June 30, 2022</w:t>
      </w:r>
    </w:p>
    <w:p>
      <w:pPr>
        <w:spacing w:after="0" w:line="27" w:lineRule="exact"/>
        <w:rPr>
          <w:sz w:val="20"/>
          <w:szCs w:val="20"/>
          <w:color w:val="auto"/>
        </w:rPr>
      </w:pPr>
    </w:p>
    <w:p>
      <w:pPr>
        <w:ind w:left="200" w:right="420"/>
        <w:spacing w:after="0" w:line="272" w:lineRule="auto"/>
        <w:rPr>
          <w:sz w:val="20"/>
          <w:szCs w:val="20"/>
          <w:color w:val="auto"/>
        </w:rPr>
      </w:pPr>
      <w:r>
        <w:rPr>
          <w:rFonts w:ascii="Arial" w:cs="Arial" w:eastAsia="Arial" w:hAnsi="Arial"/>
          <w:sz w:val="16"/>
          <w:szCs w:val="16"/>
          <w:color w:val="auto"/>
        </w:rPr>
        <w:t>Issuance of common stock under employee stock purchase plan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Issuance of common stock for services</w:t>
      </w:r>
    </w:p>
    <w:p>
      <w:pPr>
        <w:spacing w:after="0" w:line="46" w:lineRule="exact"/>
        <w:rPr>
          <w:sz w:val="20"/>
          <w:szCs w:val="20"/>
          <w:color w:val="auto"/>
        </w:rPr>
      </w:pPr>
    </w:p>
    <w:p>
      <w:pPr>
        <w:ind w:left="200" w:right="460"/>
        <w:spacing w:after="0" w:line="272" w:lineRule="auto"/>
        <w:rPr>
          <w:sz w:val="20"/>
          <w:szCs w:val="20"/>
          <w:color w:val="auto"/>
        </w:rPr>
      </w:pPr>
      <w:r>
        <w:rPr>
          <w:rFonts w:ascii="Arial" w:cs="Arial" w:eastAsia="Arial" w:hAnsi="Arial"/>
          <w:sz w:val="16"/>
          <w:szCs w:val="16"/>
          <w:color w:val="auto"/>
        </w:rPr>
        <w:t>Issuance of common stock upon vesting of restricted stock units</w:t>
      </w:r>
    </w:p>
    <w:p>
      <w:pPr>
        <w:spacing w:after="0" w:line="1" w:lineRule="exact"/>
        <w:rPr>
          <w:sz w:val="20"/>
          <w:szCs w:val="20"/>
          <w:color w:val="auto"/>
        </w:rPr>
      </w:pPr>
    </w:p>
    <w:p>
      <w:pPr>
        <w:ind w:left="200" w:right="240"/>
        <w:spacing w:after="0" w:line="235" w:lineRule="auto"/>
        <w:rPr>
          <w:sz w:val="20"/>
          <w:szCs w:val="20"/>
          <w:color w:val="auto"/>
        </w:rPr>
      </w:pPr>
      <w:r>
        <w:rPr>
          <w:rFonts w:ascii="Arial" w:cs="Arial" w:eastAsia="Arial" w:hAnsi="Arial"/>
          <w:sz w:val="18"/>
          <w:szCs w:val="18"/>
          <w:color w:val="auto"/>
        </w:rPr>
        <w:t>Issuance of common stock in at the market offering</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200"/>
        <w:spacing w:after="0" w:line="234" w:lineRule="auto"/>
        <w:rPr>
          <w:sz w:val="20"/>
          <w:szCs w:val="20"/>
          <w:color w:val="auto"/>
        </w:rPr>
      </w:pPr>
      <w:r>
        <w:rPr>
          <w:rFonts w:ascii="Arial" w:cs="Arial" w:eastAsia="Arial" w:hAnsi="Arial"/>
          <w:sz w:val="18"/>
          <w:szCs w:val="18"/>
          <w:color w:val="auto"/>
        </w:rPr>
        <w:t>Unrealized losses on available-for-sale securities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loss</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4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5"/>
                <w:szCs w:val="5"/>
                <w:color w:val="auto"/>
              </w:rPr>
            </w:pPr>
          </w:p>
        </w:tc>
        <w:tc>
          <w:tcPr>
            <w:tcW w:w="1060" w:type="dxa"/>
            <w:vAlign w:val="bottom"/>
            <w:vMerge w:val="restart"/>
          </w:tcPr>
          <w:p>
            <w:pPr>
              <w:jc w:val="center"/>
              <w:ind w:right="57"/>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7"/>
                <w:szCs w:val="17"/>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153,797,834</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821,075</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(767,939)</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53,042</w:t>
            </w:r>
          </w:p>
        </w:tc>
        <w:tc>
          <w:tcPr>
            <w:tcW w:w="0" w:type="dxa"/>
            <w:vAlign w:val="bottom"/>
          </w:tcPr>
          <w:p>
            <w:pPr>
              <w:spacing w:after="0"/>
              <w:rPr>
                <w:sz w:val="1"/>
                <w:szCs w:val="1"/>
                <w:color w:val="auto"/>
              </w:rPr>
            </w:pPr>
          </w:p>
        </w:tc>
      </w:tr>
      <w:tr>
        <w:trPr>
          <w:trHeight w:val="417"/>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181,256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711,675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418"/>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95,555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32,613,325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34,363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34,367</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(22,893)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23"/>
        </w:trPr>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187,399,645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857,788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(790,832)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66,861</w:t>
            </w: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4"/>
              </w:rPr>
              <w:t>Nine Months Ended September 30, 2022</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560" w:type="dxa"/>
            <w:vAlign w:val="bottom"/>
            <w:gridSpan w:val="6"/>
          </w:tcPr>
          <w:p>
            <w:pPr>
              <w:ind w:left="760"/>
              <w:spacing w:after="0" w:line="142"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46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5"/>
                <w:szCs w:val="5"/>
                <w:color w:val="auto"/>
              </w:rPr>
            </w:pPr>
          </w:p>
        </w:tc>
        <w:tc>
          <w:tcPr>
            <w:tcW w:w="1060" w:type="dxa"/>
            <w:vAlign w:val="bottom"/>
            <w:vMerge w:val="restart"/>
          </w:tcPr>
          <w:p>
            <w:pPr>
              <w:jc w:val="center"/>
              <w:ind w:right="77"/>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-2620645</wp:posOffset>
            </wp:positionV>
            <wp:extent cx="707199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-2200910</wp:posOffset>
            </wp:positionV>
            <wp:extent cx="707199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-1789430</wp:posOffset>
            </wp:positionV>
            <wp:extent cx="707199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265430"/>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-1377950</wp:posOffset>
            </wp:positionV>
            <wp:extent cx="707199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265430"/>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-966470</wp:posOffset>
            </wp:positionV>
            <wp:extent cx="70719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100"/>
            <w:col w:w="8120"/>
          </w:cols>
          <w:pgMar w:left="320" w:top="341" w:right="379" w:bottom="1440" w:gutter="0" w:footer="0" w:header="0"/>
          <w:type w:val="continuous"/>
        </w:sectPr>
      </w:pPr>
    </w:p>
    <w:tbl>
      <w:tblPr>
        <w:tblLayout w:type="fixed"/>
        <w:tblInd w:w="60" w:type="dxa"/>
        <w:tblCellMar>
          <w:top w:w="0" w:type="dxa"/>
          <w:left w:w="0" w:type="dxa"/>
          <w:bottom w:w="0" w:type="dxa"/>
          <w:right w:w="0" w:type="dxa"/>
        </w:tblCellMar>
      </w:tblPr>
      <w:tr>
        <w:trPr>
          <w:trHeight w:val="23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130,182,535</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795,540</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under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308,356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Issuance of common stock 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0"/>
              </w:rPr>
              <w:t>Issuance of common stock upon vesting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3,091,697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Issuance of common stock in at the market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53,105,382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52,845</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8,824</w:t>
            </w: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Unrealized losses on available-for-sale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(77,902)</w:t>
            </w: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187,399,645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(37,265)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(77,902)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commercial manufacturing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maturities and redemptions of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2022 Loan, net of issuance costs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2018 Loan, net of costs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Proceeds from the sale of future royalties, net of issuance costs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in at the market offering, net of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from issuance of common stock under equity incentive and stock purchase plans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120"/>
              <w:spacing w:after="0" w:line="203" w:lineRule="exact"/>
              <w:rPr>
                <w:sz w:val="20"/>
                <w:szCs w:val="20"/>
                <w:color w:val="auto"/>
              </w:rPr>
            </w:pPr>
            <w:r>
              <w:rPr>
                <w:rFonts w:ascii="Arial" w:cs="Arial" w:eastAsia="Arial" w:hAnsi="Arial"/>
                <w:sz w:val="18"/>
                <w:szCs w:val="18"/>
                <w:color w:val="auto"/>
              </w:rPr>
              <w:t>Issuance of common stock for services</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derivative in connection with issuance of loan payable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220"/>
          </w:cols>
          <w:pgMar w:left="320" w:top="34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 is approved in the U.S. for the treatment of adults with irritable bowel syndrome with constipation (IBS-C). Tenapanor, branded as XPHOZAH®, was approved by the U.S. Food and Drug Administration (FDA) on October 17, 2023, to reduce serum phosphorus in adults with chronic kidney disease (CKD) on dialysis as add-on therapy in patients who have an inadequate response to phosphate binders or who are intolerant of any dose of phosphate binder therapy.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business segment, which is the development and commercialization of biopharmaceutical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2022. The results for the three and nine months ended September 30, 2023 are not necessarily indicative of results to be expected for the entire year ending December 31, 2023, or for any other interim period or future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utilization of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2023, we had cash, cash equivalents and short-term investments of approximately $165.1 million. We have incurred operating losses since inception in 2007 and our accumulated deficit as of September 30, 2023 is $817.4 million. Since December 31, 2021 and prior to September 30, 2023, our liquidity position raised substantial doubt about our ability to continue as a going concern. We have addressed our operating cash flow requirements through cash generated from product sales of IBSRELA, proceeds from the sale of shares of our common stock under our at-the-market offering, and from the receipt of milestones payments from our collaboration partners and payments from our Japanese collaboration partner under the second amendment to our License Agreement, which were received in October 2023. We believe our available cash, cash equivalents and short-term investments as of September 30, 2023 will be sufficient to fund our operations for at least a period of one year from the issuance of these condensed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described in Note 2 to our audited financial statements for the fiscal year ended December 31, 2022, included in our Annual Report on Form 10-K. There have been no material changes in our significant accounting policies as previously disclosed in our Annual Report on Form 10-K for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2023, the Financial Accounting Standards Board (FASB) issued Accounting Standards Update (ASU) No. 2023-03, Presentation of Financial Statements (Topic 205), Income Statement - Reporting Comprehensive Income (Topic 220), Distinguishing Liabilities from Equity (Topic 480), Equity (Topic 505), and Compensation - Stock Compensation (Topic 718) Presentation of Financial Statements (ASU 2023-03). ASU 2023-03 amends the FASB Accounting Standards Codification to include Amendments to SEC Paragraphs pursuant to SEC Staff Accounting Bulletin No. 120, SEC Staff Announcement at the March 24, 2022 EITF Meeting, and SEC Staff Accounting Bulletin Topic 6.B, Accounting Series Release 280 - General Revision of Regulation S-X: Income or Loss Applicable to Common Stock. As the ASU does not provide any new guidance, there is no transition or effective date associated with its adoption. Accordingly, we adopted ASU 2023-03 immediately upon its issuance. The adoption of ASU 2023-03 did not have any impact on our condensed financial statement presentation or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various accounting standards and interpretations issued recently, none of which are expected to have a material impact on our financial position,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classified as cash, cash equivalents and short-term investments as of September 30, 2023 and December 31, 2022 are summarized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September 30, 2023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Gross Unrealized</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33,767</w:t>
            </w: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82,851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82,719</w:t>
            </w: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6,282</w:t>
            </w: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131,514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131,313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December 31, 2022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Gross Unrealized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11,827</w:t>
            </w:r>
          </w:p>
        </w:tc>
      </w:tr>
      <w:tr>
        <w:trPr>
          <w:trHeight w:val="22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84,313</w:t>
            </w:r>
          </w:p>
        </w:tc>
      </w:tr>
      <w:tr>
        <w:trPr>
          <w:trHeight w:val="223"/>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96,140</w:t>
            </w: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25,291</w:t>
            </w:r>
          </w:p>
        </w:tc>
      </w:tr>
      <w:tr>
        <w:trPr>
          <w:trHeight w:val="230"/>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9"/>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U.S. government-sponsored agency bonds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23"/>
        </w:trPr>
        <w:tc>
          <w:tcPr>
            <w:tcW w:w="5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123,909</w:t>
            </w:r>
          </w:p>
        </w:tc>
      </w:tr>
      <w:tr>
        <w:trPr>
          <w:trHeight w:val="21"/>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our condensed balance sheets. We use the specific identification method to determine the amount of realized gains or losses on sales of marketable securities. Realized gains or losses have been insignificant and are included in other income, net, in the statement of operations and comprehensive income (loss).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the short-term available-for sale securities held as of September 30, 2023 and December 31,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income (loss) to its fair value and establish that value as a new cost basis for the investment. Our unrealized losses as of September 30, 2023 and December 31, 2022 were not material. We determined that none of our available-for-sale securities were other-than-temporarily impaired as of September 30, 2023 and December 31, 2022, and no investment was in a continuous unrealized loss position for more than one year. As such, we believe that it is more likely than not that the investments will be held until maturity or a forecasted recovery of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93" w:lineRule="exact"/>
        <w:rPr>
          <w:sz w:val="20"/>
          <w:szCs w:val="20"/>
          <w:color w:val="auto"/>
        </w:rPr>
      </w:pPr>
    </w:p>
    <w:p>
      <w:pPr>
        <w:jc w:val="both"/>
        <w:ind w:left="1440" w:right="40" w:hanging="1092"/>
        <w:spacing w:after="0" w:line="235" w:lineRule="auto"/>
        <w:tabs>
          <w:tab w:leader="none" w:pos="14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are based on quoted prices in active markets for identical assets or liabilities and readily accessible by us at the reporting date.</w:t>
      </w:r>
    </w:p>
    <w:p>
      <w:pPr>
        <w:spacing w:after="0" w:line="67" w:lineRule="exact"/>
        <w:rPr>
          <w:sz w:val="20"/>
          <w:szCs w:val="20"/>
          <w:color w:val="auto"/>
        </w:rPr>
      </w:pPr>
    </w:p>
    <w:p>
      <w:pPr>
        <w:jc w:val="both"/>
        <w:ind w:left="1440" w:right="40" w:hanging="1092"/>
        <w:spacing w:after="0" w:line="224" w:lineRule="auto"/>
        <w:tabs>
          <w:tab w:leader="none" w:pos="14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September 30, 2023</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32,234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U.S. government-sponsored agency bonds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Derivative liabilities for exit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government-sponsored agency bonds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Derivative liability for exit fee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2018 Exit Fee and the 2022 Exit Fee, as defined and discussed in </w:t>
      </w:r>
      <w:r>
        <w:rPr>
          <w:rFonts w:ascii="Arial" w:cs="Arial" w:eastAsia="Arial" w:hAnsi="Arial"/>
          <w:sz w:val="17"/>
          <w:szCs w:val="17"/>
          <w:i w:val="1"/>
          <w:iCs w:val="1"/>
          <w:color w:val="auto"/>
        </w:rPr>
        <w:t>Note 9. Derivative Liabilities</w:t>
      </w:r>
      <w:r>
        <w:rPr>
          <w:rFonts w:ascii="Arial" w:cs="Arial" w:eastAsia="Arial" w:hAnsi="Arial"/>
          <w:sz w:val="17"/>
          <w:szCs w:val="17"/>
          <w:color w:val="auto"/>
        </w:rPr>
        <w:t>, are classified as Level 3.</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reflected in the condensed balance sheets for cash equivalents, short-term investments, accounts receivable, prepaid expenses and other current assets, accounts payable and accrued expenses approximate their fair values at both September 30, 2023 and December 31, 2022, due to their short-term nature.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principal amount outstanding under our term loan facilities is subject to a variable interest rate. Therefore, we believe the carrying amount of the term loan facility approximates fair value as of September 30, 2023 and December 31, 2022. See </w:t>
      </w:r>
      <w:r>
        <w:rPr>
          <w:rFonts w:ascii="Arial" w:cs="Arial" w:eastAsia="Arial" w:hAnsi="Arial"/>
          <w:sz w:val="18"/>
          <w:szCs w:val="18"/>
          <w:i w:val="1"/>
          <w:iCs w:val="1"/>
          <w:color w:val="auto"/>
        </w:rPr>
        <w:t>Note 8. Borrowing</w:t>
      </w:r>
      <w:r>
        <w:rPr>
          <w:rFonts w:ascii="Arial" w:cs="Arial" w:eastAsia="Arial" w:hAnsi="Arial"/>
          <w:sz w:val="18"/>
          <w:szCs w:val="18"/>
          <w:color w:val="auto"/>
        </w:rPr>
        <w:t xml:space="preserve"> for a description of the Level 2 inputs used to estimate the fair value of the liability.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carrying value of the deferred royalty obligation related to the sale of future royalties approximates its fair value as of September 30, 2023 and December 31, 2022 and is based on our current estimates of future royalties and commercialization milestones expected to be paid to us by Kyowa Kirin Co., Ltd. (Kyowa Kirin) over the life of the agreement. See </w:t>
      </w:r>
      <w:r>
        <w:rPr>
          <w:rFonts w:ascii="Arial" w:cs="Arial" w:eastAsia="Arial" w:hAnsi="Arial"/>
          <w:sz w:val="18"/>
          <w:szCs w:val="18"/>
          <w:i w:val="1"/>
          <w:iCs w:val="1"/>
          <w:color w:val="auto"/>
        </w:rPr>
        <w:t>Note 7. Deferred Royalty Obligation Related to the Sale of Future Royalties</w:t>
      </w:r>
      <w:r>
        <w:rPr>
          <w:rFonts w:ascii="Arial" w:cs="Arial" w:eastAsia="Arial" w:hAnsi="Arial"/>
          <w:sz w:val="18"/>
          <w:szCs w:val="18"/>
          <w:color w:val="auto"/>
        </w:rPr>
        <w:t xml:space="preserve"> for a description of the Level 3 inputs used to estimate the fair value of the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began capitalizing inventory during the fourth quarter of 2021, at which time our intent to commercialize IBSRELA was established and we commenced preparation for the commercial launch of IBSRELA. Inventory as of September 30, 2023 and December 31, 2022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22,299</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22,956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5,324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724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Reported as:</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non-current</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25,064</w:t>
            </w:r>
          </w:p>
        </w:tc>
      </w:tr>
      <w:tr>
        <w:trPr>
          <w:trHeight w:val="223"/>
        </w:trPr>
        <w:tc>
          <w:tcPr>
            <w:tcW w:w="724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w:t>
            </w: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Prepaid commercial manufacturing of $17.2 million and $13.6 million as of September 30, 2023 and December 31, 2022, respectively, consisted of prepayments to third party contract manufacturing organizations for work we expect to commence within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PRODUCT REVENUE, NET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received approval from the FDA in September 2019 to market IBSRELA in the U.S. We began selling IBSRELA in the U.S. in March 2022.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2023, we recorded net revenue for IBSRELA of $22.3 million and $51.9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we recorded net revenue for IBSRELA of $4.9 million and $6.9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following Customers who contributed greater than 10% of our gross product revenue during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as a percentage of total gross product revenue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3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31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Cardinal Health</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AmerisourceBergen Drug Corporation</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28.9 %</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BioRidge Pharma, LLC</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19.5 %</w:t>
            </w:r>
          </w:p>
        </w:tc>
        <w:tc>
          <w:tcPr>
            <w:tcW w:w="10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Discounts and</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Rebates,</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1"/>
              </w:rPr>
              <w:t>Copay and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Wholesaler and</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Chargebacks</w:t>
            </w:r>
          </w:p>
        </w:tc>
        <w:tc>
          <w:tcPr>
            <w:tcW w:w="12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GPO Fees</w:t>
            </w: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Returns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88"/>
              </w:rPr>
              <w:t>1,444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1,258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670"/>
              <w:spacing w:after="0"/>
              <w:rPr>
                <w:sz w:val="20"/>
                <w:szCs w:val="20"/>
                <w:color w:val="auto"/>
              </w:rPr>
            </w:pPr>
            <w:r>
              <w:rPr>
                <w:rFonts w:ascii="Arial" w:cs="Arial" w:eastAsia="Arial" w:hAnsi="Arial"/>
                <w:sz w:val="18"/>
                <w:szCs w:val="18"/>
                <w:color w:val="auto"/>
                <w:w w:val="88"/>
              </w:rPr>
              <w:t>9,512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88"/>
              </w:rPr>
              <w:t>7,839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1"/>
              </w:rPr>
              <w:t>(7,610)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4"/>
              </w:rPr>
              <w:t>(6,065)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8"/>
              </w:rPr>
              <w:t>3,346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3,032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(Kyowa Kirin)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w:t>
      </w:r>
      <w:r>
        <w:rPr>
          <w:rFonts w:ascii="Arial" w:cs="Arial" w:eastAsia="Arial" w:hAnsi="Arial"/>
          <w:sz w:val="17"/>
          <w:szCs w:val="17"/>
          <w:i w:val="1"/>
          <w:iCs w:val="1"/>
          <w:color w:val="auto"/>
        </w:rPr>
        <w:t>Deferred Revenue</w:t>
      </w:r>
      <w:r>
        <w:rPr>
          <w:rFonts w:ascii="Arial" w:cs="Arial" w:eastAsia="Arial" w:hAnsi="Arial"/>
          <w:sz w:val="17"/>
          <w:szCs w:val="17"/>
          <w:color w:val="auto"/>
        </w:rPr>
        <w:t xml:space="preserve"> we have received advanced payments from Kyowa Kirin for the manufacturing of tenapanor drug substance that will be used to satisfy Kyowa Kirin needs.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assessed these arrangements in accordance with Accounting Standards Update (ASU) No. 2014-09, Revenue from Contracts with Customers (Topic</w:t>
      </w:r>
    </w:p>
    <w:p>
      <w:pPr>
        <w:spacing w:after="0" w:line="46" w:lineRule="exact"/>
        <w:rPr>
          <w:sz w:val="20"/>
          <w:szCs w:val="20"/>
          <w:color w:val="auto"/>
        </w:rPr>
      </w:pPr>
    </w:p>
    <w:p>
      <w:pPr>
        <w:jc w:val="both"/>
        <w:ind w:firstLine="8"/>
        <w:spacing w:after="0" w:line="253" w:lineRule="auto"/>
        <w:tabs>
          <w:tab w:leader="none" w:pos="38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related amendments (ASC 606) and concluded that the contract counterparty, Kyowa Kirin, is a customer. Under the terms of the 2017 Kyowa Kirin Agreement, 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Under the terms of the 2017 Kyowa Kirin Agreement, Kyowa Kirin paid us an up-front license fee of $30.0 million. We may be entitled to receive up to $55.0 million in total development and regulatory milestones, of which $35.0 million has been recognized as revenue and $20.0 million has been received as of September 30, 2023. We may also be eligible to receive approximately ¥8.5 billion for commercialization milestones, or approximately $57.0 million at the currency exchange rate on September 30, 2023, as well as reimbursement of costs plus a reasonable overhead for the supply of product and royalties on net sales throughout the term of the agreement. As discussed in </w:t>
      </w:r>
      <w:r>
        <w:rPr>
          <w:rFonts w:ascii="Arial" w:cs="Arial" w:eastAsia="Arial" w:hAnsi="Arial"/>
          <w:sz w:val="17"/>
          <w:szCs w:val="17"/>
          <w:i w:val="1"/>
          <w:iCs w:val="1"/>
          <w:color w:val="auto"/>
        </w:rPr>
        <w:t>Note 7. Deferred Royalty Obligation Related to the Sale of Future Royalties</w:t>
      </w:r>
      <w:r>
        <w:rPr>
          <w:rFonts w:ascii="Arial" w:cs="Arial" w:eastAsia="Arial" w:hAnsi="Arial"/>
          <w:sz w:val="17"/>
          <w:szCs w:val="17"/>
          <w:color w:val="auto"/>
        </w:rPr>
        <w:t>, the future royalties and commercial milestone payments we may receive under the 2017 Kyowa Kirin Agreement will be remitted to HealthCare Royalty Partners IV, L.P. pursuant to a Royalty and Sales Milestone Interest Acquisition Agreement. The variable consideration related to the remaining milestone payments was fully constrained at September 30, 2023.</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April 2022, we entered into a second amendment to the 2017 Kyowa Kirin Agreement (2022 Amendment). Under the terms of the 2022 Amendment, we and Kyowa Kirin have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6"/>
          <w:szCs w:val="16"/>
          <w:i w:val="1"/>
          <w:iCs w:val="1"/>
          <w:color w:val="auto"/>
        </w:rPr>
        <w:t>Note 7. Deferred Royalty Obligation Related to the Sale of Future Royalties</w:t>
      </w:r>
      <w:r>
        <w:rPr>
          <w:rFonts w:ascii="Arial" w:cs="Arial" w:eastAsia="Arial" w:hAnsi="Arial"/>
          <w:sz w:val="16"/>
          <w:szCs w:val="16"/>
          <w:color w:val="auto"/>
        </w:rPr>
        <w:t>, the future commercial milestones and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payable in two tranches, with the first payment due following Kyowa Kirin's filing with the Japanese Ministry of Health, Labour and Welfare (MHLW) of its application for marketing approval for tenapanor and the second payment due following Kyowa Kirin’s receipt of regulatory approval to market tenapanor for hyperphosphatemia in Japan, both of which have occurred as of September 30, 2023.</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2022, we announced that Kyowa Kirin submitted a New Drug Application (NDA) to the Japanese MHLW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condensed statement of operations and comprehensive income (loss).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2023, we announced that Kyowa Kirin received approval from the Japanese MHLW for the NDA for tenapanor for the improvement of hyperphosphatemia in adult patients with CKD on dialysis, which results in payment to us from Kyowa Kirin for an aggregate of $30.0 million for milestone payments and payments under the 2022 Amendment. We received these payments in October 2023 and recorded them as licensing revenue on our condensed statement of operations and comprehensive income (loss) when earned during the three months ended September 30, 2023 and reported them as accounts receivable on our condensed balance sheet as of September 30, 2023.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we recognized no licensing revenue pursuant to the 2017 Kyowa Kirin Agreement.</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and nine months ended September 30, 2023, we recognized $2.1 million and $5.4 million, respectively, of product supply revenue pursuant to the 2017 Kyowa Kirin Agreement. During the three and nine months ended September 30, 2022, we recognized $83 thousand and $1.0 million, respectively, of product supply revenue pursuant to the 2017 Kyowa Kirin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entitled to receive development and commercialization milestones of up to $113.0 million, of which $5.0 million has been received and recognized as revenue as of September 30, 2023, as well as reimbursement of cost plus a reasonable overhead for the supply of product and tiered royalties on net sales ranging from the mid-teens to 20%. The variable consideration related to the remaining development milestone payments was fully constrained at September 30,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2023, we announced that an NDA for tenapanor had been accepted for review by China’s Center for Drug Evaluation of the National Medical Products Administration (NMPA) for the control of serum phosphorus in adult patients with CKD on hemodialysis. This acceptance triggered a $2.0 million milestone payment to us under the terms of the Fosun Agreement. We received this payment during the third quarter of 2023 and recorded it as licensing revenue on our condensed statement of operations and comprehensive income (loss) when earned during the three months ended September 30, 2023. In October 2023, we announced that the FDA had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we expect to receive during the fourth quarter of 2023. Also, in October 2023, we announced that Fosun Pharma received approval from the Hong Kong Department of Health for the marketing application for tenapanor for the treatment of irritable bowel syndrome with constipation (IBS-C).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2022, we did not recognize a material amount of revenue pursuant to the Fosun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Knight Agreement, we received a $2.3 million non-refundable, one-time upfront payment in March 2018 and may be eligible to receive additional development and commercialization milestone payments worth up to CAD 22.2 million, or approximately $16.4 million at the currency exchange rate on September 30, 2023, of which $0.7 million has been received and recognized as revenue as of September 30, 2023. We are also eligible to receive royalties ranging from the mid-single digits to the low twenties throughout the term of the agreement, and a transfer price for manufacturing services. The variable consideration related to the remaining development milestone payments was fully constrained at September 30, 2023.</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2023 and 2022, we did not recognize a material amount of revenue pursuant to the Knight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METiS Therapeutics Inc. (METiS)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2023, we entered into an exclusive, worldwide license agreement with METiS Therapeutics Inc., (METiS Agreement) for the development and commercialization of a portfolio of TGR5 agonist compounds that were discovered and developed by Ardelyx for all therapeutic areas. We assessed this arrangement in accordance with ASC 606 and concluded that the contract counterparty, METiS, is a customer. Based on our assessment, we determined that the license was the material performance obligation at the inception of the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METiS Agreement, we received a $0.8 million non-refundable, one-time upfront payment in April 2023 and may be eligible to receive additional development and commercialization milestone payments worth up to $243.0 million. We are also eligible to receive royalties ranging within the mid-single digits throughout the term of the agreement. The variable consideration related to the remaining development and commercialization milestone payments was fully constrained at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2023, we recognized $0.8 million of licensing revenue pursuant to the METiS Agreement.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September 30, 2023, to date in aggregate, we have recognized $23.9 million of the $75.0 million, which has been recorded as other cost of revenue on our condensed statements of operations and comprehensive income (loss), and have paid AstraZeneca $18.3 million. During the three and nine months ended September 30, 2023, we recognized $5.7 million and $8.7 million, respectively, as other cost of revenue related to the AstraZeneca Termination Agreement. During the three and nine months ended September 30, 2022 we recognized $0.5 million and $0.8 million, respectively, as other cost of revenue related to the AstraZeneca Termination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our current and non-current deferred revenue balances during the reporting period, which are all attributable to the 2017 Kyowa Kirin Agreement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84"/>
              </w:rPr>
              <w:t>2023</w:t>
            </w:r>
          </w:p>
        </w:tc>
        <w:tc>
          <w:tcPr>
            <w:tcW w:w="1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2022</w:t>
            </w:r>
          </w:p>
        </w:tc>
        <w:tc>
          <w:tcPr>
            <w:tcW w:w="1260" w:type="dxa"/>
            <w:vAlign w:val="bottom"/>
            <w:tcBorders>
              <w:bottom w:val="single" w:sz="8" w:color="auto"/>
            </w:tcBorders>
          </w:tcPr>
          <w:p>
            <w:pPr>
              <w:spacing w:after="0"/>
              <w:rPr>
                <w:sz w:val="20"/>
                <w:szCs w:val="20"/>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Non-Current</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Non-Current</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4,727</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Amounts invoiced as prepayments for product supply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4,530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7,794</w:t>
            </w: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for revenue recognized for product supply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4"/>
              </w:rPr>
              <w:t>Reclassify amounts to be recognized in the next twelve months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(3,961)</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10,290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8,560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DEFERRED ROYALTY OBLIGATION RELATED TO THE SALE OF FUTURE ROYALTIES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consideration for the sale of the Royalty Interest Payments, HCR paid to us a $10.0 million upfront payment, and we are eligible to receive a $5.0 million payment as a result of Kyowa Kirin's receipt of regulatory approval to market tenapanor for hyperphosphatemia in Japan, and another $5.0 million payment in the event net sales by Kyowa Kirin in Japan exceed a certain annual target level by the end of 2025.</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2023, we announced that Kyowa Kirin received approval from the Japanese MHLW for the New Drug Application for tenapanor for the improvement of hyperphosphatemia in adult patients with chronic kidney disease on dialysis, which entitles us to the first $5.0 million payment under the terms of the HCR Agreement. We received the payment in October 2023.</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under certain circumstances or we or our assets become subject to certain legal proceedings, such as bankruptcy proceedings, or we are unable to pay our debts as they become due.</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received the $10.0 million upfront payment from HCR during June 2022 and recorded it as a deferred royalty obligation related to the sale of future royalties (deferred royalty obligation) on our balance sheet. Due to our ongoing manufacturing obligations under the 2017 Kyowa Kirin Agreement, we account for the proceeds as imputed debt and therefore will recognize royalties earned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September 30, 2023, our effective interest rate used to amortize the liability is 23.9%. During the three and nine months ended September 30, 2023, we recognized approximately $0.9 million and $2.9 million, respectively, of non-cash interest expense related to the deferred royalty obligation. During each of the three and nine months ended September 30, 2022, we recognized approximately $0.8 million of non-cash interest expense related to the deferred royalty obligation. As of September 30, 2023, we have received no royalty payments from Kyowa Kirin and, therefore, the deferred royalty obligation has not begun to be reduced.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we entered into a loan and security agreement (as amended on October 9, 2020, March 1, 2021, May 5, 2021, and July 29, 2021) (2018 Loan Agreement) with Solar Capital Ltd. and Western Alliance Bank (collectively, the 2018 Lenders). The 2018 Loan Agreement provided for a loan facility for up to $50.0 million with a maturity date of November 1, 2022 (2018 Loan). As of the Closing Date for the 2022 Loan, as discussed below, we owed $25.0 million in principal payments from the 2018 Loan, which we repaid in full at that time.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9. Derivative Liability</w:t>
      </w:r>
      <w:r>
        <w:rPr>
          <w:rFonts w:ascii="Arial" w:cs="Arial" w:eastAsia="Arial" w:hAnsi="Arial"/>
          <w:sz w:val="18"/>
          <w:szCs w:val="18"/>
          <w:color w:val="auto"/>
        </w:rPr>
        <w:t>, in connection with entering into the 2018 Loan Agreement, we entered into an agreement pursuant to which we agreed to pay $1.5 million in cash upon the occurrence of certain conditions (2018 Exit Fee). Our obligations for the 2018 Exit Fee remained outstanding following the full repayment of the 2018 Loan in February 2022 until October 2023 when we received approval from the FDA for XPHOZAH to reduce serum phosphorus in adults with CKD on dialysis as add-on therapy in patients who have an inadequate response to phosphate binders or who are intolerant of any dose of phosphate binder therapy. This triggered our obligation to pay the 2018 Exit Fee to the 2018 Lenders and we subsequently paid the 2018 Exit Fee in October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Investment Corp. Loan Agreement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23, 2022 (Closing Date), we entered into a loan and security agreement (2022 Loan Agreement) with SLR Investment Corp. as collateral agent (Agent), and the lenders listed in the 2022 Loan Agreement (collectively, the 2022 Lenders). The 2022 Loan Agreement was subsequently amended in August 2022 (the First Amendment) and February 2023 (the Second Amendment). We concluded that the First Amendment and the Second Amendment were modifications to the 2022 Loan Agreement. The 2022 Loan Agreement as amended by the First Amendment and the Second Amendment provided for a senior secured loan facility, with $27.5 million (Term A Loan) funded on the Closing Date and an additional $22.5 million which we may borrow on or prior to December 20, 2023; provided that (i) we have received approval by the FDA for our NDA for XPHOZAH by November 30, 2023, and (ii) we have achieved certain product revenue milestone targets described in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2022 Loan Agreement (Term B Loan, and together with the Term A Loan, the 2022 Original Loans). The 2022 Term A Loan funds were used to repay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Loan with the 2018 Lenders.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17, 2023, we entered into a Third Amendment (the Third Amendment) to the 2022 Loan Agreement by and between us and the 2022 Lenders. The Third Amendment, among other things, (1) provides us with the option to draw an additional $50.0 million of committed capital by March 15, 2024 (the Term C Loan); and (2) provides us with the option to draw up to an additional $50.0 million of uncommitted capital by December 31, 2026, subject to approval by the Agent’s investment committee (the Term D Loan and together with the Term A, B, and C Loans, the Four 2022 Loans).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Third Amendment, the maturity date for the Four 2022 Loans is March 1, 2027. The interest rate for each of the Term A Loan and the Term B Loan is 7.95% plus a SOFR value equal to 0.022% plus the 1-month CME Term SOFR reference rate as published by the CME Term SOFR Administrator on the CME Term SOFR Administrator’s Website, subject to a SOFR floor of one percent. The interest rate for each of the Term C Loan and the Term D Loan is 4.25% plus a SOFR value equal to 0.022% plus the 1-month CME Term SOFR reference rate as published by the CME Term SOFR Administrator on the CME Term SOFR Administrator’s Website, subject to a SOFR floor of 4.7%.</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period under which we are permitted to make interest-only payments on the Four 2022 Loans was extended to December 31, 2026, effective upon our decision to draw the Term B Loan in the amount of $22.5 million. We provided the Agent with notice of our decision to draw the Term B Loan in October 2023 to support the commercial launch of XPHOZAH.</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were obligated to pay $0.2 million, upon the closing of the Term A Loan, and we were obligated to pay $0.1 million on the funding date of the Term B Loan. We are obligated to pay $0.3 million on the earliest of (1) the funding date of the Term C Loan, (2) March 15, 2024, and (3) the prepayment, refinancing, substitution or replacement of the Term B Loans on or prior to March 15, 2024. In addition, we will be obligated to pay 0.5% of the aggregate original principal amount of the Term D Loan commitment, if requested by us and approved by the Agent’s investment committee, which shall be due on the earliest of (1) the funding of the Term D Loan, (2) if we request and the 2022 Lenders provide the Term D Loan commitment, the day immediately preceding the amortization date, and (3) if we request and the 2022 Lenders provide the Term D Loan commitment, the prepayment, refinancing, substitution or replacement of the Term C Loan on or prior to the date immediately preceding the amortization date.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obligated to pay a final fee equal to 4.95% of the aggregate original principal amount of the Four 2022 Loans, to the extent such loans are funded, upon the earliest to occur of the maturity date, the acceleration of the Four 2022 Loans, and the prepayment, refinancing, substitution, or replacement of the Four 2022 Loans.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may voluntarily prepay all amounts outstanding under the Four 2022 Loans, subject to a prepayment premium of (i) 3% of the outstanding principal amount of the Four 2022 Loans if prepaid prior to or on October 17, 2024, (ii) 2% of the outstanding principal amount of the Four 2022 Loans if prepaid after October 17, 2024 through and including October 17, 2025, or (iii) 1% of the outstanding principal amount of the Four 2022 Loans if prepaid after October 17, 2025 and prior to the maturity date. The Four 2022 Loans are secured by substantially all of our assets, except for our intellectual property and certain other customary exclusions. Additionally, as discussed in </w:t>
      </w:r>
      <w:r>
        <w:rPr>
          <w:rFonts w:ascii="Arial" w:cs="Arial" w:eastAsia="Arial" w:hAnsi="Arial"/>
          <w:sz w:val="17"/>
          <w:szCs w:val="17"/>
          <w:i w:val="1"/>
          <w:iCs w:val="1"/>
          <w:color w:val="auto"/>
        </w:rPr>
        <w:t>Note 9. Derivative Liabilities</w:t>
      </w:r>
      <w:r>
        <w:rPr>
          <w:rFonts w:ascii="Arial" w:cs="Arial" w:eastAsia="Arial" w:hAnsi="Arial"/>
          <w:sz w:val="17"/>
          <w:szCs w:val="17"/>
          <w:color w:val="auto"/>
        </w:rPr>
        <w:t>, in connection with the 2022 Original Loans, we entered into an agreement whereby we agreed to pay an exit fee in the amount of 2% of the 2022 Loan funded (2022 Exit Fee). Notwithstanding the prepayment or termination of the 2022 Loan, the 2022 Exit Fee will expire 10 years from the Closing Date.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2022 Loan Agreement, as amended,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Four 2022 Term Loan balance for any period in which our net revenue from the sale of any products, calculated on a trailing six (6) month basis and tested monthly, is less than sixty percent (60%) of the outstanding Four 2022 Loan balance.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2022 Loan Agreement, as amended, contains customary events of default that entitle the Agent to cause our indebtedness under the 2022 Loan Agreement to become immediately due and payable, and to exercise remedies against us and the collateral securing the Four 2022 Term Loans,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Original Loan balance as a non-current liability as of September 30, 2023 due to principal repayments beginning in January 2027.</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September 30, 2023, our future payment obligations related to the Original 2022 Loan, excluding interest payments and the 2022 final fee,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28,861</w:t>
            </w:r>
          </w:p>
        </w:tc>
      </w:tr>
      <w:tr>
        <w:trPr>
          <w:trHeight w:val="229"/>
        </w:trPr>
        <w:tc>
          <w:tcPr>
            <w:tcW w:w="9780" w:type="dxa"/>
            <w:vAlign w:val="bottom"/>
          </w:tcPr>
          <w:p>
            <w:pPr>
              <w:ind w:left="140"/>
              <w:spacing w:after="0"/>
              <w:rPr>
                <w:sz w:val="20"/>
                <w:szCs w:val="20"/>
                <w:color w:val="auto"/>
              </w:rPr>
            </w:pPr>
            <w:r>
              <w:rPr>
                <w:rFonts w:ascii="Arial" w:cs="Arial" w:eastAsia="Arial" w:hAnsi="Arial"/>
                <w:sz w:val="18"/>
                <w:szCs w:val="18"/>
                <w:color w:val="auto"/>
              </w:rPr>
              <w:t>Less: Unamortized discount and debt issuance costs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Unaccreted value of final fee</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27,229</w:t>
            </w:r>
          </w:p>
        </w:tc>
      </w:tr>
      <w:tr>
        <w:trPr>
          <w:trHeight w:val="22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Exit Fee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2018, in connection with entering into the 2018 Loan Agreement, we entered into an agreement pursuant to which we agreed to pay $1.5 million in cash (2018 Exit Fee) upon any change of control transaction in respect of the Company or if we obtain both (i) FDA approval of XPHOZAH and (ii) FDA approval of IBSRELA, which was obtained on September 12, 2019 (2018 Exit Fee Agreement). Notwithstanding the February 2022 prepayment of the 2018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 and other current liabilities on the accompanying condensed balance sheets. As of September 30, 2023 and December 31, 2022, the estimated fair value of the 2018 Exit Fee was $1.5 million and $1.2 million, respectively.</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2023, we received approval from the FDA for XPHOZAH to reduce serum phosphorus in adults with chronic kidney disease (CKD) on dialysis as add-on therapy in patients who have an inadequate response to phosphate binders or who are intolerant of any dose of phosphate binder therapy. This triggered our obligation to pay the 2018 Exit Fee to the 2018 Lenders and we subsequently paid the 2018 Exit Fee in October 2023.</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instrument include: (i) our estimates of both the probability and timing of a potential $1.5 million payment to the 2018 Lenders as a result of the FDA approvals, and (ii) a discount rate which was derived from our estimated cost of debt, adjusted with current LIBOR. Generally, increases or decreases in the probability of occurrence would result in a directionally similar impact in the fair value measurement of the derivative instrument and it is estimated that a 10% increase (decrease), not to exceed 100%, in the probability of occurrence would result in a fair value fluctuation of no more than $0.1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Exit Fee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2022, in connection with entering into the 2022 Original Loans, we entered into an agreement, whereby we agreed to pay an exit fee in the amount of 2% of the 2022 Original Loan funded (2022 Exit Fee) upon (i) any change of control transaction or (ii) our achievement of net revenue from the sale of any products equal to or greater than $100.0 million, measured on a six (6) months basis (Revenue Milestone), tested monthly at the end of each month. The Term C and Term D Loans do not result in payment of an additional exit fee.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As of September 30, 2023 and December 31, 2022, the estimated fair value of the 2022 Exit Fee was $0.6 million and $0.4 million, respectively.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Exit Fee derivative liability include: (i) our estimates of both the probability and timing of achieving the Revenue Milestone and (ii) the probability and timing of funding the Term B Loan, which was dependent upon (a) approval by the FDA for our NDA for the control of serum phosphorus in adult patients with CKD on dialysis by November 30, 2023, and (b) achievement of certain product revenue milestone targets. Generally, increases or decreases in the probability of occurrence would result in a directionally similar impact in the fair value measurement of the derivative liability and it is estimated that a 10% increase (decrease) in the probability of occurrence would not result in a material fair value fluctuation.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Changes in the fair value of recurring measurements included in Level 3 of the fair value hierarchy are presented as other income, net in our condensed statements of operations and comprehensive income (loss) and were as follows for the nine months ended September 30, 2023 and 2022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2022 Exit Fee addition at fair value</w:t>
            </w:r>
          </w:p>
        </w:tc>
        <w:tc>
          <w:tcPr>
            <w:tcW w:w="1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estimated fair value:</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2018 Exit Fee</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 Exit Fee</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0"/>
        </w:trPr>
        <w:tc>
          <w:tcPr>
            <w:tcW w:w="6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our facility leases presented in our condensed balance sheets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jc w:val="right"/>
              <w:ind w:right="6010"/>
              <w:spacing w:after="0"/>
              <w:rPr>
                <w:sz w:val="20"/>
                <w:szCs w:val="20"/>
                <w:color w:val="auto"/>
              </w:rPr>
            </w:pPr>
            <w:r>
              <w:rPr>
                <w:rFonts w:ascii="Arial" w:cs="Arial" w:eastAsia="Arial" w:hAnsi="Arial"/>
                <w:sz w:val="18"/>
                <w:szCs w:val="18"/>
                <w:b w:val="1"/>
                <w:bCs w:val="1"/>
                <w:color w:val="auto"/>
                <w:w w:val="90"/>
              </w:rPr>
              <w:t>Facilities</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2022</w:t>
            </w:r>
          </w:p>
        </w:tc>
      </w:tr>
      <w:tr>
        <w:trPr>
          <w:trHeight w:val="223"/>
        </w:trPr>
        <w:tc>
          <w:tcPr>
            <w:tcW w:w="6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Right-of-use assets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9,295</w:t>
            </w:r>
          </w:p>
        </w:tc>
      </w:tr>
      <w:tr>
        <w:trPr>
          <w:trHeight w:val="257"/>
        </w:trPr>
        <w:tc>
          <w:tcPr>
            <w:tcW w:w="6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29"/>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3,894</w:t>
            </w:r>
          </w:p>
        </w:tc>
      </w:tr>
      <w:tr>
        <w:trPr>
          <w:trHeight w:val="230"/>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5,855</w:t>
            </w:r>
          </w:p>
        </w:tc>
      </w:tr>
      <w:tr>
        <w:trPr>
          <w:trHeight w:val="248"/>
        </w:trPr>
        <w:tc>
          <w:tcPr>
            <w:tcW w:w="6820" w:type="dxa"/>
            <w:vAlign w:val="bottom"/>
            <w:tcBorders>
              <w:bottom w:val="single" w:sz="8" w:color="CCEEFF"/>
            </w:tcBorders>
            <w:shd w:val="clear" w:color="auto" w:fill="CCEEFF"/>
          </w:tcPr>
          <w:p>
            <w:pPr>
              <w:jc w:val="right"/>
              <w:ind w:right="601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9,749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life (years)</w:t>
            </w:r>
          </w:p>
        </w:tc>
        <w:tc>
          <w:tcPr>
            <w:tcW w:w="56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640" w:type="dxa"/>
            <w:vAlign w:val="bottom"/>
          </w:tcPr>
          <w:p>
            <w:pPr>
              <w:jc w:val="right"/>
              <w:ind w:right="830"/>
              <w:spacing w:after="0"/>
              <w:rPr>
                <w:sz w:val="20"/>
                <w:szCs w:val="20"/>
                <w:color w:val="auto"/>
              </w:rPr>
            </w:pPr>
            <w:r>
              <w:rPr>
                <w:rFonts w:ascii="Arial" w:cs="Arial" w:eastAsia="Arial" w:hAnsi="Arial"/>
                <w:sz w:val="18"/>
                <w:szCs w:val="18"/>
                <w:color w:val="auto"/>
              </w:rPr>
              <w:t>6.8 %</w:t>
            </w:r>
          </w:p>
        </w:tc>
        <w:tc>
          <w:tcPr>
            <w:tcW w:w="13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850"/>
        </w:trPr>
        <w:tc>
          <w:tcPr>
            <w:tcW w:w="4240" w:type="dxa"/>
            <w:vAlign w:val="bottom"/>
          </w:tcPr>
          <w:p>
            <w:pPr>
              <w:spacing w:after="0"/>
              <w:rPr>
                <w:sz w:val="24"/>
                <w:szCs w:val="24"/>
                <w:color w:val="auto"/>
              </w:rPr>
            </w:pPr>
          </w:p>
        </w:tc>
        <w:tc>
          <w:tcPr>
            <w:tcW w:w="5640" w:type="dxa"/>
            <w:vAlign w:val="bottom"/>
          </w:tcPr>
          <w:p>
            <w:pPr>
              <w:jc w:val="right"/>
              <w:ind w:right="407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 costs, which are included in operating expenses in our condensed statements of operations and comprehensive income (loss),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8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Cash paid for operating lease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3,194</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undiscounted cash payment obligations for our operating lease liabilities as of September 30, 2023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 expenses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7,208</w:t>
            </w:r>
          </w:p>
        </w:tc>
      </w:tr>
      <w:tr>
        <w:trPr>
          <w:trHeight w:val="229"/>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operating lease liability</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r>
      <w:tr>
        <w:trPr>
          <w:trHeight w:val="223"/>
        </w:trPr>
        <w:tc>
          <w:tcPr>
            <w:tcW w:w="9600" w:type="dxa"/>
            <w:vAlign w:val="bottom"/>
          </w:tcPr>
          <w:p>
            <w:pPr>
              <w:ind w:left="360"/>
              <w:spacing w:after="0"/>
              <w:rPr>
                <w:sz w:val="20"/>
                <w:szCs w:val="20"/>
                <w:color w:val="auto"/>
              </w:rPr>
            </w:pPr>
            <w:r>
              <w:rPr>
                <w:rFonts w:ascii="Arial" w:cs="Arial" w:eastAsia="Arial" w:hAnsi="Arial"/>
                <w:sz w:val="18"/>
                <w:szCs w:val="18"/>
                <w:color w:val="auto"/>
              </w:rPr>
              <w:t>Operating lease liability, net of current portion</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r>
      <w:tr>
        <w:trPr>
          <w:trHeight w:val="21"/>
        </w:trPr>
        <w:tc>
          <w:tcPr>
            <w:tcW w:w="9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2023, we entered into a sub-lease Agreement (Sub-lease) with Chronus Health, Inc. (Chronus). The Sub-lease permits use by Chronus of a portion of the space in our facility in Fremont, California. We lease the facility from a different counterparty under a separate head lease that commenced in September 2008 and has been amended multiple times to add space and to extend the lease term through March 2025. We have sub-leased to Chronus approximately 21,644 square feet of the 72,500 square foot building's interior space, plus corresponding exterior support space and parking. The term of the Sub-lease expires on February 1, 2025.</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the Sub-lease, we recognized an impairment of long-lived assets totaling $0.4 million during the three months ended March 31, 2023, which consisted primarily of impairment to the Fremont facility right-of-use asset. The Sub-lease commenced in April 2023 and we recognized $0.2 million and $0.5 million of income from the Sub-lease during the three and nine months ended September 30, 2023,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2023, we entered into an amendment to the lease agreement (the Waltham lease) for our Waltham, Massachusetts facility to expand the leased premises to include an additional 4,247 square feet of office space. We recorded an additional $0.3 million right-of-use asset and lease liability for the Waltham lease upon commencement of the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Offerings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2021, we filed an additional prospectus supplement under a Registration Statement which was filed in July 2020 for the offering, issuance and sale by us of up to a maximum aggregate offering price of $150.0 million of our common stock that we were authorized to issue and sell, from time to time, under a sales agreement (2021 Open Market Sales Agreement) we entered into with Jefferies LLC (Jefferies) , pursuant to which we, from time to time, sold up to $150.0 million in shares of our common stock through Jefferies. Pursuant to the 2021 Open Market Sales Agreement, Jefferies, as our sales agent, received a commission of up to 3% of the gross sales price for shares of common stock sold under the 2021 Open Market Sales Agreement. As of March 2023, we had received the maximum gross proceeds of $150.0 million under the 2021 Open Market Sales Agreement, which included 15.5 million shares of our common stock for which we received gross proceeds of $51.9 million during the quarter ended March 31,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September 30, 2023, we completed sales pursuant to the 2023 Open Market Sales Agreement resulting in the issuance of 13.8 million shares of our common stock and receipt of gross proceeds of $58.4 million at a weighted average sales price of approximately $4.24 per share. During the nine months ended September 30, 2023, we completed sales pursuant to the 2023 Open Market Sales Agreement resulting in the issuance of 16.8 million shares of our common stock and receipt of gross proceeds of $70.0 million at a weighted average sales price of approximately $4.17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Stock-based compensation expense recognized for stock options, restricted stock units (RSUs), and our employee stock purchase program (ESPP) are recorded as operating expenses in our condensed statements of operations and comprehensive income (loss),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28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2023, our total unrecognized stock-based compensation expense, net of estimated forfeitures, and average remaining vesting period, included the following (dollars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Unrecognized</w:t>
            </w: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Compensation</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Expense</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Period (Years)</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grants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RSU grants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7,372</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our stock option activity and related information for the nine months ended September 30, 2023 is as follows (in thousands, except dollar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9"/>
              </w:rPr>
              <w:t>Exercise Price per</w:t>
            </w: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 of Shares</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Options forfeited or canceled</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334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2023</w:t>
            </w:r>
          </w:p>
        </w:tc>
        <w:tc>
          <w:tcPr>
            <w:tcW w:w="334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3340" w:type="dxa"/>
            <w:vAlign w:val="bottom"/>
            <w:vMerge w:val="restart"/>
          </w:tcPr>
          <w:p>
            <w:pPr>
              <w:jc w:val="right"/>
              <w:ind w:right="1570"/>
              <w:spacing w:after="0"/>
              <w:rPr>
                <w:sz w:val="20"/>
                <w:szCs w:val="20"/>
                <w:color w:val="auto"/>
              </w:rPr>
            </w:pPr>
            <w:r>
              <w:rPr>
                <w:rFonts w:ascii="Arial" w:cs="Arial" w:eastAsia="Arial" w:hAnsi="Arial"/>
                <w:sz w:val="18"/>
                <w:szCs w:val="18"/>
                <w:color w:val="auto"/>
              </w:rPr>
              <w:t>22</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RSUs activity and related information for the nine months ended September 30, 2023 is as follows (in thousands, except dollar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6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1"/>
              </w:rPr>
              <w:t>RSUs</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 Per Share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2022</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85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September 30, 2023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2023, we sold approximately 0.4 million shares of our common stock under the ESPP. The shares were purchased by employees at an average purchase price of $1.85 per share resulting in proceeds to us of approximately $0.8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Amended and Restated Non-Employee Director Compensation Program, members of our board of directors may elect to receive shares of our stock in lieu of their cash fees. During the nine months ended September 30, 2023, we issued 0.1 million shares of our common stock to members of the board of directors in accordance with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nine months ended September 30, 2023 and 2022, all potential common shares were determined to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(77,902)</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147,320</w:t>
            </w:r>
          </w:p>
        </w:tc>
      </w:tr>
      <w:tr>
        <w:trPr>
          <w:trHeight w:val="22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147,320</w:t>
            </w: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Net income (loss) per share of common stock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8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presented, the total numbers of securities that could potentially dilute net income per share in the future that were not considered in the diluted net loss per share calculations because the effect would have been anti-dilutive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Three Months Ended September 30,</w:t>
            </w:r>
          </w:p>
        </w:tc>
        <w:tc>
          <w:tcPr>
            <w:tcW w:w="2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13,410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3,145</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issuable</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23,790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16,724</w:t>
            </w:r>
          </w:p>
        </w:tc>
      </w:tr>
      <w:tr>
        <w:trPr>
          <w:trHeight w:val="21"/>
        </w:trPr>
        <w:tc>
          <w:tcPr>
            <w:tcW w:w="4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6"/>
          <w:szCs w:val="16"/>
          <w:i w:val="1"/>
          <w:iCs w:val="1"/>
          <w:color w:val="auto"/>
        </w:rPr>
        <w:t>Strezsak v. Ardelyx, Inc., et al.</w:t>
      </w:r>
      <w:r>
        <w:rPr>
          <w:rFonts w:ascii="Arial" w:cs="Arial" w:eastAsia="Arial" w:hAnsi="Arial"/>
          <w:sz w:val="16"/>
          <w:szCs w:val="16"/>
          <w:color w:val="auto"/>
        </w:rPr>
        <w:t xml:space="preserve">, Case No. 4:21-cv-05868-HSG, and Siegel </w:t>
      </w:r>
      <w:r>
        <w:rPr>
          <w:rFonts w:ascii="Arial" w:cs="Arial" w:eastAsia="Arial" w:hAnsi="Arial"/>
          <w:sz w:val="16"/>
          <w:szCs w:val="16"/>
          <w:i w:val="1"/>
          <w:iCs w:val="1"/>
          <w:color w:val="auto"/>
        </w:rPr>
        <w:t>v.</w:t>
      </w:r>
      <w:r>
        <w:rPr>
          <w:rFonts w:ascii="Arial" w:cs="Arial" w:eastAsia="Arial" w:hAnsi="Arial"/>
          <w:sz w:val="16"/>
          <w:szCs w:val="16"/>
          <w:color w:val="auto"/>
        </w:rPr>
        <w:t xml:space="preserve"> </w:t>
      </w:r>
      <w:r>
        <w:rPr>
          <w:rFonts w:ascii="Arial" w:cs="Arial" w:eastAsia="Arial" w:hAnsi="Arial"/>
          <w:sz w:val="16"/>
          <w:szCs w:val="16"/>
          <w:i w:val="1"/>
          <w:iCs w:val="1"/>
          <w:color w:val="auto"/>
        </w:rPr>
        <w:t>Ardelyx, Inc., et al.</w:t>
      </w:r>
      <w:r>
        <w:rPr>
          <w:rFonts w:ascii="Arial" w:cs="Arial" w:eastAsia="Arial" w:hAnsi="Arial"/>
          <w:sz w:val="16"/>
          <w:szCs w:val="16"/>
          <w:color w:val="auto"/>
        </w:rPr>
        <w:t>, Case No. 5:21-cv-06228-HSG (together, the Securities Class Actions). The complaints allege that the defendants violated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Defendants filed a motion to dismiss the amended complaint on June 2, 2023. On August 22, 2023, the court cancelled the hearing scheduled for September 14, 2023 on the motion to dismiss the amended complaint and indicated its decision to instead rule on the filed briefs. We believe the plaintiff’s claims are without merit and we have not recorded any accrual for a contingent liability associated with these legal proceedings.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2023, there is no litigation pending that would reasonably be expected to have a material adverse effect on our results of operations and financial condition, and no contingent liabilities were accrued as of September 30,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September 2023, we announced that Kyowa Kirin received approval from the Japanese MHLW for the NDA for tenapanor for the improvement of hyperphosphatemia in adult patients with CKD on dialysis, which results in payment to us from Kyowa Kirin for an aggregate of $30.0 million for milestone payments and payments under the 2022 Amendment and our right to receive an additional $5.0 million investment payment from HCR (See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7. Deferred Royalty Obligation Related to the Sale of Future Royalties)</w:t>
      </w:r>
      <w:r>
        <w:rPr>
          <w:rFonts w:ascii="Arial" w:cs="Arial" w:eastAsia="Arial" w:hAnsi="Arial"/>
          <w:sz w:val="17"/>
          <w:szCs w:val="17"/>
          <w:color w:val="auto"/>
        </w:rPr>
        <w:t>. We received these payments in October 2023.</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October 17, 2023, we announced that the FDA approved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to reduce serum phosphorus in adults with chronic kidney disease on dialysis as add-on therapy in patients who have an inadequate response to phosphate binders or who are intolerant of any dose of phosphate binder therapy. The FDA approval of XPHOZAH results in a number of financial implications that will be recognized in the fourth quarter of 2023 including payment of the 2018 Exit Fee, which was paid in October 2023 (see </w:t>
      </w:r>
      <w:r>
        <w:rPr>
          <w:rFonts w:ascii="Arial" w:cs="Arial" w:eastAsia="Arial" w:hAnsi="Arial"/>
          <w:sz w:val="18"/>
          <w:szCs w:val="18"/>
          <w:i w:val="1"/>
          <w:iCs w:val="1"/>
          <w:color w:val="auto"/>
        </w:rPr>
        <w:t>Note 8. Borrowing</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9. Derivative Liabilities</w:t>
      </w:r>
      <w:r>
        <w:rPr>
          <w:rFonts w:ascii="Arial" w:cs="Arial" w:eastAsia="Arial" w:hAnsi="Arial"/>
          <w:sz w:val="18"/>
          <w:szCs w:val="18"/>
          <w:color w:val="auto"/>
        </w:rPr>
        <w:t xml:space="preserve">), the achievement of a $3.0 million development milestone from Fosun Pharma (See </w:t>
      </w:r>
      <w:r>
        <w:rPr>
          <w:rFonts w:ascii="Arial" w:cs="Arial" w:eastAsia="Arial" w:hAnsi="Arial"/>
          <w:sz w:val="18"/>
          <w:szCs w:val="18"/>
          <w:i w:val="1"/>
          <w:iCs w:val="1"/>
          <w:color w:val="auto"/>
        </w:rPr>
        <w:t>Note 6. Collaboration and Licensing Agreements</w:t>
      </w:r>
      <w:r>
        <w:rPr>
          <w:rFonts w:ascii="Arial" w:cs="Arial" w:eastAsia="Arial" w:hAnsi="Arial"/>
          <w:sz w:val="18"/>
          <w:szCs w:val="18"/>
          <w:color w:val="auto"/>
        </w:rPr>
        <w:t xml:space="preserve">), and our ability to draw the Term B Loan from SLR (See </w:t>
      </w:r>
      <w:r>
        <w:rPr>
          <w:rFonts w:ascii="Arial" w:cs="Arial" w:eastAsia="Arial" w:hAnsi="Arial"/>
          <w:sz w:val="18"/>
          <w:szCs w:val="18"/>
          <w:i w:val="1"/>
          <w:iCs w:val="1"/>
          <w:color w:val="auto"/>
        </w:rPr>
        <w:t>Note 8. Borrowing</w:t>
      </w:r>
      <w:r>
        <w:rPr>
          <w:rFonts w:ascii="Arial" w:cs="Arial" w:eastAsia="Arial" w:hAnsi="Arial"/>
          <w:sz w:val="18"/>
          <w:szCs w:val="18"/>
          <w:color w:val="auto"/>
        </w:rPr>
        <w: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Also on October 17, 2023, we entered into a Third Amendment (the Third Amendment) to the 2022 Loan Agreement by and between us and the 2022 Lenders. The Third Amendment, among other things, (1) provides us with the option to draw an additional $50.0 million of committed capital by March 15, 2024 (the Term C Loan); (2) provides us with the option to draw up to an additional $50.0 million of uncommitted capital, subject to approval by the Agent's investment committee (the Term D Loan); and (3) extends the interest-only period for the Four Loans to December 31, 2026, effective upon our decision to draw the Term B Loan in the amount of $22.5 million. We provided the Agent with notice of our decision to draw the Term B Loan in October 2023 to support the commercial launch of XPHOZAH (See </w:t>
      </w:r>
      <w:r>
        <w:rPr>
          <w:rFonts w:ascii="Arial" w:cs="Arial" w:eastAsia="Arial" w:hAnsi="Arial"/>
          <w:sz w:val="17"/>
          <w:szCs w:val="17"/>
          <w:i w:val="1"/>
          <w:iCs w:val="1"/>
          <w:color w:val="auto"/>
        </w:rPr>
        <w:t>Note 8. Borrowing</w:t>
      </w:r>
      <w:r>
        <w:rPr>
          <w:rFonts w:ascii="Arial" w:cs="Arial" w:eastAsia="Arial" w:hAnsi="Arial"/>
          <w:sz w:val="17"/>
          <w:szCs w:val="17"/>
          <w:color w:val="auto"/>
        </w:rPr>
        <w:t xml:space="preserve"> for additional information related to borrowing).</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2022.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 is approved in the U.S. for the treatment of adults with irritable bowel syndrome with constipation (IBS-C). Tenapanor, branded as XPHOZAH®, was approved by the U.S. Food and Drug Administration (FDA) on October 17, 2023, to reduce serum phosphorus in adults with chronic kidney disease (CKD) on dialysis as add-on therapy in patients who have an inadequate response to phosphate binders or who are intolerant of any dose of phosphate binder therapy.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 (tenapanor) in March 2022. As of September 30, 2023, we had an accumulated deficit of $817.4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continue to incur substantial operating losses for the foreseeable future as we invest in the commercialization of IBSRELA and XPHOZAH (tenapanor);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funds from our loan agreements with our lenders, as well as from sales of IBSRELA.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unique discovery platform and deep understanding of the primary mechanism of sodium transport in the intestine resulted in our discovery and development of IBSRELA, a first-in-class, FDA approved, sodium hydrogen exchange 3 (NHE3) inhibitor for the treatment of IBS-C in adults. IBSRELA acts locally in the gut and is minimally absorbed. IBS-C is a gastrointestinal (GI) disorder characterized by both abdominal pain and altered bowel movements, and depending on the diagnostic criteria employed, is estimated to affect up to 13 million people in the U.S. IBS-C is associated with significantly impaired quality of life, reduced productivity, and substantial economic burden.</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that account for 50% of IBS-C prescriptions. Central to our go to market strategy for IBSRELA has been our highly experienced specialty sales force, many with existing relationships across their GI target base, full company engagement, and innovative peer-to-peer and digital initiatives.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competition for IBSRELA will come largely from the three prescription products indicated for IBS-C: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 In October 2023, we announced that Fosun Pharma received approval from the Hong Kong Department of Health for the marketing application for tenapanor for the treatment of irritable bowel syndrome with constipation (IBS-C).</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XPHOZAH to Reduce Serum Phosphorus in Adults with CKD on dialysis as Add-on Therapy in Patients who have an Inadequate Response to Phosphate Binders or who are Intolerant of any Dose of Phosphate Binder Therapy</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17, 2023, XPHOZAH (tenapanor) is a first-in-class medicine received approval from the FDA to market XPHOZAH in the U.S. to reduce serum phosphorus in adults with chronic kidney disease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eighty percent of those patients are being treated with phosphate lowering therapies. Seventy-seven percent of patients treated with phosphate binders to treat hyperphosphatemia were unable to consistently maintain phosphorous levels &lt;=5.5 mg/dL over a six-month period. XPHOZAH is the first therapy for phosphate management that blocks phosphate absorption at the primary site of uptake. We currently expect XPHOZAH to be available to patients in November 2023.</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established commercial agreements with Kyowa Kirin, Co. Ltd. (Kyowa Kirin) in Japan, Fosun Pharma in China and Knight in Canada for tenapanor for hyperphosphatemia. In July 2023, we announced that an NDA for tenapanor had been accepted for review by China’s Center for Drug Evaluation of the National Medical Products Administration (NMPA) for the control of serum phosphorus in adult patients with CKD on hemodialysis. In September 2023, we announced that Kyowa Kirin received approval from the Japanese Ministry of Health, Labour and Welfare (MHLW) for the new drug application (NDA) for tenapanor for the improvement of hyperphosphatemia in adult patients with CKD on dialysis.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and Developmental Assets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discovery program targeting the inhibition of the chloride bicarbonate exchanger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currently expect to meaningfully advance either of these two assets until such time as we have determined our available resources can support additional activities after prioritization of the commercialization of IBSRELA and XPHOZAH.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in Japan, Fosun Pharma in China and Knight in Canada for the development and commercialization of tenapanor for certain indications in their respective territories.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 $2.3 million non-refundable, one-time payment in March 2018. We may also be eligible to receive approximately CAD 22.2 million for development and commercialization milestones, or approximately $16.4 million at the currency exchange rate on September 30, 2023, of which $0.7 million has been received and recognized as revenue as of September 30, 2023.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September 30, 2023.</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 $55.0 million in total development and regulatory milestones, of which $35.0 million has been recognized as revenue and $20.0 million has been received as of September 30, 2023. We may also be eligible to receive approximately ¥8.5 billion for commercialization milestones, or approximately $57.0 million at the currency exchange rate on September 30, 2023, as well as reimbursement of costs plus a reasonable overhead for the supply of product and royalties on net sales throughout the term of the agreement. As discussed in </w:t>
      </w:r>
      <w:r>
        <w:rPr>
          <w:rFonts w:ascii="Arial" w:cs="Arial" w:eastAsia="Arial" w:hAnsi="Arial"/>
          <w:sz w:val="18"/>
          <w:szCs w:val="18"/>
          <w:i w:val="1"/>
          <w:iCs w:val="1"/>
          <w:color w:val="auto"/>
        </w:rPr>
        <w:t>Note 7. Deferred Royalty Obligation Related to the Sale of Future Royalties</w:t>
      </w:r>
      <w:r>
        <w:rPr>
          <w:rFonts w:ascii="Arial" w:cs="Arial" w:eastAsia="Arial" w:hAnsi="Arial"/>
          <w:sz w:val="18"/>
          <w:szCs w:val="18"/>
          <w:color w:val="auto"/>
        </w:rPr>
        <w:t>, the future royalties and commercial milestone payments we may receive under the 2017 Kyowa Kirin Agreement will be remitted to HealthCare Royalty Partners IV, L.P. pursuant to a Royalty and Sales Milestone Interest Acquisition Agreement.</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April 11, 2022, we entered into a second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7"/>
          <w:szCs w:val="17"/>
          <w:i w:val="1"/>
          <w:iCs w:val="1"/>
          <w:color w:val="auto"/>
        </w:rPr>
        <w:t>Note 7. Deferred Royalty Obligation Related to the Sale of Future Royalties</w:t>
      </w:r>
      <w:r>
        <w:rPr>
          <w:rFonts w:ascii="Arial" w:cs="Arial" w:eastAsia="Arial" w:hAnsi="Arial"/>
          <w:sz w:val="17"/>
          <w:szCs w:val="17"/>
          <w:color w:val="auto"/>
        </w:rPr>
        <w:t>, the future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payable in two tranches, with the first payment received in the fourth quarter of 2022 following Kyowa Kirin’s October 2022 filing with the Japanese MHLW of its application for marketing approval for tenapanor and the second payment due following Kyowa Kirin’s receipt of regulatory approval to market tenapanor for hyperphosphatemia in Japan.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2022, we announced that Kyowa Kirin submitted an NDA to the Japanese MHLW for tenapanor for the improvement of hyperphosphatemia in adult patients with CKD on dialysis, which resulted in payment to us from Kyowa Kirin for an aggregate of $35.0 million for milestone payments and payments under the 2022 Amendment.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2023, we announced that Kyowa Kirin received approval from the Japanese MHLW for the NDA for tenapanor for the improvement of hyperphosphatemia in adult patients with chronic kidney disease on dialysis, which results in payment to us from Kyowa Kirin for an aggregate of $30.0 million for milestone payments and payments under the 2022 Amendment.</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2017, we entered into an exclusive license agreement with Fosun Pharma (Fosun Agreement) for the development and commercialization of tenapanor in China for both hyperphosphatemia and IBS-C. Under the terms of the Fosun Agreement, Fosun paid us a $12.0 million upfront license fee. In July 2023, we announced that an NDA for tenapanor had been accepted for review by China’s Center for Drug Evaluation of the NMPA for the control of serum phosphorus in adult patients with chronic kidney disease on hemodialysis. This acceptance triggered a $2.0 million milestone payment to us under the terms of the Fosun Agreement, which we received in the third quarter of 2023. We may be entitled to receive development and commercialization milestones of up to $113.0 million, of which $5.0 million has been received and recognized as revenue as of September 30, 2023, as well as reimbursement of cost plus a reasonable overhead for the supply of product and tiered royalties on net sales ranging from the mid-teens to 20%.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2023, we announced that the FDA has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we expect to receive during the fourth quarter of 2023. Also, in October 2023, we announced that Fosun Pharma received approval from the Hong Kong Department of Health for the marketing application for tenapanor for the treatment of irritable bowel syndrome with constipation (IBS-C).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critical accounting policies that we believe impact significant judgments and estimates used in the preparation of our condensed financial statements presented in this report are described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Annual Report on Form 10-K filed with the SEC on March 2, 2023.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2023, we did not adopt any new critical accounting policies and significant judgements and estimates.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 summary of recent accounting pronouncements that we have adopted or may expect to adopt is included in </w:t>
      </w:r>
      <w:r>
        <w:rPr>
          <w:rFonts w:ascii="Arial" w:cs="Arial" w:eastAsia="Arial" w:hAnsi="Arial"/>
          <w:sz w:val="16"/>
          <w:szCs w:val="16"/>
          <w:i w:val="1"/>
          <w:iCs w:val="1"/>
          <w:color w:val="auto"/>
        </w:rPr>
        <w:t>Note 1 – Organization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w:t>
      </w:r>
      <w:r>
        <w:rPr>
          <w:rFonts w:ascii="Arial" w:cs="Arial" w:eastAsia="Arial" w:hAnsi="Arial"/>
          <w:sz w:val="16"/>
          <w:szCs w:val="16"/>
          <w:color w:val="auto"/>
        </w:rPr>
        <w:t>to our condensed financial statements (see Part I, Item 1</w:t>
      </w:r>
      <w:r>
        <w:rPr>
          <w:rFonts w:ascii="Arial" w:cs="Arial" w:eastAsia="Arial" w:hAnsi="Arial"/>
          <w:sz w:val="16"/>
          <w:szCs w:val="16"/>
          <w:i w:val="1"/>
          <w:iCs w:val="1"/>
          <w:color w:val="auto"/>
        </w:rPr>
        <w:t xml:space="preserve"> Notes to Condensed Financial Statements</w:t>
      </w:r>
      <w:r>
        <w:rPr>
          <w:rFonts w:ascii="Arial" w:cs="Arial" w:eastAsia="Arial" w:hAnsi="Arial"/>
          <w:sz w:val="16"/>
          <w:szCs w:val="16"/>
          <w:color w:val="auto"/>
        </w:rPr>
        <w:t>, of this Quarterly Report on Form 10-Q).</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realized our first commercial product sales of IBSRELA beginning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our ability to obtain and sustain an adequate level of coverage and reimbursement for IBSRELA by third-party payors; whether and the extent to which we are successful in our commercialization of XPHOZAH; whether or when XPHOZAH, along with other oral ESRD-related drugs without an injectable or intravenous equivalent, are bundled into the end stage renal disease (ESRD) prospective payment system, and the manner in which such introduction into the ESRD prospective payment system may occur, including the length of any applicable Transitional Drug Add-on Payment Adjustment (TDAPA) period, the amount of the add-on payment available during the TDAPA period and whether, and the extent to which, the ESRD PPS base rate is adjusted following any applicable TDAPA period; the timing and progress of goods and services provided pursuant to our current or future collaborative partnerships; or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sales consists of the cost of commercial goods sold to our Customers. Other cost of revenue consists of the cost of materials sold to our international partners under product supply agreements, as well as payments due to AstraZeneca AB (AstraZeneca)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and nine months ended September 30, 2023 were expensed prior to the fourth quarter of 2021, at which time our intent to commercialize IBSRELA was established and we commenced preparation for the commercial launch of IBSRELA. We believe our cost of goods sold for the three and nine months ended September 30, 2023 would have been $1.0 million and $3.4 million higher, respectively, if we had not previously expensed certain material and production costs with respect to the units sold. We believe our cost of goods sold for the three and nine months ended September 30, 2022 would have been $0.2 million and $1.2 million higher, respectively, if we had not previously expensed certain material and production costs with respect to the units sold. As of September 30, 2023 and December 31, 2022, we had approximately $25.0 million and $28.0 million, respectively, of inventory on hand that was previously expensed as research and development expense and will not be reported as cost of goods sold in future periods when sales of IBSRELA are recognized as revenue.</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Other cost of revenue includes payments due to AstraZeneca, which under the terms of a termination agreement entered into in 2015 (AstraZeneca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$23.9 million as other cost of revenue under the AstraZeneca Termination Agreement. See details in </w:t>
      </w:r>
      <w:r>
        <w:rPr>
          <w:rFonts w:ascii="Arial" w:cs="Arial" w:eastAsia="Arial" w:hAnsi="Arial"/>
          <w:sz w:val="17"/>
          <w:szCs w:val="17"/>
          <w:i w:val="1"/>
          <w:iCs w:val="1"/>
          <w:color w:val="auto"/>
        </w:rPr>
        <w:t>Note 6, Collaboration and Licensing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under AstraZeneca, in the notes to our financial statement of this Quarterly Report on Form 10-Q.</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October 2021 restructuring plan, we eliminated our internal research organization and we do not currently expect to meaningfully advance our efforts with respect to our discovery and developmental assets until such time as we have determined our available resources can support additional activities after prioritization of the commercialization of IBSRELA and XPHOZAH. 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8"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producing XPHOZAH prior to FDA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producing discovery and developmental assets prior to FDA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related to the sale of future royalties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Arial" w:cs="Arial" w:eastAsia="Arial" w:hAnsi="Arial"/>
          <w:sz w:val="17"/>
          <w:szCs w:val="17"/>
          <w:i w:val="1"/>
          <w:iCs w:val="1"/>
          <w:color w:val="auto"/>
        </w:rPr>
        <w:t>Note 7. Deferred Royalty Obligation Related to the Sale of Future Royalties</w:t>
      </w:r>
      <w:r>
        <w:rPr>
          <w:rFonts w:ascii="Arial" w:cs="Arial" w:eastAsia="Arial" w:hAnsi="Arial"/>
          <w:sz w:val="17"/>
          <w:szCs w:val="17"/>
          <w:color w:val="auto"/>
        </w:rPr>
        <w:t>, in June 2022, we and HealthCare Royalty Partners IV, L.P. (HCR) entered into a Royalty and Sales Milestone Interest Acquisition Agreement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received a $10.0 million upfront payment from HCR in June 2022 and recorded it as a deferred royalty obligation on our balance sheet. Non-cash interest expense will be recognized over the life of the HCR Agreement using the effective interest method based on the imputed interest rate derived from estimated amounts and timing of future royalty payments to be received from Kyowa Kirin.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gains on sales of property and equipment, and currency exchange gains and losses.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results of operations as of September 30, 2023 are not necessarily indicative of the results to be expected for the year ending December 31, 2023, for any other interim period, or for any other future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17"/>
                <w:szCs w:val="17"/>
                <w:color w:val="auto"/>
              </w:rPr>
            </w:pPr>
          </w:p>
        </w:tc>
        <w:tc>
          <w:tcPr>
            <w:tcW w:w="19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Change</w:t>
            </w:r>
          </w:p>
        </w:tc>
      </w:tr>
      <w:tr>
        <w:trPr>
          <w:trHeight w:val="239"/>
        </w:trPr>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2023 vs. 2022</w:t>
            </w:r>
          </w:p>
        </w:tc>
        <w:tc>
          <w:tcPr>
            <w:tcW w:w="22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9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2023 vs. 2022</w:t>
            </w:r>
          </w:p>
        </w:tc>
      </w:tr>
      <w:tr>
        <w:trPr>
          <w:trHeight w:val="227"/>
        </w:trPr>
        <w:tc>
          <w:tcPr>
            <w:tcW w:w="2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45,050</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653 %</w:t>
            </w: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2174 %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406 %</w:t>
            </w: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32,005</w:t>
            </w:r>
          </w:p>
        </w:tc>
        <w:tc>
          <w:tcPr>
            <w:tcW w:w="6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355,611 %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142,465 %</w:t>
            </w:r>
          </w:p>
        </w:tc>
      </w:tr>
      <w:tr>
        <w:trPr>
          <w:trHeight w:val="223"/>
        </w:trPr>
        <w:tc>
          <w:tcPr>
            <w:tcW w:w="20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56,391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51,405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1,031 %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90,093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82,113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1,029 %</w:t>
            </w:r>
          </w:p>
        </w:tc>
      </w:tr>
      <w:tr>
        <w:trPr>
          <w:trHeight w:val="20"/>
        </w:trPr>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product sales, net during the three and nine months ended September 30, 2023 as compared to the same periods in 2022 is attributable to increased net product sales for IBSRELA.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product supply revenue during the three and nine months ended September 30, 2023 as compared to the same periods in 2022 is attributable to increased product supply revenue to Kyowa Kirin.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licensing revenue during the three and nine months ended September 30, 2023 as compared to the same periods in 2022 is attributable to earning an aggregate of $30.0 million for milestones under the 2017 Kyowa Kirin Agreement and payments under the 2022 Kyowa Kirin Amendment upon approval from the Japanese MHLW for the NDA for tenapanor for the improvement of hyperphosphatemia in adult patients with CKD on dialysis. We also earned a $2.0 million milestone under the terms of the Fosun Agreement upon acceptance of the NDA for tenapanor by China’s Center for Drug Evaluation of the NMPA for the control of serum phosphorus in adult patients with CKD on hemodialysis.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cost of goods sold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940" w:type="dxa"/>
            <w:vAlign w:val="bottom"/>
            <w:gridSpan w:val="3"/>
          </w:tcPr>
          <w:p>
            <w:pPr>
              <w:ind w:left="340"/>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18"/>
                <w:szCs w:val="18"/>
                <w:color w:val="auto"/>
              </w:rPr>
            </w:pPr>
          </w:p>
        </w:tc>
      </w:tr>
      <w:tr>
        <w:trPr>
          <w:trHeight w:val="239"/>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680" w:type="dxa"/>
            <w:vAlign w:val="bottom"/>
            <w:gridSpan w:val="5"/>
          </w:tcPr>
          <w:p>
            <w:pPr>
              <w:ind w:left="160"/>
              <w:spacing w:after="0"/>
              <w:rPr>
                <w:sz w:val="20"/>
                <w:szCs w:val="20"/>
                <w:color w:val="auto"/>
              </w:rPr>
            </w:pPr>
            <w:r>
              <w:rPr>
                <w:rFonts w:ascii="Arial" w:cs="Arial" w:eastAsia="Arial" w:hAnsi="Arial"/>
                <w:sz w:val="18"/>
                <w:szCs w:val="18"/>
                <w:b w:val="1"/>
                <w:bCs w:val="1"/>
                <w:color w:val="auto"/>
              </w:rPr>
              <w:t>2023 vs. 2022</w:t>
            </w:r>
          </w:p>
        </w:tc>
        <w:tc>
          <w:tcPr>
            <w:tcW w:w="18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6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2023 vs. 2022</w:t>
            </w:r>
          </w:p>
        </w:tc>
      </w:tr>
      <w:tr>
        <w:trPr>
          <w:trHeight w:val="227"/>
        </w:trPr>
        <w:tc>
          <w:tcPr>
            <w:tcW w:w="30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 of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0"/>
              </w:rPr>
              <w:t>1,304 %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0"/>
              </w:rPr>
              <w:t>1,578 %</w:t>
            </w: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goods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1,232 %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to cost of sales for the three and nine months ended September 30, 2023 as compared to the same periods in 2022 is attributable to cost of goods sold for increased net product sales of IBSRELA. The increase to other cost of revenue for the three and nine months ended September 30, 2023 as compared to the same periods in 2022 is primarily attributable to payments due to AstraZeneca under the AstraZeneca Termination Agreement as well as cost of goods sold for product supply sold to our international partners.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240" w:type="dxa"/>
            <w:vAlign w:val="bottom"/>
            <w:gridSpan w:val="7"/>
          </w:tcPr>
          <w:p>
            <w:pPr>
              <w:spacing w:after="0"/>
              <w:rPr>
                <w:sz w:val="20"/>
                <w:szCs w:val="20"/>
                <w:color w:val="auto"/>
              </w:rPr>
            </w:pPr>
            <w:r>
              <w:rPr>
                <w:rFonts w:ascii="Arial" w:cs="Arial" w:eastAsia="Arial" w:hAnsi="Arial"/>
                <w:sz w:val="18"/>
                <w:szCs w:val="18"/>
                <w:color w:val="auto"/>
                <w:w w:val="93"/>
              </w:rPr>
              <w:t>Below is a summary of our operating expenses (dollars in thousands):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8"/>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1040" w:type="dxa"/>
            <w:vAlign w:val="bottom"/>
            <w:gridSpan w:val="3"/>
          </w:tcPr>
          <w:p>
            <w:pPr>
              <w:ind w:left="360"/>
              <w:spacing w:after="0"/>
              <w:rPr>
                <w:sz w:val="20"/>
                <w:szCs w:val="20"/>
                <w:color w:val="auto"/>
              </w:rPr>
            </w:pPr>
            <w:r>
              <w:rPr>
                <w:rFonts w:ascii="Arial" w:cs="Arial" w:eastAsia="Arial" w:hAnsi="Arial"/>
                <w:sz w:val="18"/>
                <w:szCs w:val="18"/>
                <w:b w:val="1"/>
                <w:bCs w:val="1"/>
                <w:color w:val="auto"/>
                <w:w w:val="99"/>
              </w:rPr>
              <w:t>Change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24"/>
                <w:szCs w:val="24"/>
                <w:color w:val="auto"/>
              </w:rPr>
            </w:pPr>
          </w:p>
        </w:tc>
        <w:tc>
          <w:tcPr>
            <w:tcW w:w="10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7"/>
              </w:rPr>
              <w:t>Change</w:t>
            </w:r>
          </w:p>
        </w:tc>
        <w:tc>
          <w:tcPr>
            <w:tcW w:w="580" w:type="dxa"/>
            <w:vAlign w:val="bottom"/>
          </w:tcPr>
          <w:p>
            <w:pPr>
              <w:spacing w:after="0"/>
              <w:rPr>
                <w:sz w:val="24"/>
                <w:szCs w:val="24"/>
                <w:color w:val="auto"/>
              </w:rPr>
            </w:pPr>
          </w:p>
        </w:tc>
      </w:tr>
      <w:tr>
        <w:trPr>
          <w:trHeight w:val="239"/>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700" w:type="dxa"/>
            <w:vAlign w:val="bottom"/>
            <w:gridSpan w:val="5"/>
          </w:tcPr>
          <w:p>
            <w:pPr>
              <w:ind w:left="180"/>
              <w:spacing w:after="0"/>
              <w:rPr>
                <w:sz w:val="20"/>
                <w:szCs w:val="20"/>
                <w:color w:val="auto"/>
              </w:rPr>
            </w:pPr>
            <w:r>
              <w:rPr>
                <w:rFonts w:ascii="Arial" w:cs="Arial" w:eastAsia="Arial" w:hAnsi="Arial"/>
                <w:sz w:val="18"/>
                <w:szCs w:val="18"/>
                <w:b w:val="1"/>
                <w:bCs w:val="1"/>
                <w:color w:val="auto"/>
              </w:rPr>
              <w:t>2023 vs. 2022</w:t>
            </w:r>
          </w:p>
        </w:tc>
        <w:tc>
          <w:tcPr>
            <w:tcW w:w="200" w:type="dxa"/>
            <w:vAlign w:val="bottom"/>
          </w:tcPr>
          <w:p>
            <w:pPr>
              <w:spacing w:after="0"/>
              <w:rPr>
                <w:sz w:val="20"/>
                <w:szCs w:val="20"/>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6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2023 vs. 2022</w:t>
            </w:r>
          </w:p>
        </w:tc>
      </w:tr>
      <w:tr>
        <w:trPr>
          <w:trHeight w:val="227"/>
        </w:trPr>
        <w:tc>
          <w:tcPr>
            <w:tcW w:w="30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 %</w:t>
            </w: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2"/>
              </w:rPr>
              <w:t>52 %</w:t>
            </w: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36 %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7"/>
                <w:szCs w:val="17"/>
                <w:color w:val="auto"/>
              </w:rPr>
            </w:pPr>
          </w:p>
        </w:tc>
        <w:tc>
          <w:tcPr>
            <w:tcW w:w="1060" w:type="dxa"/>
            <w:vAlign w:val="bottom"/>
            <w:gridSpan w:val="3"/>
          </w:tcPr>
          <w:p>
            <w:pPr>
              <w:ind w:left="40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7"/>
                <w:szCs w:val="17"/>
                <w:color w:val="auto"/>
              </w:rPr>
            </w:pPr>
          </w:p>
        </w:tc>
        <w:tc>
          <w:tcPr>
            <w:tcW w:w="1100" w:type="dxa"/>
            <w:vAlign w:val="bottom"/>
            <w:gridSpan w:val="3"/>
          </w:tcPr>
          <w:p>
            <w:pPr>
              <w:ind w:left="440"/>
              <w:spacing w:after="0"/>
              <w:rPr>
                <w:sz w:val="20"/>
                <w:szCs w:val="20"/>
                <w:color w:val="auto"/>
              </w:rPr>
            </w:pPr>
            <w:r>
              <w:rPr>
                <w:rFonts w:ascii="Arial" w:cs="Arial" w:eastAsia="Arial" w:hAnsi="Arial"/>
                <w:sz w:val="18"/>
                <w:szCs w:val="18"/>
                <w:b w:val="1"/>
                <w:bCs w:val="1"/>
                <w:color w:val="auto"/>
                <w:w w:val="96"/>
              </w:rPr>
              <w:t>Change</w:t>
            </w:r>
          </w:p>
        </w:tc>
        <w:tc>
          <w:tcPr>
            <w:tcW w:w="640" w:type="dxa"/>
            <w:vAlign w:val="bottom"/>
          </w:tcPr>
          <w:p>
            <w:pPr>
              <w:spacing w:after="0"/>
              <w:rPr>
                <w:sz w:val="17"/>
                <w:szCs w:val="17"/>
                <w:color w:val="auto"/>
              </w:rPr>
            </w:pPr>
          </w:p>
        </w:tc>
      </w:tr>
      <w:tr>
        <w:trPr>
          <w:trHeight w:val="239"/>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20"/>
                <w:szCs w:val="20"/>
                <w:color w:val="auto"/>
              </w:rPr>
            </w:pPr>
          </w:p>
        </w:tc>
        <w:tc>
          <w:tcPr>
            <w:tcW w:w="1800" w:type="dxa"/>
            <w:vAlign w:val="bottom"/>
            <w:gridSpan w:val="5"/>
          </w:tcPr>
          <w:p>
            <w:pPr>
              <w:ind w:left="220"/>
              <w:spacing w:after="0"/>
              <w:rPr>
                <w:sz w:val="20"/>
                <w:szCs w:val="20"/>
                <w:color w:val="auto"/>
              </w:rPr>
            </w:pPr>
            <w:r>
              <w:rPr>
                <w:rFonts w:ascii="Arial" w:cs="Arial" w:eastAsia="Arial" w:hAnsi="Arial"/>
                <w:sz w:val="18"/>
                <w:szCs w:val="18"/>
                <w:b w:val="1"/>
                <w:bCs w:val="1"/>
                <w:color w:val="auto"/>
              </w:rPr>
              <w:t>2023 vs. 2022</w:t>
            </w:r>
          </w:p>
        </w:tc>
        <w:tc>
          <w:tcPr>
            <w:tcW w:w="14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2023 vs. 2022</w:t>
            </w:r>
          </w:p>
        </w:tc>
      </w:tr>
      <w:tr>
        <w:trPr>
          <w:trHeight w:val="227"/>
        </w:trPr>
        <w:tc>
          <w:tcPr>
            <w:tcW w:w="3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175"/>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Facilities, equipment and depreciation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5"/>
              </w:rPr>
              <w:t>(370)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3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0"/>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our external R&amp;D expenses for the three months ended September 30, 2023 as compared to the same period in 2022 is primarily the result of tenapanor manufacturing expenses as well as regulatory consulting expenses related to the FDA appeal of XPHOZAH. The change in our external R&amp;D expenses for the nine months ended September 30, 2023 as compared to the same period in 2022 is primarily the result of clinical trial and pharmacovigilance activities related to IBSRELA.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selling, general and administrative expenses for the three and nine months ended September 30, 2023 as compared to the same periods in 2022 is primarily due to increased costs associated with the commercial launch of IBSRELA as well as preparation for the commercial launch of XPHOZAH and increases in expenses associated with administrative support functions as our company has grown in headcount and activity level. The increases consisted of headcount and related personnel costs and external spending for disease awareness initiatives, commercial infrastructure and strategy.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interest expense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106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8"/>
                <w:szCs w:val="18"/>
                <w:color w:val="auto"/>
              </w:rPr>
            </w:pPr>
          </w:p>
        </w:tc>
        <w:tc>
          <w:tcPr>
            <w:tcW w:w="1040" w:type="dxa"/>
            <w:vAlign w:val="bottom"/>
            <w:gridSpan w:val="3"/>
          </w:tcPr>
          <w:p>
            <w:pPr>
              <w:ind w:left="400"/>
              <w:spacing w:after="0"/>
              <w:rPr>
                <w:sz w:val="20"/>
                <w:szCs w:val="20"/>
                <w:color w:val="auto"/>
              </w:rPr>
            </w:pPr>
            <w:r>
              <w:rPr>
                <w:rFonts w:ascii="Arial" w:cs="Arial" w:eastAsia="Arial" w:hAnsi="Arial"/>
                <w:sz w:val="18"/>
                <w:szCs w:val="18"/>
                <w:b w:val="1"/>
                <w:bCs w:val="1"/>
                <w:color w:val="auto"/>
                <w:w w:val="93"/>
              </w:rPr>
              <w:t>Change</w:t>
            </w:r>
          </w:p>
        </w:tc>
        <w:tc>
          <w:tcPr>
            <w:tcW w:w="64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30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6"/>
              </w:rPr>
              <w:t>2023 vs. 2022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680" w:type="dxa"/>
            <w:vAlign w:val="bottom"/>
            <w:gridSpan w:val="4"/>
          </w:tcPr>
          <w:p>
            <w:pPr>
              <w:ind w:left="200"/>
              <w:spacing w:after="0"/>
              <w:rPr>
                <w:sz w:val="20"/>
                <w:szCs w:val="20"/>
                <w:color w:val="auto"/>
              </w:rPr>
            </w:pPr>
            <w:r>
              <w:rPr>
                <w:rFonts w:ascii="Arial" w:cs="Arial" w:eastAsia="Arial" w:hAnsi="Arial"/>
                <w:sz w:val="18"/>
                <w:szCs w:val="18"/>
                <w:b w:val="1"/>
                <w:bCs w:val="1"/>
                <w:color w:val="auto"/>
              </w:rPr>
              <w:t>2023 vs. 2022</w:t>
            </w:r>
          </w:p>
        </w:tc>
      </w:tr>
      <w:tr>
        <w:trPr>
          <w:trHeight w:val="223"/>
        </w:trPr>
        <w:tc>
          <w:tcPr>
            <w:tcW w:w="2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interest expense for the three and nine months ended September 30, 2023 as compared to the same periods in 2022 is due to a higher variable interest rate applied to our loan balance primarily resulting from market fluctuations.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8"/>
          </w:tcPr>
          <w:p>
            <w:pPr>
              <w:spacing w:after="0"/>
              <w:rPr>
                <w:sz w:val="20"/>
                <w:szCs w:val="20"/>
                <w:color w:val="auto"/>
              </w:rPr>
            </w:pPr>
            <w:r>
              <w:rPr>
                <w:rFonts w:ascii="Arial" w:cs="Arial" w:eastAsia="Arial" w:hAnsi="Arial"/>
                <w:sz w:val="18"/>
                <w:szCs w:val="18"/>
                <w:b w:val="1"/>
                <w:bCs w:val="1"/>
                <w:color w:val="auto"/>
                <w:w w:val="91"/>
              </w:rPr>
              <w:t>Non-Cash Interest Expense Related to the Sale of Future Royalties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6220" w:type="dxa"/>
            <w:vAlign w:val="bottom"/>
            <w:gridSpan w:val="11"/>
          </w:tcPr>
          <w:p>
            <w:pPr>
              <w:spacing w:after="0"/>
              <w:rPr>
                <w:sz w:val="20"/>
                <w:szCs w:val="20"/>
                <w:color w:val="auto"/>
              </w:rPr>
            </w:pPr>
            <w:r>
              <w:rPr>
                <w:rFonts w:ascii="Arial" w:cs="Arial" w:eastAsia="Arial" w:hAnsi="Arial"/>
                <w:sz w:val="18"/>
                <w:szCs w:val="18"/>
                <w:color w:val="auto"/>
              </w:rPr>
              <w:t>Below is a summary of our non-cash interest expense (dollars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02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11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24"/>
                <w:szCs w:val="24"/>
                <w:color w:val="auto"/>
              </w:rPr>
            </w:pPr>
          </w:p>
        </w:tc>
      </w:tr>
      <w:tr>
        <w:trPr>
          <w:trHeight w:val="239"/>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98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86"/>
              </w:rPr>
              <w:t>2023 vs. 2022</w:t>
            </w:r>
          </w:p>
        </w:tc>
        <w:tc>
          <w:tcPr>
            <w:tcW w:w="210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7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6"/>
              </w:rPr>
              <w:t>2023 vs. 2022</w:t>
            </w:r>
          </w:p>
        </w:tc>
      </w:tr>
      <w:tr>
        <w:trPr>
          <w:trHeight w:val="227"/>
        </w:trPr>
        <w:tc>
          <w:tcPr>
            <w:tcW w:w="2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155"/>
        </w:trPr>
        <w:tc>
          <w:tcPr>
            <w:tcW w:w="2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Non-cash interest expense related</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the sale of future royalties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11 %  $</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(2,859)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Non-cash interest expense related to the sales of future royalties for the three and nine months ended September 30, 2023 is accrued on the deferred royalty obligation that we recorded following the receipt of the $10.0 million upfront payment from HCR during June 2022. We recognized nine months of expense during the nine months ended September 30, 2023 compared to approximately three months of expense during the nine months ended September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other income, net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10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06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Change</w:t>
            </w:r>
          </w:p>
        </w:tc>
        <w:tc>
          <w:tcPr>
            <w:tcW w:w="640" w:type="dxa"/>
            <w:vAlign w:val="bottom"/>
          </w:tcPr>
          <w:p>
            <w:pPr>
              <w:spacing w:after="0"/>
              <w:rPr>
                <w:sz w:val="17"/>
                <w:szCs w:val="17"/>
                <w:color w:val="auto"/>
              </w:rPr>
            </w:pPr>
          </w:p>
        </w:tc>
      </w:tr>
      <w:tr>
        <w:trPr>
          <w:trHeight w:val="239"/>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000" w:type="dxa"/>
            <w:vAlign w:val="bottom"/>
            <w:gridSpan w:val="6"/>
          </w:tcPr>
          <w:p>
            <w:pPr>
              <w:jc w:val="center"/>
              <w:ind w:right="470"/>
              <w:spacing w:after="0"/>
              <w:rPr>
                <w:sz w:val="20"/>
                <w:szCs w:val="20"/>
                <w:color w:val="auto"/>
              </w:rPr>
            </w:pPr>
            <w:r>
              <w:rPr>
                <w:rFonts w:ascii="Arial" w:cs="Arial" w:eastAsia="Arial" w:hAnsi="Arial"/>
                <w:sz w:val="18"/>
                <w:szCs w:val="18"/>
                <w:b w:val="1"/>
                <w:bCs w:val="1"/>
                <w:color w:val="auto"/>
                <w:w w:val="86"/>
              </w:rPr>
              <w:t>2023 vs. 2022</w:t>
            </w:r>
          </w:p>
        </w:tc>
        <w:tc>
          <w:tcPr>
            <w:tcW w:w="210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7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6"/>
              </w:rPr>
              <w:t>2023 vs. 2022</w:t>
            </w:r>
          </w:p>
        </w:tc>
      </w:tr>
      <w:tr>
        <w:trPr>
          <w:trHeight w:val="227"/>
        </w:trPr>
        <w:tc>
          <w:tcPr>
            <w:tcW w:w="2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other income, net for the three and nine months ended September 30, 2023 as compared to the same periods in 2022 is primarily due to increased income on our investments resulting from both higher interest rates and larger investment balances throughout the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cash equivalents and short-term investments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0"/>
                <w:szCs w:val="20"/>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(62,373)</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103,544</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373 %</w:t>
            </w:r>
          </w:p>
        </w:tc>
      </w:tr>
      <w:tr>
        <w:trPr>
          <w:trHeight w:val="24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41,171</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cash, cash equivalents and short-term investments of approximately $165.1 million.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2021, we filed a prospectus supplement under a Registration Statement which was filed in July 2020 for the offering, issuance and sale by us of up to a maximum aggregate offering price of $150.0 million of our common stock that was authorized for issuance and sale, from time to time, under a sales agreement (2021 Open Market Sales Agreement) we entered into with Jefferies LLC (Jefferies), pursuant to which we, from time to time, sold up to $150.0 million in shares of our common stock through Jefferies. Pursuant to the 2021 Open Market Sales Agreement, Jefferies, as our sales agent, received a commission of up to 3% of the gross sales price for shares of common stock sold under the 2021 Open Market Sales Agreement. As of March 2023, we had received the maximum gross proceeds of $150.0 million under the 2021 Open Market Sales Agreement, which included 15.5 million shares of our common stock for which we received gross proceeds of $51.9 million during the quarter ended March 31,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September 30, 2023, we initiated sales pursuant to the 2023 Open Market Sales Agreement resulting in the issuance of 13.8 million shares of our common stock and receipt of gross proceeds of $58.4 million at a weighted average sales price of approximately $4.24 per share. During the nine months ended September 30, 2023, we completed sales pursuant to the 2023 Open Market Sales Agreement resulting in the issuance of 16.8 million shares of our common stock and receipt of gross proceeds of $70.0 million at a weighted average sales price of approximately $4.17 per share.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2022, we entered into a loan and security agreement (2022 Loan Agreement) with SLR Investment Corp (SLR). The 2022 Loan Agreement was subsequently amended on August 1, 2022 and February 9, 2023. The 2022 Loan Agreement as amended provides for a senior secured term loan facility, with $27.5 million funded at closing and an additional $22.5 million that we may borrow on or prior to December 20, 2023; provided that (i) we have received approval by the FDA for our NDA for XPHOZAH by November 30, 2023 and (ii) we have achieved certain product revenue milestone targets described in the 2022 Loan Agreement.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initial funding of $27.5 million was used to repay the 2018 Loan and is funding our ongoing operations. We had $25.0 million principal from the 2018 Loan outstanding as of the closing date, as well as the 2018 Exit Fee in the amount of $1.5 million. We paid the 2018 Exit Fee in October 2023 following approval from the FDA for XPHOZAH to reduce serum phosphorus in adults with chronic kidney disease (CKD) on dialysis as add-on therapy in patients who have an inadequate response to phosphate binders or who are intolerant of any dose of phosphate binder therapy. As discussed in </w:t>
      </w:r>
      <w:r>
        <w:rPr>
          <w:rFonts w:ascii="Arial" w:cs="Arial" w:eastAsia="Arial" w:hAnsi="Arial"/>
          <w:sz w:val="18"/>
          <w:szCs w:val="18"/>
          <w:i w:val="1"/>
          <w:iCs w:val="1"/>
          <w:color w:val="auto"/>
        </w:rPr>
        <w:t>Note 9.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in connection with entering into the 2022 Loan Agreement, we entered into the 2022 Exit Fee agreement, whereby we agreed to pay an exit fee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amount of 2% of the 2022 Loan funded if certain conditions are met. Notwithstanding the prepayment or termination of the 2022 Loan, the 2022 Exit Fee will expire on February 23, 2032.</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October 2022, we announced that our collaboration partner, Kyowa Kirin, submitted an NDA to the Japanese MHLW for tenapanor for the improvement of hyperphosphatemia in adult patients with CKD on dialysis. In accordance with the terms of the 2022 Amendment, Kyowa Kirin paid an aggregate of $35.0 million to us in milestone payments and payments associated with the 2022 Amendment during the quarter ended December 31, 2022.</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2023, we announced that Kyowa Kirin received approval from the Japanese MHLW for the NDA for tenapanor for the improvement of hyperphosphatemia in adult patients with chronic kidney disease on dialysis, which results in payment to us from Kyowa Kirin for an aggregate of $30.0 million for milestone payments and payments under the 2022 Amendment and we expect will also entitle us to the first $5.0 million payment under the terms of the HCR Agreement. We received these payments in October 2023.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2023, we entered into a Third Amendment (the Third Amendment) to the 2022 Loan Agreement by and between us and the 2022 Lenders. As discussed in </w:t>
      </w:r>
      <w:r>
        <w:rPr>
          <w:rFonts w:ascii="Arial" w:cs="Arial" w:eastAsia="Arial" w:hAnsi="Arial"/>
          <w:sz w:val="18"/>
          <w:szCs w:val="18"/>
          <w:i w:val="1"/>
          <w:iCs w:val="1"/>
          <w:color w:val="auto"/>
        </w:rPr>
        <w:t>Note 8. Borrowing</w:t>
      </w:r>
      <w:r>
        <w:rPr>
          <w:rFonts w:ascii="Arial" w:cs="Arial" w:eastAsia="Arial" w:hAnsi="Arial"/>
          <w:sz w:val="18"/>
          <w:szCs w:val="18"/>
          <w:color w:val="auto"/>
        </w:rPr>
        <w:t>, the Third Amendment, among other things, (1) provides us with the option to draw an additional $50.0 million of committed capital by March 15, 2024 (the Term C Loan); (2) provides us with the option to draw up to an additional $50.0 million of uncommitted capital, subject to approval by the Agent's investment committee (the Term D Loan); and (3) extends the interest-only period for the Four Loans to December 31, 2026, effective upon our decision to draw the Term B Loan in the amount of $22.5 million. We provided the Agent with notice of our decision to draw the Term B Loan in October 2023 to support the commercial launch of XPHOZAH.</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incurred operating losses since inception in 2007 and our accumulated deficit as of September 30, 2023 is $817.4 million. Our primary sources of cash have been from the sale and issuance of common stock (in both public offerings and private placements), private placements of convertible preferred stock, funds from our collaboration partnerships, funds from our 2018 Loan Agreement, as amended, and 2022 Loan Agreement, as amended, as well as from sales of IBSRELA. 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December 31, 2021 and prior to September 30, 2023, our liquidity position raised substantial doubt about our ability to continue as a going concern. We have addressed our operating cash flow requirements through cash generated from product sales of IBSRELA, proceeds from the sale of shares of our common stock under our at-the-market offering, and from the receipt of milestones payments from our collaboration partners and payments from our Japanese collaboration partner under the second amendment to our License Agreement, which were received in October 2023. We believe our available cash, cash equivalents and short-term investments as of September 30, 2023 will be sufficient to fund our operations for at least a period of one year from the issuance of these condensed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following the issuance of these condensed financial statements, our liquidity, financial condition and business prospects will be materially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30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 and XPHOZAH;</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XPHOZAH;</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XPHOZAH;</w:t>
      </w:r>
    </w:p>
    <w:p>
      <w:pPr>
        <w:spacing w:after="0" w:line="63"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XPHOZAH, along with other oral ESRD-related drugs without an injectable or intravenous equivalent, are bundled into the ESRD prospective payment system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24"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74" w:lineRule="exact"/>
        <w:rPr>
          <w:rFonts w:ascii="Arial" w:cs="Arial" w:eastAsia="Arial" w:hAnsi="Arial"/>
          <w:sz w:val="17"/>
          <w:szCs w:val="17"/>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cash requirements for the discovery and/or development of other potential product candidates, including RDX013 and RDX020;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63" w:lineRule="exact"/>
        <w:rPr>
          <w:rFonts w:ascii="Arial" w:cs="Arial" w:eastAsia="Arial" w:hAnsi="Arial"/>
          <w:sz w:val="18"/>
          <w:szCs w:val="18"/>
          <w:color w:val="auto"/>
        </w:rPr>
      </w:pPr>
    </w:p>
    <w:p>
      <w:pPr>
        <w:ind w:left="340" w:right="80" w:hanging="332"/>
        <w:spacing w:after="0" w:line="263"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spacing w:after="0" w:line="21"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SLR Investment Corp. in February 2022, as amended to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risk factors set forth in Part II, Item 1A, Risk Factors, in this Quarterly Report on Form 10-Q for additional risks associated with our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 September 30,</w:t>
            </w:r>
          </w:p>
        </w:tc>
        <w:tc>
          <w:tcPr>
            <w:tcW w:w="320" w:type="dxa"/>
            <w:vAlign w:val="bottom"/>
          </w:tcPr>
          <w:p>
            <w:pPr>
              <w:spacing w:after="0"/>
              <w:rPr>
                <w:sz w:val="20"/>
                <w:szCs w:val="20"/>
                <w:color w:val="auto"/>
              </w:rPr>
            </w:pPr>
          </w:p>
        </w:tc>
        <w:tc>
          <w:tcPr>
            <w:tcW w:w="24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8"/>
              </w:rPr>
              <w:t>Change 2023 vs. 2022</w:t>
            </w:r>
          </w:p>
        </w:tc>
      </w:tr>
      <w:tr>
        <w:trPr>
          <w:trHeight w:val="223"/>
        </w:trPr>
        <w:tc>
          <w:tcPr>
            <w:tcW w:w="4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9"/>
              </w:rPr>
              <w:t>(84,328)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(101,681)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center"/>
              <w:ind w:left="650"/>
              <w:spacing w:after="0"/>
              <w:rPr>
                <w:sz w:val="20"/>
                <w:szCs w:val="20"/>
                <w:color w:val="auto"/>
              </w:rPr>
            </w:pPr>
            <w:r>
              <w:rPr>
                <w:rFonts w:ascii="Arial" w:cs="Arial" w:eastAsia="Arial" w:hAnsi="Arial"/>
                <w:sz w:val="18"/>
                <w:szCs w:val="18"/>
                <w:color w:val="auto"/>
                <w:w w:val="90"/>
              </w:rPr>
              <w:t>16,974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(118,655)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0"/>
              </w:rPr>
              <w:t>56,554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(10,800)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478 %</w:t>
            </w:r>
          </w:p>
        </w:tc>
      </w:tr>
      <w:tr>
        <w:trPr>
          <w:trHeight w:val="21"/>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844"/>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6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nine months ended September 30, 2023 decreased by $3.3 million as compared to the same period in 2022 primarily as a result of our lower net loss, partially offset by changes in our working capital, including a $30.8 million increase in accounts receivable. Accounts receivable was elevated at September 30, 2023 due to $30.0 million receivable from Kyowa Kirin for milestone payments and payments under the 2022 Amendment that were earned in September 2023 and received in October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provided by investing activities during the nine months ended September 30, 2023 decreased by $118.7 million as compared to the same periods in 2022 due to increased investment purchases during 2023, as we invested higher levels of cash as compared to the same period in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financing activities during the nine months ended September 30, 2023 increased by $63.8 million as compared to the same periods in 2022 primarily due to net proceeds from issuance of our common stock pursuant to the at the market offerings of $119.2 million during the nine months ended September 30, 2023 compared to $52.8 million during the nine months ended September 30, 2022. In addition, during the nine months ended September 30, 2022 we expended net $6.1 million in conjunction with entering into the 2022 Loan and repaying the principal outstanding under the 2018 Loan and received net proceeds of $9.6 million from the sale of future royalties to HCR.</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market risks, including interest rate fluctuation exposure through our investments,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30, 2023, we had cash, cash equivalents and short-term investments of $165.1 million, which consist of bank deposits and money market funds, as well as high quality fixed income instruments including commercial paper, U.S. government-sponsored agency bonds, corporate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interest rate fluctuation exposure through our borrowings under the Loan Agreement and our investment in money market accounts which bear a variable interest rate. Borrowings under the 2022 Loan as amended bear interest at a floating per annum interest rate with 7.95% plus the greater of</w:t>
      </w:r>
    </w:p>
    <w:p>
      <w:pPr>
        <w:jc w:val="both"/>
        <w:ind w:firstLine="8"/>
        <w:spacing w:after="0" w:line="295" w:lineRule="auto"/>
        <w:tabs>
          <w:tab w:leader="none" w:pos="286" w:val="left"/>
        </w:tabs>
        <w:numPr>
          <w:ilvl w:val="0"/>
          <w:numId w:val="9"/>
        </w:numPr>
        <w:rPr>
          <w:rFonts w:ascii="Arial" w:cs="Arial" w:eastAsia="Arial" w:hAnsi="Arial"/>
          <w:sz w:val="16"/>
          <w:szCs w:val="16"/>
          <w:color w:val="auto"/>
        </w:rPr>
      </w:pPr>
      <w:r>
        <w:rPr>
          <w:rFonts w:ascii="Arial" w:cs="Arial" w:eastAsia="Arial" w:hAnsi="Arial"/>
          <w:sz w:val="16"/>
          <w:szCs w:val="16"/>
          <w:color w:val="auto"/>
        </w:rPr>
        <w:t>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$0.2 million for the nine months ended September 30, 2023. As of September 30, 2023, we had an aggregate principal amount of $27.5 million outstanding pursuant to our 2022 Loan Agreement.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transactions are denominated in U.S. dollars. However, we do have certain transactions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no open forward foreign currency exchange contracts.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Rule 13a-15(b) under the Securities Exchange Act of 1934, as amended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September 30, 2023.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September 30, 2023, our disclosure controls and procedures were effective at a reasonable assurance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6"/>
          <w:szCs w:val="16"/>
          <w:i w:val="1"/>
          <w:iCs w:val="1"/>
          <w:color w:val="auto"/>
        </w:rPr>
        <w:t>Strezsak v. Ardelyx, Inc., et al.</w:t>
      </w:r>
      <w:r>
        <w:rPr>
          <w:rFonts w:ascii="Arial" w:cs="Arial" w:eastAsia="Arial" w:hAnsi="Arial"/>
          <w:sz w:val="16"/>
          <w:szCs w:val="16"/>
          <w:color w:val="auto"/>
        </w:rPr>
        <w:t xml:space="preserve">, Case No. 4:21-cv-05868-HSG, and Siegel </w:t>
      </w:r>
      <w:r>
        <w:rPr>
          <w:rFonts w:ascii="Arial" w:cs="Arial" w:eastAsia="Arial" w:hAnsi="Arial"/>
          <w:sz w:val="16"/>
          <w:szCs w:val="16"/>
          <w:i w:val="1"/>
          <w:iCs w:val="1"/>
          <w:color w:val="auto"/>
        </w:rPr>
        <w:t>v.</w:t>
      </w:r>
      <w:r>
        <w:rPr>
          <w:rFonts w:ascii="Arial" w:cs="Arial" w:eastAsia="Arial" w:hAnsi="Arial"/>
          <w:sz w:val="16"/>
          <w:szCs w:val="16"/>
          <w:color w:val="auto"/>
        </w:rPr>
        <w:t xml:space="preserve"> </w:t>
      </w:r>
      <w:r>
        <w:rPr>
          <w:rFonts w:ascii="Arial" w:cs="Arial" w:eastAsia="Arial" w:hAnsi="Arial"/>
          <w:sz w:val="16"/>
          <w:szCs w:val="16"/>
          <w:i w:val="1"/>
          <w:iCs w:val="1"/>
          <w:color w:val="auto"/>
        </w:rPr>
        <w:t>Ardelyx, Inc., et al.</w:t>
      </w:r>
      <w:r>
        <w:rPr>
          <w:rFonts w:ascii="Arial" w:cs="Arial" w:eastAsia="Arial" w:hAnsi="Arial"/>
          <w:sz w:val="16"/>
          <w:szCs w:val="16"/>
          <w:color w:val="auto"/>
        </w:rPr>
        <w:t>, Case No. 5:21-cv-06228-HSG (together, the Securities Class Actions). The complaints allege that the defendants violated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Defendants filed a motion to dismiss the amended complaint on June 2, 2023. On August 22, 2023, the court cancelled the hearing scheduled for September 14, 2023 on the motion to dismiss the amended complaint and indicated its decisions to instead rule on the filed briefs. We believe the plaintiff’s claims are without merit and we have not recorded any accrual for a contingent liability associated with these legal proceedings.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2023, there is no litigation pending that would reasonably be expected to have a material adverse effect on our results of operations and financial condition, and no contingent liabilities were accrued as of September 30, 2023.</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and will incur losses in the future, which makes it difficult for us to assess our future viability.</w:t>
      </w:r>
    </w:p>
    <w:p>
      <w:pPr>
        <w:spacing w:after="0" w:line="28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March 2022, we commenced the commercialization of our first product,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treatment of irritable bowel syndrome with constipation (IBS-C) in adult patients and have generated $67.5 million in net revenue from product sales through September 30, 2023. In October 2023, we received regulatory approval for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reduction of serum phosphorus in adults with chronic kidney disease (CKD) on dialysis as add-on therapy in patients who have an inadequate response to phosphate binders or who are intolerant of any dose of phosphate binder therapy. We currently expect XPHOZAH to be available to patients in November 2023.</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September 30, 2023, we had an accumulated deficit of $817.4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substantial operating losses for the foreseeable future as we commercialize IBSRELA, and XPHOZAH; and incur manufacturing and development costs for tenapanor.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our liquidity, financial condition and business prospects will be materially affected.</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require additional financing for the foreseeable future as we invest in the commercialization of IBSRELA and XPHOZAH in the U.S. The inability to access necessary capital when needed on acceptable terms, or at all, could force us to reduce our efforts to commercialize IBSRELA or XPHOZAH.</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will continue to expend substantial resources for the foreseeable future, including costs associated with our efforts to commercialize IBSRELA and XPHOZAH; conducting pediatric clinical trials for IBSRELA; and manufacturing for IBSRELA and XPHOZAH. Our future funding requirements will depend on many factors, including, but not limited to:</w:t>
      </w:r>
    </w:p>
    <w:p>
      <w:pPr>
        <w:spacing w:after="0" w:line="26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 and XPHOZAH;</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XPHOZAH;</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XPHOZAH;</w:t>
      </w:r>
    </w:p>
    <w:p>
      <w:pPr>
        <w:spacing w:after="0" w:line="63"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when XPHOZAH, along with other oral ESRD-related drugs without an injectable or intravenous equivalent, are bundled into the ESRD prospective payment system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24"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74"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requirements for the discovery and/or development of other potential product candidates, including RDX013 and RDX020;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63" w:lineRule="exact"/>
        <w:rPr>
          <w:rFonts w:ascii="Arial" w:cs="Arial" w:eastAsia="Arial" w:hAnsi="Arial"/>
          <w:sz w:val="18"/>
          <w:szCs w:val="18"/>
          <w:color w:val="auto"/>
        </w:rPr>
      </w:pPr>
    </w:p>
    <w:p>
      <w:pPr>
        <w:ind w:left="340" w:right="8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spacing w:after="0" w:line="21"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SLR Investment Corp. in February 2022, as amended to date.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limit or reduce our commercialization of IBSRELA or XPOHZAH, or delay or limit additional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through the use of alternative structures.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generated limited revenue from product sales and may never be profitable.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began selling IBSRELA in the U.S. in March 2022, and have generated $67.5 million revenue from product sales to date. On October 17, 2023, our NDA for XPHOZAH was approved by the U.S. Food and Drug Administration’s (FDA), and we currently expect XPHOZAH to be available to patients in November 2023. We have no other products approved for sale.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spacing w:after="0" w:line="20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ISBRELA and XPHOZAH and to increase market share for both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sufficient market acceptance of IBSRELA as a viable treatment option for IBS-C;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XPHOZAH;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and sustain an adequate level of coverage and reimbursement for IBSRELA and XPHOZAH by third-party payors;</w:t>
      </w:r>
    </w:p>
    <w:p>
      <w:pPr>
        <w:spacing w:after="0" w:line="74" w:lineRule="exact"/>
        <w:rPr>
          <w:rFonts w:ascii="Arial" w:cs="Arial" w:eastAsia="Arial" w:hAnsi="Arial"/>
          <w:sz w:val="17"/>
          <w:szCs w:val="17"/>
          <w:color w:val="auto"/>
        </w:rPr>
      </w:pPr>
    </w:p>
    <w:p>
      <w:pPr>
        <w:ind w:left="660" w:right="1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24"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(in amount and quality) supply of product to support the market demand for IBSRELA and XPHOZAH;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63" w:lineRule="exact"/>
        <w:rPr>
          <w:rFonts w:ascii="Arial" w:cs="Arial" w:eastAsia="Arial" w:hAnsi="Arial"/>
          <w:sz w:val="18"/>
          <w:szCs w:val="18"/>
          <w:color w:val="auto"/>
        </w:rPr>
      </w:pPr>
    </w:p>
    <w:p>
      <w:pPr>
        <w:ind w:left="660" w:right="100" w:hanging="328"/>
        <w:spacing w:after="0" w:line="31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With respect to our commercialization of IBSRELA and XPHOZAH, our revenue will be dependent, in part, upon the size of the markets in the U.S. and the label for which approval was granted, accepted price for the product, and the ability to get reimbursement at any price. While there is significant uncertainty related to the insurance coverage and reimbursement of newly approved products in general in the U.S., there is additional uncertainty related to insurance coverage and reimbursement for drugs, like XPHOZAH, which will be marketed for the reduction of serum phosphorus in adults with chronic kidney disease (CKD) on dialysis as add-on therapy in patients who have an inadequate response to phosphate binders or who are intolerant of any dose of phosphate binder therapy. Our ability to generate and sustain future revenues from sales of XPHOZAH, will be significantly dependent upon whether and when XPHOZAH, along with other oral end stage renal disease (ESRD)-related drugs without an injectable or intravenous equivalent, are bundled into the ESRD PPS, and the manner in which such introduction into the ESRD PPS may occur. See “—</w:t>
      </w:r>
      <w:r>
        <w:rPr>
          <w:rFonts w:ascii="Arial" w:cs="Arial" w:eastAsia="Arial" w:hAnsi="Arial"/>
          <w:sz w:val="17"/>
          <w:szCs w:val="17"/>
          <w:i w:val="1"/>
          <w:iCs w:val="1"/>
          <w:color w:val="auto"/>
        </w:rPr>
        <w:t>Third-party payor coverage and reimbursement status of</w:t>
      </w:r>
      <w:r>
        <w:rPr>
          <w:rFonts w:ascii="Arial" w:cs="Arial" w:eastAsia="Arial" w:hAnsi="Arial"/>
          <w:sz w:val="17"/>
          <w:szCs w:val="17"/>
          <w:color w:val="auto"/>
        </w:rPr>
        <w:t xml:space="preserve"> </w:t>
      </w:r>
      <w:r>
        <w:rPr>
          <w:rFonts w:ascii="Arial" w:cs="Arial" w:eastAsia="Arial" w:hAnsi="Arial"/>
          <w:sz w:val="17"/>
          <w:szCs w:val="17"/>
          <w:i w:val="1"/>
          <w:iCs w:val="1"/>
          <w:color w:val="auto"/>
        </w:rPr>
        <w:t>newly commercialized products are uncertain. Failure to obtain or maintain adequate coverage and reimbursement for IBSRELA and XPHOZAH could limit our ability to market those products and decrease our ability to generate revenue</w:t>
      </w:r>
      <w:r>
        <w:rPr>
          <w:rFonts w:ascii="Arial" w:cs="Arial" w:eastAsia="Arial" w:hAnsi="Arial"/>
          <w:sz w:val="17"/>
          <w:szCs w:val="17"/>
          <w:color w:val="auto"/>
        </w:rPr>
        <w:t>” and “—</w:t>
      </w:r>
      <w:r>
        <w:rPr>
          <w:rFonts w:ascii="Arial" w:cs="Arial" w:eastAsia="Arial" w:hAnsi="Arial"/>
          <w:sz w:val="17"/>
          <w:szCs w:val="17"/>
          <w:i w:val="1"/>
          <w:iCs w:val="1"/>
          <w:color w:val="auto"/>
        </w:rPr>
        <w:t>In the event no legislative or regulatory action is taken to further delay the inclusion of oral only ESRD related drugs in the ESRD PPS, XPHOZAH will become part of the ESRD PPS on January 1, 2025, and will no longer be separately paid for under Part D, and as a result the revenue that we may generate on sales of XPHOZAH will be negatively and materially impacted</w:t>
      </w:r>
      <w:r>
        <w:rPr>
          <w:rFonts w:ascii="Arial" w:cs="Arial" w:eastAsia="Arial" w:hAnsi="Arial"/>
          <w:sz w:val="17"/>
          <w:szCs w:val="17"/>
          <w:color w:val="auto"/>
        </w:rPr>
        <w:t>” below. Additionally, if the number of adult patients for IBSRELA and/or XPHOZAH is not as significant as we estimate, coverage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for either IBSRELA or XPHOZAH are not available in the manner and to the extent we expect, or the reasonably accepted population for treatment is narrowed by competition, physician choice or treatment guidelines, we may not generate significant revenue from the sale of IBSRELA or XPHOZAH.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successful commercialization of IBSRELA, and there is no guarantee that we will maintain sufficient market acceptance for IBSRELA, grow market share for ISBRELA, secure and maintain adequate coverage and reimbursement for IBSRELA, or generate sufficient revenue from product sales of IBSRELA.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selling IBSRELA in the U.S. in March 2022. The overall commercial success of IBSRELA will depend on a number of factors, including the following:</w:t>
      </w:r>
    </w:p>
    <w:p>
      <w:pPr>
        <w:spacing w:after="0" w:line="251" w:lineRule="exact"/>
        <w:rPr>
          <w:sz w:val="20"/>
          <w:szCs w:val="20"/>
          <w:color w:val="auto"/>
        </w:rPr>
      </w:pPr>
    </w:p>
    <w:p>
      <w:pPr>
        <w:ind w:left="660" w:right="5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IBSRELA;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IBSRELA as a treatment for adult patients with IBS-C;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the treatable patient population;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increase the market share of IBSRELA;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market access and marketing efforts;</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physicians view IBSRELA as a safe and effective treatment for adult patients with IBS-C, which will impact the adoption of IBSRELA by physicians for the treatment of IBS-C;</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IBSRELA compared to alternative and competing treatments;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IBSRELA;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IBSRELA;</w:t>
      </w:r>
    </w:p>
    <w:p>
      <w:pPr>
        <w:spacing w:after="0" w:line="63"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IBSRELA following approval.</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no guarantee that we will achieve sufficient market acceptance for XPHOZAH, secure adequate coverage and reimbursement for XPHOZAH or generate sufficient revenue from product sales of XPHOZAH.</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guarantee that we will achieve sufficient market acceptance for XPHOZAH, secure adequate coverage and reimbursement for XPHOZAH or generate sufficient revenue from product sales of XPHOZAH</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commercial success of XPHOZAH will depend on a number of factors, including the following:</w:t>
      </w:r>
    </w:p>
    <w:p>
      <w:pPr>
        <w:spacing w:after="0" w:line="265" w:lineRule="exact"/>
        <w:rPr>
          <w:sz w:val="20"/>
          <w:szCs w:val="20"/>
          <w:color w:val="auto"/>
        </w:rPr>
      </w:pPr>
    </w:p>
    <w:p>
      <w:pPr>
        <w:jc w:val="both"/>
        <w:ind w:left="340" w:hanging="332"/>
        <w:spacing w:after="0" w:line="259"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2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both IBSRELA and XPHOZAH;</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content and breadth of the label approved by the FDA for XPHOZAH may materially and adversely impact our ability to commercialize the product for the approved indication;</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XPHOZAH;</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XPHOZAH as safe, effective and well-tolerated by patients and the medical community;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XPHOZAH compared to alternative and competing treatments;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XPHOZAH by third-party payors;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XPHOZAH;</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XPHOZAH following approval.</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In the event no legislative or regulatory action is taken to further delay the inclusion of oral only ESRD related drugs in the ESRD PPS, XPHOZAH will become part of the ESRD PPS on January 1, 2025, and will no longer be separately paid for under Part D, and as a result the revenue that we may generate on sales of XPHOZAH will be negatively and materially impacted.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2011, the Centers for Medicare &amp; Medicaid Services (CMS), an agency within the United States Department of Health and Human Services responsible for administering the Medicare program, implemented the ESRD PPS, a new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The inclusion of oral medications without injectable or intravenous equivalents in the bundled payment was initially delayed by CMS until January 1, 2014, and through several subsequent legislative actions has been delayed until January 1, 2025.</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Absent further legislation or regulation on this matter, beginning in January 2025, oral ESRD-related drugs without injectable or intravenous equivalents, including XPHOZAH and all other phosphate lowering medications, will be included in the ESRD bundle and separate Medicare payment for these drugs will no longer be available, as is the case today under Medicare Part D. ESRD facilities may nonetheless receive a TDAPA for new renal dialysis drugs and biological products that meet certain criteria for a period of two years. The TDAPA payment is based on 100 percent of average sales price (ASP). If ASP is not available, then the TDAPA is based on 100 percent of wholesale acquisition cost (WAC). If WAC is unavailable, then the payment is based on the drug manufacturer’s invoice. There can be no assurances that CMS will determine that XPHOZAH will qualify for TDAPA status. Even if deemed eligible by CMS, revenue for sales of XPHOZAH could be significantly less in the TDAPA period than it would be if XPHOZAH is not bundled into the ESRD PPS. Moreover, in the post-TPDAPA period, CMS currently expects to increase the single bundled payment base rate paid to the dialysis facility for each dialysis treatment to reflect that oral only phosphate lowering drugs will be reimbursed as part of the single bundled payment for Medicare patients. There can be no assurances that any increase in the single bundled payment base rate will be sufficient to adequately reimburse the dialysis facilities for XPOHZAH at a price that is profitable for us. The inclusion of XPHOZAH in the ESRD PPS would affect our ability to optimize the commercialization of XPHOZAH and could materially impact our profitability, results of operations, financial condition,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IBSRELA and/or XPHOZAH may cause undesirable side effects or have other properties that could limit the commercial success of the product.</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spacing w:after="0" w:line="26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63" w:lineRule="exact"/>
        <w:rPr>
          <w:rFonts w:ascii="Arial" w:cs="Arial" w:eastAsia="Arial" w:hAnsi="Arial"/>
          <w:sz w:val="18"/>
          <w:szCs w:val="18"/>
          <w:color w:val="auto"/>
        </w:rPr>
      </w:pPr>
    </w:p>
    <w:p>
      <w:pPr>
        <w:jc w:val="both"/>
        <w:ind w:left="340" w:hanging="332"/>
        <w:spacing w:after="0" w:line="299"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new labeling statements, such as a “black box” warning or a contraindication;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spacing w:after="0" w:line="15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U.S., the principal decisions about coverage and reimbursement for new drugs are typically made by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 Additionally, absent legislative or regulatory action, XPHOZAH, along with other oral ESRD related drugs without injectable or intravenous equivalents, will be included in the ESRD PPS beginning on January 1, 2025 at which time separate Medicare payment for these drugs will no longer be available, as is the case today under Medicare Part D. While it is too early to project the full impact that bundling may have on sales of XPHOZAH and on our business, should XPHOZAH be brought into the bundle in 2025, or at any time, we may be unable to sell XPHOZAH to dialysis providers on a profitable basis. See “—</w:t>
      </w:r>
      <w:r>
        <w:rPr>
          <w:rFonts w:ascii="Arial" w:cs="Arial" w:eastAsia="Arial" w:hAnsi="Arial"/>
          <w:sz w:val="16"/>
          <w:szCs w:val="16"/>
          <w:i w:val="1"/>
          <w:iCs w:val="1"/>
          <w:color w:val="auto"/>
        </w:rPr>
        <w:t>In the event no legislative or regulatory action is taken to further delay the</w:t>
      </w:r>
      <w:r>
        <w:rPr>
          <w:rFonts w:ascii="Arial" w:cs="Arial" w:eastAsia="Arial" w:hAnsi="Arial"/>
          <w:sz w:val="16"/>
          <w:szCs w:val="16"/>
          <w:color w:val="auto"/>
        </w:rPr>
        <w:t xml:space="preserve"> </w:t>
      </w:r>
      <w:r>
        <w:rPr>
          <w:rFonts w:ascii="Arial" w:cs="Arial" w:eastAsia="Arial" w:hAnsi="Arial"/>
          <w:sz w:val="16"/>
          <w:szCs w:val="16"/>
          <w:i w:val="1"/>
          <w:iCs w:val="1"/>
          <w:color w:val="auto"/>
        </w:rPr>
        <w:t>inclusion of oral only ESRD related drugs in the ESRD PPS, XPHOZAH will become part of the ESRD PPS on January 1, 2025, and will no longer be separately paid for under Part D, and as a result the revenue that we may generate on sales of XPHOZAH will be negatively and materially impacted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above for a more detailed discussion related to the risks that may occur if XPHOZAH is brought into the bundle.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and our development efforts for tenapanor may be materially harmed.</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facilities used by our contract manufacturing organizations (CMOs) to manufacture our drug supply are subject to inspection by the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depend on CMOs, many of whom are our single source manufacturers.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CMOs are currently single source manufacturers. While we try to obtain multiple sources whenever possible, similar to other commercial pharmaceutical companies, three stages of our manufacturing process are currently completed by a single source, which exposes us to delivery failure and drug shortages. To date, we have no qualified alternative sources for these single source CMOs.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23, 2022, we entered into a loan and security agreement with SLR Investment Corp. (Lender) pursuant to which the Lender agreed to provide us with a loan facility for up to $50.0 million with a maturity date of March 1, 2027, and on August 1, 2022, February 9, 2023 and October 17, 2023, we entered into amendments to the loan and security agreement (collectively, the 2022 Loan Agreement). The loan was funded in the amount of $27.5 million on February 23, 2022 and an additional amount of $22.5 million was drawn on October 19, 2023. We may draw an additional $50.0 million on or before March 15, 2024, and subject to the Lender approval of its investment committee, we may be able to draw an additional $50 million by December 31, 2026.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permitted to make interest only payments on the loan facility through December 31, 2026, with principal repayments commencing on January 1, 2027. In addition,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if we conduct additional clinical trials with RDX013 or any other product candidates,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XPHOZAH is indicated to reduce serum phosphorus in adults with chronic kidney disease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Oxylanthanum Carbonate (OLC), which has demonstrated pharmacodynamic bioequivalence to Fosrenol. OLC is being developed by Unicycive Therapeutics, which has announced its plans to seek FDA approval via the 505(b)(2) pathway. Additionally, Chugai and Alebund are developing EOS789, an inhibitor of phosphate transporters NaPi-2b, PiT-1, and PiT-2, thus far studied in a phase 1 clinical trial.</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25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IBSRELA and/or XPHOZAH.</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5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the product;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or co-promote IBSRELA and/or XPHOZAH.</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Connecticut, Utah and Colorado,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imposing further restrictions on the use of standard contractual clauses.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As we continue to expand into other foreign countries and jurisdictions, we may be subject to additional laws and regulations that may affect how we conduct business.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Arial" w:cs="Arial" w:eastAsia="Arial" w:hAnsi="Arial"/>
          <w:sz w:val="16"/>
          <w:szCs w:val="16"/>
          <w:i w:val="1"/>
          <w:iCs w:val="1"/>
          <w:color w:val="auto"/>
        </w:rPr>
        <w:t>e.g.,</w:t>
      </w:r>
      <w:r>
        <w:rPr>
          <w:rFonts w:ascii="Arial" w:cs="Arial" w:eastAsia="Arial" w:hAnsi="Arial"/>
          <w:sz w:val="16"/>
          <w:szCs w:val="16"/>
          <w:color w:val="auto"/>
        </w:rPr>
        <w:t xml:space="preserve">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46" w:lineRule="exact"/>
        <w:rPr>
          <w:sz w:val="20"/>
          <w:szCs w:val="20"/>
          <w:color w:val="auto"/>
        </w:rPr>
      </w:pPr>
    </w:p>
    <w:p>
      <w:pPr>
        <w:ind w:left="3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74" w:lineRule="exact"/>
        <w:rPr>
          <w:rFonts w:ascii="Arial" w:cs="Arial" w:eastAsia="Arial" w:hAnsi="Arial"/>
          <w:sz w:val="17"/>
          <w:szCs w:val="17"/>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CMOs manufacture tenapanor API outside of the U.S., and we may seek and obtain approval to commercialize IBSRELA and XPHOZAH outside of the U.S., and as a result a variety of risks associated with international operations could materially adversely affect our business.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or our collaboration partners may decide to seek marketing approval for IBSRELA or XPHOZAH outside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spacing w:after="0" w:line="26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U.S. and foreign drug import and export rules;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after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5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or untitled letters or fines;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our or our CMOs’ operations; or</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U.S. or abroad.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CMOs are subject to significant regulation with respect to manufacturing IBSRELA and XPHOZAH. The manufacturing facilities on which we rely may not continue to meet regulatory requirements or may not be able to meet supply demands.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XPHOZAH may cause or contribute to adverse medical events that we are required to report to regulatory agencies and if we fail to do so we could be subject to sanctions that would materially harm our business.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CMOs and vendors may engage in misconduct or other improper activities, including noncompliance with regulatory standards and requirements.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265" w:lineRule="exact"/>
        <w:rPr>
          <w:sz w:val="20"/>
          <w:szCs w:val="20"/>
          <w:color w:val="auto"/>
        </w:rPr>
      </w:pPr>
    </w:p>
    <w:p>
      <w:pPr>
        <w:jc w:val="both"/>
        <w:ind w:left="340" w:hanging="332"/>
        <w:spacing w:after="0" w:line="299"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 w:lineRule="exact"/>
        <w:rPr>
          <w:rFonts w:ascii="Arial" w:cs="Arial" w:eastAsia="Arial" w:hAnsi="Arial"/>
          <w:sz w:val="16"/>
          <w:szCs w:val="16"/>
          <w:color w:val="auto"/>
        </w:rPr>
      </w:pPr>
    </w:p>
    <w:p>
      <w:pPr>
        <w:jc w:val="both"/>
        <w:ind w:left="340" w:hanging="332"/>
        <w:spacing w:after="0" w:line="259"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24"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21"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14"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21"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7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21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195"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17"/>
          <w:szCs w:val="17"/>
          <w:color w:val="auto"/>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206"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17"/>
          <w:szCs w:val="17"/>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08" w:lineRule="exact"/>
        <w:rPr>
          <w:sz w:val="20"/>
          <w:szCs w:val="20"/>
          <w:color w:val="auto"/>
        </w:rPr>
      </w:pPr>
    </w:p>
    <w:p>
      <w:pPr>
        <w:jc w:val="both"/>
        <w:ind w:firstLine="504"/>
        <w:spacing w:after="0" w:line="288"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obtain, maintain and protect our intellectual property rights.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306" w:lineRule="exact"/>
        <w:rPr>
          <w:sz w:val="20"/>
          <w:szCs w:val="20"/>
          <w:color w:val="auto"/>
        </w:rPr>
      </w:pPr>
    </w:p>
    <w:p>
      <w:pPr>
        <w:ind w:left="34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 or product candidates;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manufacture and/or commercialize similar or alternative products or technologies that do not infringe our patents;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6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successfully enforce our intellectual property rights, the commercial value of IBSRELA, XPHOZAH, RDX013 or other product candidates may be adversely affected and we may not be able to compete effectively in our market.</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could be reduced.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the composition and use of IBSRELA are currently claimed by four (4) issued patents that are listed in the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U.S., the Hatch-Waxman Act provides non-patent regulatory exclusivity for five years from the date of the first FDA approval of a drug containing a new chemical entity (NCE). The FDA is prohibited during those five years from approving an Abbreviated New Drug Application (ANDA) that references the NDA that has been granted NCE exclusivity. However, if any patents are listed in the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FDA from approving, another full NDA (i.e. not an ANDA) for an already-approved drug where the third party has conducted its own pre-clinical and clinical trials to independently demonstrate safety and effectiveness without reliance on the original NDA data.</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cases where NCE exclusivity has been granted for an NDA, as in the case of IBSRELA, if an ANDA sponsor has provided a Paragraph IV certification to the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20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Although we have obtained patent term extension (PTE) in the U.S. under the Hatch-Waxman Act, extending the term of exclusivity for tenapanor, if we do not obtain patent term extension in foreign countries under similar legislation, our business may be materially harmed. Furthermore, we have obtained patent term adjustment (PTA) in the U.S. under the American Inventors Protection Act extending the patent term for certain patents covering tenapanor.</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U.S. patent no. 8,541,448 covering tenapanor was subject to patent term adjustment (PTA) under the American Inventors Protection Act for delays by the United States Patent and Trademark Office in granting the patent. Additionally, following the approval by the FDA for our NDA to market tenapanor for IBS-C, this patent was granted patent term extension (PTE) under the Hatch-Waxman Act and together with PTA provides us with exclusivity for tenapanor and uses thereof until August 1, 2033. The Hatch-Waxman Act allows a maximum of one patent to be extended per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Europe’s planned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entered into force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continue to be volatile and our stockholders may not be able to resell shares of our common stock at or above the price they paid.</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25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commercialization of IBSRELA and XPHOZAH;</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CMOs, or specific label restrictions or patient populations for XPHOZAH’s use, or changes or delays in the regulatory review process;</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regarding whether XPHOZAH alone or with other oral only medications, will be included in the ESRD PPS, and the time and manner in which such transition is achieved;</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commercialization of IBSRELA and XPOHZAH, or the clinical development and commercialization of any of our product candidates;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generally require, among other things, our management to report on the effectiveness of our internal control over financial reporting, subject to certain exceptions applicable to non-accelerated filers. Our compliance with Section 404 requires that we incur substantial expense and expend significant management efforts.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65" w:lineRule="exact"/>
        <w:rPr>
          <w:sz w:val="20"/>
          <w:szCs w:val="20"/>
          <w:color w:val="auto"/>
        </w:rPr>
      </w:pPr>
    </w:p>
    <w:p>
      <w:pPr>
        <w:ind w:left="340" w:right="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6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8"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86"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251" w:lineRule="exact"/>
        <w:rPr>
          <w:sz w:val="20"/>
          <w:szCs w:val="20"/>
          <w:color w:val="auto"/>
        </w:rPr>
      </w:pPr>
    </w:p>
    <w:p>
      <w:pPr>
        <w:jc w:val="both"/>
        <w:ind w:left="340" w:hanging="332"/>
        <w:spacing w:after="0" w:line="259"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63" w:lineRule="exact"/>
        <w:rPr>
          <w:rFonts w:ascii="Arial" w:cs="Arial" w:eastAsia="Arial" w:hAnsi="Arial"/>
          <w:sz w:val="18"/>
          <w:szCs w:val="18"/>
          <w:color w:val="auto"/>
        </w:rPr>
      </w:pPr>
    </w:p>
    <w:p>
      <w:pPr>
        <w:ind w:left="340" w:hanging="332"/>
        <w:spacing w:after="0" w:line="298"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jc w:val="both"/>
        <w:ind w:left="34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21"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September 30, 2023, our Section 16 officers and directors adopted or terminated contracts, instructions or written plans for the purchase or sale of our securities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40575" cy="1131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13157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72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98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Trading Arrangement</w:t>
            </w:r>
          </w:p>
        </w:tc>
        <w:tc>
          <w:tcPr>
            <w:tcW w:w="142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r>
      <w:tr>
        <w:trPr>
          <w:trHeight w:val="169"/>
        </w:trPr>
        <w:tc>
          <w:tcPr>
            <w:tcW w:w="2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Rule 10b5-</w:t>
            </w:r>
          </w:p>
        </w:tc>
        <w:tc>
          <w:tcPr>
            <w:tcW w:w="1040" w:type="dxa"/>
            <w:vAlign w:val="bottom"/>
            <w:tcBorders>
              <w:right w:val="single" w:sz="8" w:color="auto"/>
            </w:tcBorders>
          </w:tcPr>
          <w:p>
            <w:pPr>
              <w:ind w:left="140"/>
              <w:spacing w:after="0" w:line="169" w:lineRule="exact"/>
              <w:rPr>
                <w:sz w:val="20"/>
                <w:szCs w:val="20"/>
                <w:color w:val="auto"/>
              </w:rPr>
            </w:pPr>
            <w:r>
              <w:rPr>
                <w:rFonts w:ascii="Arial" w:cs="Arial" w:eastAsia="Arial" w:hAnsi="Arial"/>
                <w:sz w:val="18"/>
                <w:szCs w:val="18"/>
                <w:b w:val="1"/>
                <w:bCs w:val="1"/>
                <w:color w:val="auto"/>
              </w:rPr>
              <w:t>Non-Rule</w:t>
            </w:r>
          </w:p>
        </w:tc>
        <w:tc>
          <w:tcPr>
            <w:tcW w:w="14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7"/>
              </w:rPr>
              <w:t>Total Shares to be</w:t>
            </w:r>
          </w:p>
        </w:tc>
        <w:tc>
          <w:tcPr>
            <w:tcW w:w="2100" w:type="dxa"/>
            <w:vAlign w:val="bottom"/>
          </w:tcPr>
          <w:p>
            <w:pPr>
              <w:spacing w:after="0"/>
              <w:rPr>
                <w:sz w:val="14"/>
                <w:szCs w:val="14"/>
                <w:color w:val="auto"/>
              </w:rPr>
            </w:pPr>
          </w:p>
        </w:tc>
      </w:tr>
      <w:tr>
        <w:trPr>
          <w:trHeight w:val="243"/>
        </w:trPr>
        <w:tc>
          <w:tcPr>
            <w:tcW w:w="272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Action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w:t>
            </w:r>
          </w:p>
        </w:tc>
        <w:tc>
          <w:tcPr>
            <w:tcW w:w="1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10b5-1**</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Sold</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Expiration Date</w:t>
            </w:r>
          </w:p>
        </w:tc>
      </w:tr>
      <w:tr>
        <w:trPr>
          <w:trHeight w:val="169"/>
        </w:trPr>
        <w:tc>
          <w:tcPr>
            <w:tcW w:w="272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Justin Renz, Chief Financial and</w:t>
            </w:r>
          </w:p>
        </w:tc>
        <w:tc>
          <w:tcPr>
            <w:tcW w:w="9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243"/>
        </w:trPr>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Operations Officer</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Adoption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September 12, 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04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21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1"/>
              </w:rPr>
              <w:t>December 29, 2023</w:t>
            </w:r>
          </w:p>
        </w:tc>
      </w:tr>
    </w:tbl>
    <w:p>
      <w:pPr>
        <w:ind w:left="40"/>
        <w:spacing w:after="0"/>
        <w:rPr>
          <w:sz w:val="20"/>
          <w:szCs w:val="20"/>
          <w:color w:val="auto"/>
        </w:rPr>
      </w:pPr>
      <w:r>
        <w:rPr>
          <w:rFonts w:ascii="Arial" w:cs="Arial" w:eastAsia="Arial" w:hAnsi="Arial"/>
          <w:sz w:val="18"/>
          <w:szCs w:val="18"/>
          <w:color w:val="auto"/>
        </w:rPr>
        <w:t>*Intended to satisfy the affirmative defense conditions of Rule 10b5-1(c)</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Not intended to satisfy the affirmative defense conditions of Rule 10b5-1(c)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558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88"/>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8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580" w:type="dxa"/>
            <w:vAlign w:val="bottom"/>
            <w:tcBorders>
              <w:top w:val="single" w:sz="8" w:color="auto"/>
            </w:tcBorders>
            <w:gridSpan w:val="9"/>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Third Amendment to Loan and Security Agreement, dated October 17, 2023,</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by and among the Company, SLR Investment Corp., as collateral agent,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98">
              <w:r>
                <w:rPr>
                  <w:rFonts w:ascii="Arial" w:cs="Arial" w:eastAsia="Arial" w:hAnsi="Arial"/>
                  <w:sz w:val="18"/>
                  <w:szCs w:val="18"/>
                  <w:color w:val="0000FF"/>
                  <w:w w:val="88"/>
                </w:rPr>
                <w:t>the lenders party thereto.</w:t>
              </w:r>
            </w:hyperlink>
          </w:p>
        </w:tc>
        <w:tc>
          <w:tcPr>
            <w:tcW w:w="368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0000FF"/>
              </w:rPr>
              <w:t>Certification of Chief Executive Officer Pursuant to Section 302 of the</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Sarbanes-Oxley Act of 2002.</w:t>
            </w:r>
          </w:p>
        </w:tc>
        <w:tc>
          <w:tcPr>
            <w:tcW w:w="4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0000FF"/>
              </w:rPr>
              <w:t>Certification of Chief Financial Officer Pursuant to Section 302 of the</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Sarbanes-Oxley Act of 2002.</w:t>
            </w:r>
          </w:p>
        </w:tc>
        <w:tc>
          <w:tcPr>
            <w:tcW w:w="5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0000FF"/>
              </w:rPr>
              <w:t>Certification of Chief Executive Officer and Chief Financial Officer</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6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60" w:hanging="874"/>
        <w:spacing w:after="0" w:line="24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financial statements, formatted in Inline Extensible Business Reporting Language (XBRL): (i) Condensed Balance Sheets as of September 30, 2023 and December 31, 2022, (ii) Condensed Statements of Operations and Comprehensive Income (Loss) for the three and nine months ended September 30, 2023 and 2022, (iii) Condensed Statements of Cash Flows for the three and nine months ended September 30, 2023 and 2022, and (iv) Notes to Unaudited Condensed Financial Statements.</w:t>
      </w:r>
    </w:p>
    <w:p>
      <w:pPr>
        <w:spacing w:after="0" w:line="1" w:lineRule="exact"/>
        <w:rPr>
          <w:sz w:val="20"/>
          <w:szCs w:val="20"/>
          <w:color w:val="auto"/>
        </w:rPr>
      </w:pPr>
    </w:p>
    <w:p>
      <w:pPr>
        <w:ind w:left="900" w:right="20" w:hanging="874"/>
        <w:spacing w:after="0" w:line="23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Borders>
              <w:top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2"/>
                <w:szCs w:val="12"/>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top w:val="single" w:sz="8" w:color="auto"/>
            </w:tcBorders>
            <w:vMerge w:val="restart"/>
          </w:tcPr>
          <w:p>
            <w:pPr>
              <w:spacing w:after="0"/>
              <w:rPr>
                <w:sz w:val="12"/>
                <w:szCs w:val="12"/>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Borders>
              <w:top w:val="single" w:sz="8" w:color="auto"/>
            </w:tcBorders>
            <w:vMerge w:val="restart"/>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78"/>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8-K</w:t>
            </w: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10/18/2023</w:t>
            </w:r>
          </w:p>
        </w:tc>
        <w:tc>
          <w:tcPr>
            <w:tcW w:w="120" w:type="dxa"/>
            <w:vAlign w:val="bottom"/>
          </w:tcPr>
          <w:p>
            <w:pPr>
              <w:spacing w:after="0"/>
              <w:rPr>
                <w:sz w:val="24"/>
                <w:szCs w:val="24"/>
                <w:color w:val="auto"/>
              </w:rPr>
            </w:pPr>
          </w:p>
        </w:tc>
        <w:tc>
          <w:tcPr>
            <w:tcW w:w="1120" w:type="dxa"/>
            <w:vAlign w:val="bottom"/>
          </w:tcPr>
          <w:p>
            <w:pPr>
              <w:jc w:val="right"/>
              <w:ind w:right="31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0"/>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480" w:space="120"/>
            <w:col w:w="46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Ardelyx, Inc.</w:t>
      </w:r>
    </w:p>
    <w:p>
      <w:pPr>
        <w:spacing w:after="0" w:line="283" w:lineRule="exact"/>
        <w:rPr>
          <w:sz w:val="20"/>
          <w:szCs w:val="20"/>
          <w:color w:val="auto"/>
        </w:rPr>
      </w:pPr>
    </w:p>
    <w:p>
      <w:pPr>
        <w:ind w:left="20"/>
        <w:spacing w:after="0"/>
        <w:tabs>
          <w:tab w:leader="none" w:pos="5440" w:val="left"/>
          <w:tab w:leader="none" w:pos="594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261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Robert Felsch</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6180" w:val="left"/>
          <w:tab w:leader="none" w:pos="840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Chief Financial &amp; Operations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6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Ardelyx, Inc. (the “Company”) on Form 10-Q for the period ending September 30, 2023,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spacing w:after="0" w:line="146"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ind w:left="20"/>
        <w:spacing w:after="0"/>
        <w:tabs>
          <w:tab w:leader="none" w:pos="6140" w:val="left"/>
          <w:tab w:leader="none" w:pos="834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9146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&amp; Operations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606"/>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98" Type="http://schemas.openxmlformats.org/officeDocument/2006/relationships/hyperlink" Target="http://www.sec.gov/ix?doc=/Archives/edgar/data/1437402/000162828023034587/ardx-2023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2023-10-31T06:09:13Z</dcterms:created>
  <dcterms:modified xsi:type="dcterms:W3CDTF">2023-10-31T06:09:13Z</dcterms:modified>
</cp:coreProperties>
</file>