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488950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445770</wp:posOffset>
            </wp:positionV>
            <wp:extent cx="711517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31F20"/>
        </w:rPr>
        <w:t>SECURITIES AND EXCHANGE COMMISSION</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WASHINGTON, D.C. 20549</w:t>
      </w:r>
    </w:p>
    <w:p>
      <w:pPr>
        <w:spacing w:after="0" w:line="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FORM 10-K</w:t>
      </w:r>
    </w:p>
    <w:p>
      <w:pPr>
        <w:spacing w:after="0" w:line="2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1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231F20"/>
        </w:rPr>
        <w:t>(Mark One)</w:t>
      </w:r>
    </w:p>
    <w:p>
      <w:pPr>
        <w:ind w:left="440" w:hanging="414"/>
        <w:spacing w:after="0" w:line="211" w:lineRule="auto"/>
        <w:tabs>
          <w:tab w:leader="none" w:pos="440" w:val="left"/>
        </w:tabs>
        <w:numPr>
          <w:ilvl w:val="0"/>
          <w:numId w:val="1"/>
        </w:numPr>
        <w:rPr>
          <w:rFonts w:ascii="Wingdings" w:cs="Wingdings" w:eastAsia="Wingdings" w:hAnsi="Wingdings"/>
          <w:sz w:val="29"/>
          <w:szCs w:val="29"/>
          <w:b w:val="1"/>
          <w:bCs w:val="1"/>
          <w:color w:val="auto"/>
          <w:vertAlign w:val="superscript"/>
        </w:rPr>
      </w:pPr>
      <w:r>
        <w:rPr>
          <w:rFonts w:ascii="Times New Roman" w:cs="Times New Roman" w:eastAsia="Times New Roman" w:hAnsi="Times New Roman"/>
          <w:sz w:val="14"/>
          <w:szCs w:val="14"/>
          <w:b w:val="1"/>
          <w:bCs w:val="1"/>
          <w:color w:val="231F20"/>
        </w:rPr>
        <w:t>ANNUAL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 xml:space="preserve">FOR THE FISCAL YEAR ENDED </w:t>
      </w:r>
      <w:r>
        <w:rPr>
          <w:rFonts w:ascii="Times New Roman" w:cs="Times New Roman" w:eastAsia="Times New Roman" w:hAnsi="Times New Roman"/>
          <w:sz w:val="14"/>
          <w:szCs w:val="14"/>
          <w:b w:val="1"/>
          <w:bCs w:val="1"/>
          <w:color w:val="000000"/>
        </w:rPr>
        <w:t>DECEMBER 31, 2023</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0"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231F20"/>
        </w:rPr>
        <w:t>TRANSITION REPORT PURSUANT TO SECTION 13 OR 15(D) OF THE SECURITIES EXCHANGE ACT OF 1934</w:t>
      </w:r>
    </w:p>
    <w:p>
      <w:pPr>
        <w:spacing w:after="0" w:line="199" w:lineRule="exact"/>
        <w:rPr>
          <w:sz w:val="24"/>
          <w:szCs w:val="24"/>
          <w:color w:val="auto"/>
        </w:rPr>
      </w:pPr>
    </w:p>
    <w:p>
      <w:pPr>
        <w:ind w:left="3980"/>
        <w:spacing w:after="0"/>
        <w:tabs>
          <w:tab w:leader="none" w:pos="6520" w:val="left"/>
        </w:tabs>
        <w:rPr>
          <w:sz w:val="20"/>
          <w:szCs w:val="20"/>
          <w:color w:val="auto"/>
        </w:rPr>
      </w:pPr>
      <w:r>
        <w:rPr>
          <w:rFonts w:ascii="Times New Roman" w:cs="Times New Roman" w:eastAsia="Times New Roman" w:hAnsi="Times New Roman"/>
          <w:sz w:val="11"/>
          <w:szCs w:val="11"/>
          <w:b w:val="1"/>
          <w:bCs w:val="1"/>
          <w:color w:val="231F20"/>
        </w:rPr>
        <w:t>FOR THE TRANSITION PERIOD FROM</w:t>
      </w:r>
      <w:r>
        <w:rPr>
          <w:sz w:val="20"/>
          <w:szCs w:val="20"/>
          <w:color w:val="auto"/>
        </w:rPr>
        <w:tab/>
      </w:r>
      <w:r>
        <w:rPr>
          <w:rFonts w:ascii="Times New Roman" w:cs="Times New Roman" w:eastAsia="Times New Roman" w:hAnsi="Times New Roman"/>
          <w:sz w:val="11"/>
          <w:szCs w:val="11"/>
          <w:b w:val="1"/>
          <w:bCs w:val="1"/>
          <w:color w:val="231F20"/>
        </w:rPr>
        <w:t>TO</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COMMISSION FILE NUMBER 001-36485</w:t>
      </w:r>
    </w:p>
    <w:p>
      <w:pPr>
        <w:spacing w:after="0" w:line="2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12065</wp:posOffset>
            </wp:positionV>
            <wp:extent cx="857250" cy="857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ARDELYX,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(EXACT NAME OF REGISTRANT AS SPECIFIED IN ITS CHARTER)</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ectPr>
          <w:pgSz w:w="11900" w:h="16838" w:orient="portrait"/>
          <w:cols w:equalWidth="0" w:num="1">
            <w:col w:w="11240"/>
          </w:cols>
          <w:pgMar w:left="320" w:top="229" w:right="339" w:bottom="0" w:gutter="0" w:footer="0" w:header="0"/>
        </w:sectPr>
      </w:pPr>
    </w:p>
    <w:p>
      <w:pPr>
        <w:spacing w:after="0" w:line="13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26-1303944</w:t>
      </w:r>
    </w:p>
    <w:p>
      <w:pPr>
        <w:spacing w:after="0" w:line="78" w:lineRule="exact"/>
        <w:rPr>
          <w:sz w:val="24"/>
          <w:szCs w:val="24"/>
          <w:color w:val="auto"/>
        </w:rPr>
      </w:pPr>
    </w:p>
    <w:p>
      <w:pPr>
        <w:sectPr>
          <w:pgSz w:w="11900" w:h="16838" w:orient="portrait"/>
          <w:cols w:equalWidth="0" w:num="2">
            <w:col w:w="7340" w:space="720"/>
            <w:col w:w="3180"/>
          </w:cols>
          <w:pgMar w:left="320" w:top="229" w:right="339" w:bottom="0" w:gutter="0" w:footer="0" w:header="0"/>
          <w:type w:val="continuous"/>
        </w:sectPr>
      </w:pPr>
    </w:p>
    <w:p>
      <w:pPr>
        <w:ind w:left="18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7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63"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29" w:right="339" w:bottom="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 xml:space="preserve">400 FIFTH AVE., SUITE 210, WALTHAM, MASSACHUSETTS </w:t>
      </w:r>
      <w:r>
        <w:rPr>
          <w:rFonts w:ascii="Times New Roman" w:cs="Times New Roman" w:eastAsia="Times New Roman" w:hAnsi="Times New Roman"/>
          <w:sz w:val="12"/>
          <w:szCs w:val="12"/>
          <w:b w:val="1"/>
          <w:bCs w:val="1"/>
          <w:color w:val="000000"/>
        </w:rPr>
        <w:t>02451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231F20"/>
        </w:rPr>
        <w:t>(ADDRESS OF PRINCIPAL EXECUTIVE OFFICES, INCLUDING ZIP CODE)</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(510) 745-1700</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231F20"/>
        </w:rPr>
        <w:t>(REGISTRANT’S TELEPHONE NUMBER, INCLUDING AREA CODE)</w:t>
      </w:r>
    </w:p>
    <w:p>
      <w:pPr>
        <w:sectPr>
          <w:pgSz w:w="11900" w:h="16838" w:orient="portrait"/>
          <w:cols w:equalWidth="0" w:num="1">
            <w:col w:w="11240"/>
          </w:cols>
          <w:pgMar w:left="320" w:top="229" w:right="339" w:bottom="0" w:gutter="0" w:footer="0" w:header="0"/>
          <w:type w:val="continuous"/>
        </w:sectPr>
      </w:pPr>
    </w:p>
    <w:p>
      <w:pPr>
        <w:spacing w:after="0" w:line="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3140" w:type="dxa"/>
            <w:vAlign w:val="bottom"/>
          </w:tcPr>
          <w:p>
            <w:pPr>
              <w:jc w:val="center"/>
              <w:ind w:left="382"/>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50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060" w:type="dxa"/>
            <w:vAlign w:val="bottom"/>
          </w:tcPr>
          <w:p>
            <w:pPr>
              <w:jc w:val="center"/>
              <w:ind w:right="482"/>
              <w:spacing w:after="0"/>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22"/>
        </w:trPr>
        <w:tc>
          <w:tcPr>
            <w:tcW w:w="3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60"/>
        </w:trPr>
        <w:tc>
          <w:tcPr>
            <w:tcW w:w="3140" w:type="dxa"/>
            <w:vAlign w:val="bottom"/>
            <w:tcBorders>
              <w:top w:val="single" w:sz="8" w:color="auto"/>
            </w:tcBorders>
          </w:tcPr>
          <w:p>
            <w:pPr>
              <w:jc w:val="center"/>
              <w:ind w:left="382"/>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4260" w:type="dxa"/>
            <w:vAlign w:val="bottom"/>
            <w:tcBorders>
              <w:top w:val="single" w:sz="8" w:color="auto"/>
            </w:tcBorders>
          </w:tcPr>
          <w:p>
            <w:pPr>
              <w:jc w:val="center"/>
              <w:ind w:left="593"/>
              <w:spacing w:after="0"/>
              <w:rPr>
                <w:sz w:val="20"/>
                <w:szCs w:val="20"/>
                <w:color w:val="auto"/>
              </w:rPr>
            </w:pPr>
            <w:r>
              <w:rPr>
                <w:rFonts w:ascii="Times New Roman" w:cs="Times New Roman" w:eastAsia="Times New Roman" w:hAnsi="Times New Roman"/>
                <w:sz w:val="13"/>
                <w:szCs w:val="13"/>
                <w:b w:val="1"/>
                <w:bCs w:val="1"/>
                <w:color w:val="auto"/>
                <w:w w:val="95"/>
              </w:rPr>
              <w:t>ARDX</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60" w:type="dxa"/>
            <w:vAlign w:val="bottom"/>
            <w:tcBorders>
              <w:top w:val="single" w:sz="8" w:color="auto"/>
            </w:tcBorders>
          </w:tcPr>
          <w:p>
            <w:pPr>
              <w:jc w:val="center"/>
              <w:ind w:right="482"/>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r>
      <w:tr>
        <w:trPr>
          <w:trHeight w:val="338"/>
        </w:trPr>
        <w:tc>
          <w:tcPr>
            <w:tcW w:w="3140" w:type="dxa"/>
            <w:vAlign w:val="bottom"/>
          </w:tcPr>
          <w:p>
            <w:pPr>
              <w:spacing w:after="0"/>
              <w:rPr>
                <w:sz w:val="24"/>
                <w:szCs w:val="24"/>
                <w:color w:val="auto"/>
              </w:rPr>
            </w:pPr>
          </w:p>
        </w:tc>
        <w:tc>
          <w:tcPr>
            <w:tcW w:w="50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w w:val="96"/>
              </w:rPr>
              <w:t>Securities registered pursuant to Section 12(g) of the Act: None</w:t>
            </w:r>
          </w:p>
        </w:tc>
        <w:tc>
          <w:tcPr>
            <w:tcW w:w="3060" w:type="dxa"/>
            <w:vAlign w:val="bottom"/>
          </w:tcPr>
          <w:p>
            <w:pPr>
              <w:spacing w:after="0"/>
              <w:rPr>
                <w:sz w:val="24"/>
                <w:szCs w:val="24"/>
                <w:color w:val="auto"/>
              </w:rPr>
            </w:pPr>
          </w:p>
        </w:tc>
      </w:tr>
      <w:tr>
        <w:trPr>
          <w:trHeight w:val="238"/>
        </w:trPr>
        <w:tc>
          <w:tcPr>
            <w:tcW w:w="3140" w:type="dxa"/>
            <w:vAlign w:val="bottom"/>
          </w:tcPr>
          <w:p>
            <w:pPr>
              <w:spacing w:after="0"/>
              <w:rPr>
                <w:sz w:val="20"/>
                <w:szCs w:val="20"/>
                <w:color w:val="auto"/>
              </w:rPr>
            </w:pPr>
          </w:p>
        </w:tc>
        <w:tc>
          <w:tcPr>
            <w:tcW w:w="50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231F20"/>
                <w:w w:val="99"/>
              </w:rPr>
              <w:t>____________________________________________________</w:t>
            </w:r>
          </w:p>
        </w:tc>
        <w:tc>
          <w:tcPr>
            <w:tcW w:w="3060" w:type="dxa"/>
            <w:vAlign w:val="bottom"/>
          </w:tcPr>
          <w:p>
            <w:pPr>
              <w:spacing w:after="0"/>
              <w:rPr>
                <w:sz w:val="20"/>
                <w:szCs w:val="20"/>
                <w:color w:val="auto"/>
              </w:rPr>
            </w:pPr>
          </w:p>
        </w:tc>
      </w:tr>
    </w:tbl>
    <w:p>
      <w:pPr>
        <w:spacing w:after="0" w:line="72" w:lineRule="exact"/>
        <w:rPr>
          <w:sz w:val="24"/>
          <w:szCs w:val="24"/>
          <w:color w:val="auto"/>
        </w:rPr>
      </w:pPr>
    </w:p>
    <w:p>
      <w:pPr>
        <w:ind w:right="3600"/>
        <w:spacing w:after="0" w:line="402" w:lineRule="auto"/>
        <w:rPr>
          <w:sz w:val="20"/>
          <w:szCs w:val="20"/>
          <w:color w:val="auto"/>
        </w:rPr>
      </w:pPr>
      <w:r>
        <w:rPr>
          <w:rFonts w:ascii="Times New Roman" w:cs="Times New Roman" w:eastAsia="Times New Roman" w:hAnsi="Times New Roman"/>
          <w:sz w:val="14"/>
          <w:szCs w:val="14"/>
          <w:color w:val="231F20"/>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Indicate by check mark if the Registrant is not required to file reports pursuant to Section 13 or 15(d) of the Act. Yes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000000"/>
        </w:rPr>
        <w:t>x</w:t>
      </w:r>
    </w:p>
    <w:p>
      <w:pPr>
        <w:spacing w:after="0" w:line="1" w:lineRule="exact"/>
        <w:rPr>
          <w:sz w:val="24"/>
          <w:szCs w:val="24"/>
          <w:color w:val="auto"/>
        </w:rPr>
      </w:pPr>
    </w:p>
    <w:p>
      <w:pPr>
        <w:ind w:right="120"/>
        <w:spacing w:after="0" w:line="362"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231F20"/>
        </w:rPr>
        <w:t>o</w:t>
      </w:r>
    </w:p>
    <w:p>
      <w:pPr>
        <w:ind w:right="40"/>
        <w:spacing w:after="0" w:line="301"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000000"/>
        </w:rPr>
        <w:t>x</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231F20"/>
        </w:rPr>
        <w:t>o</w:t>
      </w:r>
    </w:p>
    <w:p>
      <w:pPr>
        <w:ind w:right="440"/>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1380" w:type="dxa"/>
        <w:tblCellMar>
          <w:top w:w="0" w:type="dxa"/>
          <w:left w:w="0" w:type="dxa"/>
          <w:bottom w:w="0" w:type="dxa"/>
          <w:right w:w="0" w:type="dxa"/>
        </w:tblCellMar>
      </w:tblP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231F20"/>
              </w:rPr>
              <w:t>Large accelerated filer</w:t>
            </w:r>
          </w:p>
        </w:tc>
        <w:tc>
          <w:tcPr>
            <w:tcW w:w="1900" w:type="dxa"/>
            <w:vAlign w:val="bottom"/>
          </w:tcPr>
          <w:p>
            <w:pPr>
              <w:ind w:left="900"/>
              <w:spacing w:after="0"/>
              <w:rPr>
                <w:sz w:val="20"/>
                <w:szCs w:val="20"/>
                <w:color w:val="auto"/>
              </w:rPr>
            </w:pPr>
            <w:r>
              <w:rPr>
                <w:rFonts w:ascii="Wingdings" w:cs="Wingdings" w:eastAsia="Wingdings" w:hAnsi="Wingdings"/>
                <w:sz w:val="14"/>
                <w:szCs w:val="14"/>
                <w:b w:val="1"/>
                <w:bCs w:val="1"/>
                <w:color w:val="auto"/>
              </w:rPr>
              <w:t>x</w:t>
            </w: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Accelerated filer</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231F20"/>
                <w:w w:val="95"/>
              </w:rPr>
              <w:t>o</w:t>
            </w:r>
          </w:p>
        </w:tc>
      </w:tr>
      <w:tr>
        <w:trPr>
          <w:trHeight w:val="25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231F20"/>
              </w:rPr>
              <w:t>Non-accelerated filer</w:t>
            </w:r>
          </w:p>
        </w:tc>
        <w:tc>
          <w:tcPr>
            <w:tcW w:w="1900" w:type="dxa"/>
            <w:vAlign w:val="bottom"/>
          </w:tcPr>
          <w:p>
            <w:pPr>
              <w:ind w:left="900"/>
              <w:spacing w:after="0"/>
              <w:rPr>
                <w:sz w:val="20"/>
                <w:szCs w:val="20"/>
                <w:color w:val="auto"/>
              </w:rPr>
            </w:pPr>
            <w:r>
              <w:rPr>
                <w:rFonts w:ascii="Wingdings" w:cs="Wingdings" w:eastAsia="Wingdings" w:hAnsi="Wingdings"/>
                <w:sz w:val="14"/>
                <w:szCs w:val="14"/>
                <w:b w:val="1"/>
                <w:bCs w:val="1"/>
                <w:color w:val="231F20"/>
              </w:rPr>
              <w:t>o</w:t>
            </w: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Small reporting company</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231F20"/>
                <w:w w:val="80"/>
              </w:rPr>
              <w:t>x</w:t>
            </w:r>
          </w:p>
        </w:tc>
      </w:tr>
      <w:tr>
        <w:trPr>
          <w:trHeight w:val="257"/>
        </w:trPr>
        <w:tc>
          <w:tcPr>
            <w:tcW w:w="21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color w:val="231F20"/>
              </w:rPr>
              <w:t>Emerging growth company</w:t>
            </w:r>
          </w:p>
        </w:tc>
        <w:tc>
          <w:tcPr>
            <w:tcW w:w="900" w:type="dxa"/>
            <w:vAlign w:val="bottom"/>
          </w:tcPr>
          <w:p>
            <w:pPr>
              <w:ind w:left="760"/>
              <w:spacing w:after="0"/>
              <w:rPr>
                <w:sz w:val="20"/>
                <w:szCs w:val="20"/>
                <w:color w:val="auto"/>
              </w:rPr>
            </w:pPr>
            <w:r>
              <w:rPr>
                <w:rFonts w:ascii="Wingdings" w:cs="Wingdings" w:eastAsia="Wingdings" w:hAnsi="Wingdings"/>
                <w:sz w:val="14"/>
                <w:szCs w:val="14"/>
                <w:b w:val="1"/>
                <w:bCs w:val="1"/>
                <w:color w:val="231F20"/>
                <w:w w:val="95"/>
              </w:rPr>
              <w:t>o</w:t>
            </w:r>
          </w:p>
        </w:tc>
      </w:tr>
    </w:tbl>
    <w:p>
      <w:pPr>
        <w:spacing w:after="0" w:line="149" w:lineRule="exact"/>
        <w:rPr>
          <w:sz w:val="24"/>
          <w:szCs w:val="24"/>
          <w:color w:val="auto"/>
        </w:rPr>
      </w:pPr>
    </w:p>
    <w:p>
      <w:pPr>
        <w:ind w:right="560"/>
        <w:spacing w:after="0" w:line="311" w:lineRule="auto"/>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231F20"/>
        </w:rPr>
        <w:t>o</w:t>
      </w:r>
    </w:p>
    <w:p>
      <w:pPr>
        <w:spacing w:after="0" w:line="1" w:lineRule="exact"/>
        <w:rPr>
          <w:sz w:val="24"/>
          <w:szCs w:val="24"/>
          <w:color w:val="auto"/>
        </w:rPr>
      </w:pPr>
    </w:p>
    <w:p>
      <w:pPr>
        <w:ind w:right="6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Indicate by check mark whether the Registrant is a shell company (as defined in Rule 12b-2 of the Exchange Act). Yes </w:t>
      </w:r>
      <w:r>
        <w:rPr>
          <w:rFonts w:ascii="Wingdings" w:cs="Wingdings" w:eastAsia="Wingdings" w:hAnsi="Wingdings"/>
          <w:sz w:val="14"/>
          <w:szCs w:val="14"/>
          <w:b w:val="1"/>
          <w:bCs w:val="1"/>
          <w:color w:val="231F20"/>
        </w:rPr>
        <w:t>o</w:t>
      </w:r>
      <w:r>
        <w:rPr>
          <w:rFonts w:ascii="Times New Roman" w:cs="Times New Roman" w:eastAsia="Times New Roman" w:hAnsi="Times New Roman"/>
          <w:sz w:val="14"/>
          <w:szCs w:val="14"/>
          <w:color w:val="231F20"/>
        </w:rPr>
        <w:t xml:space="preserve"> No </w:t>
      </w:r>
      <w:r>
        <w:rPr>
          <w:rFonts w:ascii="Wingdings" w:cs="Wingdings" w:eastAsia="Wingdings" w:hAnsi="Wingdings"/>
          <w:sz w:val="14"/>
          <w:szCs w:val="14"/>
          <w:b w:val="1"/>
          <w:bCs w:val="1"/>
          <w:color w:val="000000"/>
        </w:rPr>
        <w:t>x</w:t>
      </w:r>
    </w:p>
    <w:p>
      <w:pPr>
        <w:spacing w:after="0" w:line="6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231F20"/>
        </w:rPr>
        <w:t xml:space="preserve">The aggregate market value of the Registrant’s common stock held by non-affiliates of the Registrant as of the last business day of the Registrant’s most recently completed second fiscal quarter, June 30, 2023, based on the last reported sales price of the Registrant’s common stock on the Nasdaq Global Market of $3.39 per share was </w:t>
      </w:r>
      <w:r>
        <w:rPr>
          <w:rFonts w:ascii="Times New Roman" w:cs="Times New Roman" w:eastAsia="Times New Roman" w:hAnsi="Times New Roman"/>
          <w:sz w:val="14"/>
          <w:szCs w:val="14"/>
          <w:color w:val="000000"/>
        </w:rPr>
        <w:t>$724,838,738</w:t>
      </w:r>
      <w:r>
        <w:rPr>
          <w:rFonts w:ascii="Times New Roman" w:cs="Times New Roman" w:eastAsia="Times New Roman" w:hAnsi="Times New Roman"/>
          <w:sz w:val="14"/>
          <w:szCs w:val="14"/>
          <w:color w:val="231F20"/>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 number of shares of Registrant’s Common Stock outstanding as of February 16, 2024, was </w:t>
      </w:r>
      <w:r>
        <w:rPr>
          <w:rFonts w:ascii="Times New Roman" w:cs="Times New Roman" w:eastAsia="Times New Roman" w:hAnsi="Times New Roman"/>
          <w:sz w:val="14"/>
          <w:szCs w:val="14"/>
          <w:color w:val="000000"/>
        </w:rPr>
        <w:t>232,686,008</w:t>
      </w:r>
      <w:r>
        <w:rPr>
          <w:rFonts w:ascii="Times New Roman" w:cs="Times New Roman" w:eastAsia="Times New Roman" w:hAnsi="Times New Roman"/>
          <w:sz w:val="14"/>
          <w:szCs w:val="14"/>
          <w:color w:val="231F20"/>
        </w:rPr>
        <w: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DOCUMENTS INCORPORATED BY REFERENCE:</w:t>
      </w:r>
    </w:p>
    <w:p>
      <w:pPr>
        <w:spacing w:after="0" w:line="105"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231F20"/>
        </w:rPr>
        <w:t>Portions of the Registrant’s Definitive Proxy Statement for its 2024 Annual Meeting of Stockholders, which will be filed with the Commission within 120 days of December 31, 2023, the close of the Registrant’s 2023 fiscal year, are incorporated by reference into Part III of this Report</w:t>
      </w:r>
      <w:r>
        <w:rPr>
          <w:rFonts w:ascii="Times New Roman" w:cs="Times New Roman" w:eastAsia="Times New Roman" w:hAnsi="Times New Roman"/>
          <w:sz w:val="12"/>
          <w:szCs w:val="12"/>
          <w:color w:val="231F20"/>
        </w:rPr>
        <w:t>.</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132080</wp:posOffset>
            </wp:positionV>
            <wp:extent cx="711517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2603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 REGARDING FORWARD-LOOKING STATEMENTS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Annual Report on Form 10-K the terms “Ardelyx”, “we,” “us,” “our” and “the Company” refer to Ardelyx, Inc.</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5" w:lineRule="exact"/>
        <w:rPr>
          <w:sz w:val="20"/>
          <w:szCs w:val="20"/>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XPHOZAH, along with other oral ESRD-related drugs without an injectable or intravenous equivalent, are bundled into the ESRD prospective payment system (ESRD PPS), and the manner in which such introduction into the ESRD PPS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RDX013 and RDX020;</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Annual Report on Form 10-K. Except as required by law, we assume no obligation to update any forward-looking statement publicly, or to revise any forward-looking statement to reflect events or developments occurring after the date of this Annual Report on Form 10-K, even if new information becomes available in the future. Thus, you should not assume that our silence over time means that actual events are bearing out as expressed or implied in any such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 ASSOCIATED WITH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252" w:lineRule="exact"/>
        <w:rPr>
          <w:sz w:val="20"/>
          <w:szCs w:val="20"/>
          <w:color w:val="auto"/>
        </w:rPr>
      </w:pPr>
    </w:p>
    <w:p>
      <w:pPr>
        <w:ind w:left="340" w:right="60" w:hanging="332"/>
        <w:spacing w:after="0" w:line="257"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profitable and have incurred losses since our inception in October 2007, and we expect to continue to incur operating losses in the future as we commercialize IBSRELA and XPHOZAH, incur manufacturing and development costs for tenapanor, and incur research and development costs related to potential new product candidates.</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for the foreseeable future as we invest in the commercialization of IBSRELA and XPHOZAH in the U.S, and incur research and development cost related to potential new product candidates. The inability to access necessary capital when needed on acceptable terms, or at all, could force us to reduce our efforts to commercialize IBSRELA and XPHOZAH, or to delay or limit our pursuit of potential new product candidates.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limited revenue from product sales and may never be profitable.</w:t>
      </w:r>
    </w:p>
    <w:p>
      <w:pPr>
        <w:spacing w:after="0" w:line="9" w:lineRule="exact"/>
        <w:rPr>
          <w:rFonts w:ascii="Times New Roman" w:cs="Times New Roman" w:eastAsia="Times New Roman" w:hAnsi="Times New Roman"/>
          <w:sz w:val="18"/>
          <w:szCs w:val="18"/>
          <w:color w:val="auto"/>
        </w:rPr>
      </w:pPr>
    </w:p>
    <w:p>
      <w:pPr>
        <w:jc w:val="both"/>
        <w:ind w:left="340" w:right="30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we will achieve sufficient market acceptance for XPHOZAH, secure and maintain adequate coverage and reimbursement for XPHOZAH, or generate sufficient revenue from product sales of XPHOZAH.</w:t>
      </w: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no legislative or regulatory action is taken to further delay the inclusion of oral only ESRD related drugs in the ESRD prospective payment system (ESRD PPS), XPHOZAH will become part of the ESRD PPS on January 1, 2025, and will no longer be separately paid for under Part D, and as a result the revenue that we may generate on sales of XPHOZAH will be negatively and materially impacted.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and/or XPHOZAH may cause undesirable side effects or have other properties that could limit the commercial success of the product.</w:t>
      </w:r>
    </w:p>
    <w:p>
      <w:pPr>
        <w:spacing w:after="0" w:line="9" w:lineRule="exact"/>
        <w:rPr>
          <w:rFonts w:ascii="Times New Roman" w:cs="Times New Roman" w:eastAsia="Times New Roman" w:hAnsi="Times New Roman"/>
          <w:sz w:val="18"/>
          <w:szCs w:val="18"/>
          <w:color w:val="auto"/>
        </w:rPr>
      </w:pPr>
    </w:p>
    <w:p>
      <w:pPr>
        <w:ind w:left="340" w:hanging="332"/>
        <w:spacing w:after="0" w:line="265" w:lineRule="auto"/>
        <w:tabs>
          <w:tab w:leader="none" w:pos="3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ind w:left="340" w:hanging="332"/>
        <w:spacing w:after="0" w:line="265" w:lineRule="auto"/>
        <w:tabs>
          <w:tab w:leader="none" w:pos="3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depend on contract manufacturing organizations (CMOs), many of whom are our single source manufacturers.</w:t>
      </w:r>
    </w:p>
    <w:p>
      <w:pPr>
        <w:spacing w:after="0" w:line="9" w:lineRule="exact"/>
        <w:rPr>
          <w:rFonts w:ascii="Times New Roman" w:cs="Times New Roman" w:eastAsia="Times New Roman" w:hAnsi="Times New Roman"/>
          <w:sz w:val="18"/>
          <w:szCs w:val="18"/>
          <w:color w:val="auto"/>
        </w:rPr>
      </w:pPr>
    </w:p>
    <w:p>
      <w:pPr>
        <w:ind w:left="340" w:right="300" w:hanging="332"/>
        <w:spacing w:after="0" w:line="255"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25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are trademarks of Ardelyx. All other trademarks, trade names and service 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 FOR THE FISCAL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960" w:type="dxa"/>
            <w:vAlign w:val="bottom"/>
            <w:gridSpan w:val="10"/>
            <w:vMerge w:val="restart"/>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gridSpan w:val="10"/>
            <w:vMerge w:val="continue"/>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6"/>
          </w:tcPr>
          <w:p>
            <w:pPr>
              <w:spacing w:after="0"/>
              <w:rPr>
                <w:sz w:val="19"/>
                <w:szCs w:val="19"/>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20" w:type="dxa"/>
            <w:vAlign w:val="bottom"/>
          </w:tcPr>
          <w:p>
            <w:pPr>
              <w:spacing w:after="0"/>
              <w:rPr>
                <w:sz w:val="21"/>
                <w:szCs w:val="21"/>
                <w:color w:val="auto"/>
              </w:rPr>
            </w:pPr>
          </w:p>
        </w:tc>
        <w:tc>
          <w:tcPr>
            <w:tcW w:w="280" w:type="dxa"/>
            <w:vAlign w:val="bottom"/>
            <w:gridSpan w:val="3"/>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1"/>
                <w:szCs w:val="21"/>
                <w:color w:val="auto"/>
              </w:rPr>
            </w:pPr>
          </w:p>
        </w:tc>
        <w:tc>
          <w:tcPr>
            <w:tcW w:w="300" w:type="dxa"/>
            <w:vAlign w:val="bottom"/>
            <w:gridSpan w:val="4"/>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1"/>
              </w:rPr>
              <w:t>PART II</w:t>
            </w:r>
          </w:p>
        </w:tc>
        <w:tc>
          <w:tcPr>
            <w:tcW w:w="4340" w:type="dxa"/>
            <w:vAlign w:val="bottom"/>
            <w:gridSpan w:val="8"/>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160" w:type="dxa"/>
            <w:vAlign w:val="bottom"/>
            <w:gridSpan w:val="4"/>
          </w:tcPr>
          <w:p>
            <w:pPr>
              <w:spacing w:after="0"/>
              <w:rPr>
                <w:sz w:val="21"/>
                <w:szCs w:val="21"/>
                <w:color w:val="auto"/>
              </w:rPr>
            </w:pP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420" w:type="dxa"/>
            <w:vAlign w:val="bottom"/>
            <w:gridSpan w:val="6"/>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9A.</w:t>
            </w: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9B.</w:t>
            </w:r>
          </w:p>
        </w:tc>
        <w:tc>
          <w:tcPr>
            <w:tcW w:w="2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20" w:type="dxa"/>
            <w:vAlign w:val="bottom"/>
          </w:tcPr>
          <w:p>
            <w:pPr>
              <w:spacing w:after="0"/>
              <w:rPr>
                <w:sz w:val="21"/>
                <w:szCs w:val="21"/>
                <w:color w:val="auto"/>
              </w:rPr>
            </w:pPr>
          </w:p>
        </w:tc>
        <w:tc>
          <w:tcPr>
            <w:tcW w:w="280" w:type="dxa"/>
            <w:vAlign w:val="bottom"/>
            <w:gridSpan w:val="3"/>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300" w:type="dxa"/>
            <w:vAlign w:val="bottom"/>
            <w:gridSpan w:val="6"/>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10.</w:t>
            </w: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340" w:type="dxa"/>
            <w:vAlign w:val="bottom"/>
            <w:gridSpan w:val="5"/>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12.</w:t>
            </w:r>
          </w:p>
        </w:tc>
        <w:tc>
          <w:tcPr>
            <w:tcW w:w="180" w:type="dxa"/>
            <w:vAlign w:val="bottom"/>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13.</w:t>
            </w:r>
          </w:p>
        </w:tc>
        <w:tc>
          <w:tcPr>
            <w:tcW w:w="180" w:type="dxa"/>
            <w:vAlign w:val="bottom"/>
          </w:tcPr>
          <w:p>
            <w:pPr>
              <w:spacing w:after="0"/>
              <w:rPr>
                <w:sz w:val="21"/>
                <w:szCs w:val="21"/>
                <w:color w:val="auto"/>
              </w:rPr>
            </w:pP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20" w:type="dxa"/>
            <w:vAlign w:val="bottom"/>
            <w:gridSpan w:val="11"/>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15.</w:t>
            </w:r>
          </w:p>
        </w:tc>
        <w:tc>
          <w:tcPr>
            <w:tcW w:w="4520" w:type="dxa"/>
            <w:vAlign w:val="bottom"/>
            <w:gridSpan w:val="17"/>
          </w:tcPr>
          <w:p>
            <w:pPr>
              <w:ind w:left="16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40" w:type="dxa"/>
            <w:vAlign w:val="bottom"/>
            <w:tcBorders>
              <w:top w:val="single" w:sz="8" w:color="0000FF"/>
            </w:tcBorders>
            <w:gridSpan w:val="3"/>
          </w:tcPr>
          <w:p>
            <w:pPr>
              <w:spacing w:after="0"/>
              <w:rPr>
                <w:sz w:val="21"/>
                <w:szCs w:val="21"/>
                <w:color w:val="auto"/>
              </w:rPr>
            </w:pPr>
          </w:p>
        </w:tc>
        <w:tc>
          <w:tcPr>
            <w:tcW w:w="4320" w:type="dxa"/>
            <w:vAlign w:val="bottom"/>
            <w:gridSpan w:val="7"/>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2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16.</w:t>
            </w:r>
          </w:p>
        </w:tc>
        <w:tc>
          <w:tcPr>
            <w:tcW w:w="94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18"/>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irritable bowel syndrome with constipation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as well as commercialization activities, including the marketing and sales of IBSRELA and XPHOZAH. We realized our first product sales of IBSRELA in March 2022 and realized our first product sales of XPHOZAH in November 2023. As of December 31, 2023, we had an accumulated deficit of $846.2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invest in the commercialization of IBSRELA and XPHOZAH, incur manufacturing and development cost for tenapanor, and incur R&amp;D cost related to potential new product candidates. To date, we have funded our operations from the sale and issuance of common stock and convertible preferred stock, funds from our collaboration partnerships, which includes license fees, milestones and product supply revenue, funds from our loan agreements with SLR Investment Corp. (SLR), as amended, as well as from sales of IBSRELA and XPHOZAH.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Products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for IBS-C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unique discovery platform and deep understanding of the primary mechanism of sodium transport in the intestine resulted in our discovery and development of IBSRELA, a first-in-class, U.S. FDA approved, sodium hydrogen exchange 3 (NHE3) inhibitor for the treatment of IBS-C in adults. IBSRELA acts locally in the gut and is minimally absorbed. IBS-C is a gastrointestinal (GI) disorder characterized by both abdominal pain and altered bowel habits. IBS-C is associated with significantly impaired quality of life, reduced productivity, and substantial economic burden.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who account for approximately 50% of IBS-C prescriptions. Central to our go to market strategy for IBSRELA has been our highly experienced specialty sales force, many with existing relationships across their GI target base, and innovative omnichannel and digital initiatives.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 In October 2023, we announced that Fosun Pharma received approval from the Hong Kong Department of Health for the marketing application for tenapanor for the treatment of IBS-C.</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XPHOZAH to Reduce Serum Phosphorus in Adults with CKD on Dialysis as Add-on Therapy in Patients Who Have an Inadequate Response to Phosphate Binders or Who are Intolerant of Any Dose of Phosphate Binder Therapy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17, 2023, XPHOZAH, a first-in-class phosphate absorption inhibitor, received approval from the U.S. FDA to be marketed in the U.S. to reduce serum phosphorus in adults with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eighty percent of those patients are being treated with phosphate lowering therapies. On average during 2020 through 2023, approximately seventy percent of patients treated with phosphate binders to treat hyperphosphatemia were unable to consistently maintain phosphorous levels &lt;=5.5 mg/dL over a six-month period. XPHOZAH is the first therapy for phosphate management that blocks phosphate absorption at the primary site of uptake.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our first sales of XPHOZAH in the U.S. in November 2023. 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concentrated number of prescribers, and recognized unmet need. In addition, market research indicated a high level of awareness, interest and intent to adopt XPHOZAH upon approval and favorable response to the XPHOZAH product profile as a novel mechanism therapy. These dynamics enabled a targeted promotional focus on patients currently being managed for hyperphosphatemia by the approximately 8,000 nephrology healthcare providers who write approximately 80% of phosphate lowering therapy prescriptions. Central to our go to market strategy for XPHOZAH is our highly experienced specialty sales force, many with existing relationships across their nephrology target base, and innovative omnichannel digital initiatives.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FDA approval via the 505(b)(2) pathway. Additionally, Chugai and Alebund are developing EOS789, an inhibitor of phosphate transporters NaPi-2b, PiT-1, and PiT-2, thus far studied in a phase 1 clinical trial.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XPHOZAH was granted orphan drug designation by the U.S. FDA for the treatment of pediatric hyperphosphatemia.</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commercial agreements with Kyowa Kirin, Co. Ltd. (Kyowa Kirin) in Japan, Fosun Pharma in China and Knight in Canada for tenapanor for hyperphosphatemia. In July 2023, we announced that a New Drug Application (NDA) for tenapanor had been accepted for review by China’s Center for Drug Evaluation of the National Medical Products Administration (NMPA) for the control of serum phosphorus in adult patients with CKD on hemodialysis. In September 2023, we announced that Kyowa Kirin received approval from the Japanese Ministry of Health, Labour and Welfare (MHLW) for the NDA for tenapanor for the improvement of hyperphosphatemia in adult patients with CKD on dialysis.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discovery program targeting the inhibition of the chloride bicarbonate exchanger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XPHOZAH.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Strategy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developed a portfolio of novel products to address unmet medical needs across gastrointestinal and cardiorenal therapeutic areas and intend to commercialize our products in the U.S. We have established a high-quality commercial organization highly experienced in bringing novel products to our customers, including patients, payors and healthcare providers. Our commercial capabilities, including marketing, access, patient services and sales are designed to support our commercialization of IBSRELA and XPHOZAH. We have executed ex-U.S. collaborations with established industry leaders to efficiently bring XPHOZAH and IBSRELA to patients in specific territories outside of the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evaluate our strategy for the commercialization of IBSRELA and XPHOZAH in other ex-U.S. territories.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exclusive rights to tenapanor in the U.S. and we have established agreements with Kyowa Kirin in Japan, Fosun Pharma in China and Knight in Canada for the development and commercialization of tenapanor for certain indications in their respective territories.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2018, we entered into an exclusive license agreement with Knight (Knight Agreement) for the development, commercialization and distribution of tenapanor in Canada for hyperphosphatemia and IBS-C. In March 2021, Knight announced the commercial availability of IBSRELA for IBS-C in Canada, following its approval by Health Canada in April 2020. Under the terms of the Knight Agreement, Knight paid us a $2.3 million non-refundable, one-time payment in March 2018. We may also be eligible to receive approximately CAD 22.2 million for development and commercialization milestones, or approximately $16.7 million at the currency exchange rate on December 31, 2023, of which $0.7 million has been received and recognized as revenue as of December 31, 2023. We are also eligible to receive royalties throughout the term of the agreement, and a transfer price for manufacturing services.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 $55.0 million in total development and regulatory milestones, of which $35.0 million has been received and recognized as revenue as of December 31, 2023. We may also be eligible to receive approximately ¥8.5 billion for commercialization milestones, or approximately $60.3 million at the currency exchange rate on December 31, 2023, as well as reimbursement of costs plus a reasonable overhead for the supply of product and royalties on net sales throughout the term of the agreement. As discussed in </w:t>
      </w:r>
      <w:r>
        <w:rPr>
          <w:rFonts w:ascii="Times New Roman" w:cs="Times New Roman" w:eastAsia="Times New Roman" w:hAnsi="Times New Roman"/>
          <w:sz w:val="18"/>
          <w:szCs w:val="18"/>
          <w:i w:val="1"/>
          <w:iCs w:val="1"/>
          <w:color w:val="auto"/>
        </w:rPr>
        <w:t>Note 8.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Royalty Obligation Related to the Sale of Future Royalties</w:t>
      </w:r>
      <w:r>
        <w:rPr>
          <w:rFonts w:ascii="Times New Roman" w:cs="Times New Roman" w:eastAsia="Times New Roman" w:hAnsi="Times New Roman"/>
          <w:sz w:val="18"/>
          <w:szCs w:val="18"/>
          <w:color w:val="auto"/>
        </w:rPr>
        <w:t>, the future royalties and commercial milestone payments we may receive under the 2017 Kyowa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Kirin Agreement will be remitted to HealthCare Royalty Partners IV, L.P. pursuant to a Royalty and Sales Milestone Interest Acquisition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the future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which has been received and recognized as revenue as of September 2023 as described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2017, we entered into an exclusive license agreement with Fosun Pharma (Fosun Agreement) for the development and commercialization of tenapanor in China for both hyperphosphatemia and IBS-C. Under the terms of the Fosun Agreement, Fosun paid us a $12.0 million upfront 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we announced that the U.S. FDA has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IBS-C. We may be entitled to receive development and commercialization milestones of up to $113.0 million, of which $8.0 million has been recognized as revenue and $5.0 million has been received as of December 31, 2023 and $3.0 million was received in January 2024, as well as reimbursement of cost plus a reasonable overhead for the supply of product and tiered royalties on net sales ranging from the mid-teens to 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Financings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2020, we filed a Form S-3 registration statement, which became effective in August 2020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an Open Market Sales Agreement with Jefferies LLC (Jefferies), as sales agent, deemed to be “at-the-market offerings” (2020 Open Market Sales Agreement). Pursuant to the 2020 Open Market Sales Agreement, Jefferies, as sales agent, received a commission of up to 3.0% of the gross sales price for shares of common stock sold under the 2020 Open Market Sales Agreement. We sold a cumulative total of 23.3 million shares and received the full gross proceeds of $100.0 million at a weighted average sales price of approximately $4.30 per share under the 2020 Open Market Sales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we filed an additional prospectus supplement under the 2020 Registration Statement for the offering, issuance and sale by us of up to a maximum aggregate offering price of $150.0 million of our common stock that we were authorized to issue and sell, from time to time, under a sales agreement (2021 Open Market Sales Agreement) we entered into with Jefferies, pursuant to which we, from time to time, sold up to $150.0 million in shares of our common stock through Jefferies. Pursuant to the 2021 Open Market Sales Agreement, Jefferies, as our sales agent, received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year ended December 31, 2023, we completed sales pursuant to the 2023 Open Market Sales Agreement resulting in the issuance of 16.8 million shares of our common stock and receipt of gross proceeds of $70.0 million at a weighted average sales price of approximately $4.17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totaling $184.3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protection for our products, drug candidates, manufacturing and process discoveries, and other know-how, to operate without infringing the proprietary rights of others and to prevent others from infringing our proprietary rights. Our policy is to seek to protect our intellectual property by, among other methods, filing U.S. and foreign patent applications related to our proprietary technology and inventions that are important to the development and operation of our business. We also rely on trade secrets and careful monitoring of our proprietary information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products or drug candidates will be protectable or remain protected by enforceable patents. We cannot predict whether the patent applications we are currently pursuing will issue as patents in any particular jurisdiction or whether the claims of our issued patents will provide sufficient proprietary protection from competitors. Any patents that we hold may be challenged, circumvented or invalidated by third parties. If third parties prepare and file patent applications in the U.S. that also claim technology or therapeutics to which we have rights, we may have to participate in interference proceedings in the U.S. Patent and Trademark Office (USPTO) to determine priority of invention, which would result in substantial costs to us even if the eventual outcome is favorable to 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countries in which they are obtained. In most countries, including the U.S., the patent term is generally 20 years from the earliest date of filing a non-provisional patent application in the applicable country. In the U.S.,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the U.S., the Hatch-Waxman Act permits a patent term extension of up to five years beyond the expiration of a U.S. patent as partial compensation for the patent term lost during the FDA regulatory review process occurring while the patent is in force. A patent extension cannot extend the remaining term of a patent beyond a total of 14 years from the date of product approval, and only one patent applicable to each regulatory review period may be extended and only those claims covering the approved drug, a method for using it or a method for manufacturing it may be extended. Similar provisions are available in the European Union and certain other foreign jurisdictions to extend the term of a patent that covers an approved drug.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rely, in some circumstances, on trade secrets to protect our technology.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collaboration partners, sponsored researchers and other advisors to execute confidentiality agreements upon the commencement of employment or consulting relationships with us. These agreements provide that all confidential information concerning the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the normal working hours, on our premises or using our equipment or proprietary information, are our exclusive property.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Tenapanor Patents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tenapanor patent portfolio includes five issued U.S. patents, three issued patents in each of Israel and Mexico, two issued patents in each of the European Patent Organization, Japan, Korea, and Hong Kong and one issued patent in each of the following territories: Australia, Brazil, India, and China. These issued patents cover the composition and certain methods of using tenapanor, are wholly owned by us, and are predicted, without extension or adjustment, to expire in December 2029. The term of U.S. patent no. 8,541,448, which claims the composition of matter of tenapanor, was extended under the Hatch-Waxman Act to August 1, 2033. The portfolio further includes patents covering the use of tenapanor for controlling serum phosphorus that are wholly owned by us and have been issued in the U.S., Europe, Japan, China, Australia, Gulf Co-op countries, Hong Kong, Israel, Korea, Macao, Mexico, New Zealand, Russia, South Africa and Taiwan and are pending in other countries. These patents are predicted, without extension or adjustment, to expire in April 2034.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U.S. and international patent applications are pending covering additional methods of treatment with tenapanor, and composition of matter and methods of using compounds that we believe may be follow on compounds to tenapanor.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Program Patents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patent applications pending in the U.S. and internationally that cover the compositions and methods of using compounds in our RDX013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relied upon third-party contract manufacturing organizations (CMOs) to manufacture both the active pharmaceutical ingredient and final drug product dosage forms of our commercial products, as well as our clinical trial material, and we expect that we will continue to rely upon CMOs for the manufacture of commercial product for IBSRELA, commercial product for XPHOZAH, and clinical trial materials. Our license agreements with Knight and Fosun Pharma require us to supply final drug product dosage forms of tenapanor for their use in the development and commercialization of tenapanor in each of their respective territories. We are further obligated to supply active pharmaceutical ingredient to Kyowa Kirin to support their development and commercialization of tenapanor in Japan. We expect that we will continue to use CMOs to satisfy our supply obligations to our collaboration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These agencies and other federal, state and local entities regulate research and development activities and the testing, manufacture, quality control, safety, effectiveness, labeling, storage, record keeping, approval, advertising and promotion, distribution, post-approval monitoring and reporting, sampling, and export and import of our product candidates.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U.S., the FDA regulates drug products under the Federal Food, Drug, and Cosmetic Act (FFDCA) and the FDA’s implementing regulations. If we fail to comply with applicable U.S. FDA or other requirements at any time during the drug development process, the approval process or after approval, we may become subject to administrative or judicial sanctions. These sanctions could include the U.S. FDA’s refusal to approve pending applications, license suspension or revocation, withdrawal of an approval, warning or untitled letters, product recalls, product seizures, total or partial suspension of production or distribution, injunctions, fines, civil penalties or criminal prosecution. Any U.S. FDA enforcement action could have a material adverse effect on us. U.S. FDA approval is required before any new unapproved drug or dosage form, including a new use of a previously approved drug, can be marketed in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U.S. FDA before a drug may be marketed in the U.S. generally involves:</w:t>
      </w:r>
    </w:p>
    <w:p>
      <w:pPr>
        <w:spacing w:after="0" w:line="225"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preclinical animal studies and formulation studies, some performed in accordance with the U.S. FDA’s current Good Laboratory Practice (GLP)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U.S. FDA of an Investigational New Drug (IND) application which must become effective before human clinical trials in the U.S. may begin;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trial site before each trial may be initiated;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regulations to establish the safety and efficacy of the drug candidate for each proposed indication;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U.S. FDA of an NDA;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U.S. FDA inspection of the manufacturing facility or facilities at which the drug is produced to assess compliance with current Good Manufacturing Practice (cGMP)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review by an U.S. FDA advisory committee, if applicable;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review and approval of the NDA prior to any commercial marketing, sale or commercial shipment of the drug.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any product candidates that we may seek to advance will be granted on a timely basis, if at all. Nonclinical tests include laboratory evaluation of product chemistry, formulation, stability and toxicity, as well as animal studies to assess the characteristics and potential safety and efficacy of the product. The results of preclinical tests, together with manufacturing information, analytical data and a proposed clinical trial protocol and other information, are submitted as part of an IND to the U.S. FDA. Additional preclinical testing may continue even after the IND is submitted. The IND automatically becomes effective 30 days after receipt by the U.S. FDA, unless the U.S. FDA, within the 30-day period, raises concerns or questions relating to the IND and places the clinical trial on a clinical hold, including concerns that human research subjects will be exposed to unreasonable health risks. In such a case, the IND sponsor and the U.S. FDA must resolve any outstanding concerns before the clinical trial can begin. A separate submission to an existing IND must also be made for each successive clinical trial conducted during product development.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Clinical trials are conducted under protocols detailing, among other things, the objectives of the clinical trial, the parameters to be used in monitoring safety and the effectiveness criteria to be used. Each protocol must be submitted to the U.S. FDA as part of the IND.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independent IRB or ethics committee for each medical center proposing to conduct a clinical trial must also review and approve a plan for any clinical trial before it can begin at that center and the IRB must monitor the clinical trial until it is completed. The U.S. FDA, the IRB, or the sponsor may suspend or discontinue a clinical trial at any time on various grounds, including a finding that the subjects are being exposed to an unacceptable health risk. Clinical testing also must satisfy extensive GCP requirements, including the requirements for informed consent.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clinical research performed in the U.S. in support of an NDA must be submitted in advance by the U.S. FDA under the IND regulations and procedures described above. However, a sponsor who wishes to conduct a clinical trial outside the U.S. may, but need not, obtain U.S. FDA authorization to conduct the clinical trial under an IND. If a foreign clinical trial is not conducted under an IND, the sponsor may submit data from the clinical trial to the U.S. FDA in support of an NDA so long as the clinical trial is conducted in compliance with GCP and if the U.S. FDA is able to validate the data from the study through an onsite inspection, if necessary. GCP includes review and approval by an independent ethics committee, such as an IRB, and obtaining and documenting the freely given informed consent of each subject before study initiation. If the applicant seeks approval of an NDA solely on the basis of foreign data, the U.S. FDA will only accept such data if they are applicable to the U.S. population and U.S. medical practice, the studies have been performed by clinical investigators of recognized competence, and the data may be considered valid without the need for an on-site inspection by the U.S. FDA, or if the U.S. FDA considers such an inspection to be necessary, the U.S. FDA is able to validate the data through an on-site inspection or through other appropriate means.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clinical investigation of a new drug is typically conducted in three or four phases, which may overlap or be combined, and generally proceed as follows.</w:t>
      </w:r>
    </w:p>
    <w:p>
      <w:pPr>
        <w:spacing w:after="0" w:line="160" w:lineRule="exact"/>
        <w:rPr>
          <w:sz w:val="20"/>
          <w:szCs w:val="20"/>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Clinical trials are initially conducted in a limited population of subjects to test the drug candidate for safety, dose tolerance, absorption,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metabolism, distribution and excretion in healthy humans or, on occasion, in patients with severe problems or life-threatening diseases to gain an early indication of its effectiveness.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660" w:right="20" w:hanging="328"/>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Clinical trials are generally conducted in a limited patient population to evaluate dosage tolerance and appropriate dosage, identify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adverse effects and safety risks, and evaluate preliminarily the efficacy of the drug for specific targeted indications in patients with the disease or condition under study.</w:t>
      </w:r>
    </w:p>
    <w:p>
      <w:pPr>
        <w:spacing w:after="0" w:line="173" w:lineRule="exact"/>
        <w:rPr>
          <w:rFonts w:ascii="Times New Roman" w:cs="Times New Roman" w:eastAsia="Times New Roman" w:hAnsi="Times New Roman"/>
          <w:sz w:val="18"/>
          <w:szCs w:val="18"/>
          <w:i w:val="1"/>
          <w:iCs w:val="1"/>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Clinical trials are typically conducted when Phase 2 clinical trials demonstrate that a dose range of the product candidate is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Phase 3 clinical trials are commonly referred to as “pivotal” studies, which typically denotes a study which presents the data that the U.S. FDA or other relevant regulatory agency will use to determine whether or not to approve a drug. Phase 3 clinical trials are generally undertaken with large numbers of patients, such as groups of several hundred to several thousand, to further evaluate dosage, to provide substantial evidence of clinical efficacy and to further test for safety in an expanded and diverse patient population at multiple, geographically dispersed clinical trial sites.</w:t>
      </w:r>
    </w:p>
    <w:p>
      <w:pPr>
        <w:spacing w:after="0" w:line="182"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4</w:t>
      </w:r>
      <w:r>
        <w:rPr>
          <w:rFonts w:ascii="Times New Roman" w:cs="Times New Roman" w:eastAsia="Times New Roman" w:hAnsi="Times New Roman"/>
          <w:sz w:val="18"/>
          <w:szCs w:val="18"/>
          <w:color w:val="auto"/>
        </w:rPr>
        <w:t>: In some cases, the U.S. FDA may condition approval of an NDA for a product candidate on the sponsor’s agreement to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clinical trials after NDA approval. In other cases, a sponsor may voluntarily conduct additional clinical trials post approval to gain more information about the drug. Such post approval trials are typically referred to as Phase 4 clinical trials.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nonclinical studies and must also develop additional information about the chemistry and physical characteristics of the drug and finalize a process for manufacturing the drug in commercial quantities in accordance with 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FDA, the IRB or the clinical trial sponsor may suspend or terminate a clinical trial at any time on various grounds, including a finding that the research subjects are being exposed to an unacceptable health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suspend or terminate a clinical trial based on evolving business objectives and/or competitive climate.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Drug Applications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preclinical studies and of the clinical trials, together with other detailed information, including extensive manufacturing information and information on the composition of the drug, are submitted to the U.S. FDA in the form of an NDA requesting approval to market the drug for one or more specified indications. The U.S. FDA reviews an NDA to determine, among other things, whether a drug is safe and effective for its intended use.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the U.S. FDA has a goal of responding to standard review NDAs for new molecular entities within ten months after the 60-day filing review period, or six months after the 60-day filing review period for priority review NDAs. For non-new molecular entities, the U.S. FDA has a goal of responding within ten months of receipt of standard review NDAs and six months of receipt for priority review NDAs. These timeframes are often extended by U.S. FDA requests for additional information or clarification. The U.S. FDA may refer the application to an advisory committee for review, evaluation and recommendation as to whether the application should be approved. The U.S. FDA is not bound by the recommendation of an advisory committee, but it generally follows such recommendations.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After the U.S. FDA evaluates the NDA and conducts inspections of manufacturing facilities where the drug product and/or its API will be produced, if deemed necessary,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Phase 3 clinical trial(s), and/or other significant, expensive and time-consuming requirements related to clinical trials, preclinical studies or manufacturing. Even if such additional information is submitted, the U.S. FDA may ultimately decide that the NDA does not satisfy the criteria for approval. The U.S. FDA could also approve the NDA with a Risk Evaluation and Mitigation Strategy (REMS) if it is determined that a REMS is necessary to ensure that the drug’s benefits outweigh its risks and a REMS to mitigate risks, which could include medication guides, physician communication plans, or elements to assure safe use, such as restricted distribution methods, patient registries and other risk minimization tools. The U.S.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The U.S. FDA has the authority to prevent or limit further marketing of a drug based on the results of these post-market programs. Once the U.S. FDA approves an NDA, or supplement thereto, the U.S. FDA may withdraw the approval if ongoing regulatory requirements are not met or if safety problems are identified after the drug reaches the market.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Drugs may be marketed only for the U.S. FDA approved indications and in accordance with the provisions of the approved labeling. Further, if there are any modifications to the drug, including changes in indications, labeling, or manufacturing processes or facilities, the applicant may be required to submit and obtain U.S. FDA approval of a new NDA or NDA supplement, which may require the applicant to develop additional data or conduct additional preclinical studies and clinical trials.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and approval processes require substantial time, effort and financial resources, and each may take several years to complete. The U.S. FDA may not grant approval on a timely basis, or at all. Even if we believe a clinical trial has demonstrated safety and efficacy of one of our drug candidates for the proposed indication, the results may not be satisfactory to the U.S. FDA. Nonclinical and clinical data may be interpreted by the U.S. FDA in different ways, which could delay, limit or prevent regulatory approval. We may encounter difficulties or unanticipated costs in our efforts to secure necessary governmental approvals which could delay or preclude us from marketing drugs. The U.S. FDA may limit the indications for use or place other conditions on any approvals that could restrict the commercial application of the drugs. After approval, certain changes to the approved drug, such as adding new indications, manufacturing changes, or additional labeling claims are subject to further U.S. FDA review and approval. Depending on the nature of the change proposed, an NDA supplement must be filed and approved before the change may be implemented.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drugs manufactured or distributed by us or our collaboration partners pursuant to U.S. FDA approvals would be subject to continuing regulation by the U.S. FDA, including recordkeeping requirements and reporting of adverse experiences associated with the drug. Drug manufacturers and their subcontractors are required to register their establishments with the U.S. FDA and certain state agencies and are subject to periodic announced and unannounced inspections by the U.S. FDA and certain state agencies for compliance with ongoing regulatory requirements, including cGMP, which impose certain procedural and documentation requirements upon us and our third-party manufacturers. Failure to comply with the statutory and regulatory requirements can subject a manufacturer to possible legal or regulatory action, such as warning or untitled letters, suspension of manufacturing, seizure of product, injunctive action or possible civil penalties. We cannot be certain that we or our present or future third-party manufacturers or suppliers will be able to comply with the cGMP regulations and other ongoing U.S. FDA regulatory requirements. If we or our present or future third-party manufacturers or suppliers are not able to comply with these requirements, the U.S. FDA may, among other things, halt our clinical trials, require us to recall a drug from distribution or withdraw approval of the NDA for that drug.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in the final label or consistent with the final label. Failure to comply with these requirements can result in, among other things, adverse publicity, warning or untitled letters, corrective advertising and potential civil and criminal penalties. Physicians may prescribe legally available drugs for uses that are not described in the product’s labeling and that differ from those tested by us and approved by the U.S. FDA. Such off-label uses are common across medical specialties. Physicians may believe that such off-label uses are the best treatment for many patients in varied circumstances. The U.S. FDA does not regulate the behavior of physicians in their choice of treatments. The U.S. FDA does, however, impose stringent restrictions on manufacturers’ communications regarding off-label use.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Price Competition and Patent Term Restoration Act, or Hatch-Waxman Act, Section 505 of the FFDCA describes three types of marketing applications that may be submitted to the U.S. FDA to request marketing authorization for a new drug. A Section 505(b)(1) NDA is an application that contains full reports of investigations of safety and efficacy. A Section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U.S.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nonclinical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U.S. FDA each patent with claims that cover the applicant’s drug or a method of using the drug. Upon approval of a drug, each of the patents listed in the application for the drug is then published in the U.S. FDA’s Approved Drug Products with Therapeutic Equivalence Evaluations, commonly known as the Orange Book. Drugs listed in the Orange Book can, in turn, be cited by potential competitors in support of approval of an ANDA or 505(b)(2) NDA.</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U.S. FDA that (1) no patent information on the drug product that is the subject of the application has been submitted to the U.S.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ANDA or 505(b)(2) NDA applicant has provided a Paragraph IV certification to the U.S. FDA, the applicant must send notice of the Paragraph IV certification to the NDA holder and patent owners once the application has been accepted for filing by the U.S. FDA. The NDA and patent holders may then initiate a patent infringement lawsuit in response to the notice of the Paragraph IV certification. If the Paragraph IV certification is challenged by an NDA holder or the patent owner(s), the U.S.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Hatch-Waxman Act establishes periods of regulatory exclusivity for certain approved drug products, during which the U.S. FDA cannot approve (or in some cases accept) an ANDA or 505(b)(2) application that relies on the branded reference drug. For example, the holder of an NDA, including a 505(b)</w:t>
      </w:r>
    </w:p>
    <w:p>
      <w:pPr>
        <w:jc w:val="both"/>
        <w:ind w:firstLine="8"/>
        <w:spacing w:after="0" w:line="250"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may obtain five years of exclusivity upon approval of a new drug containing a new chemical entity (NCE) that has not been previously approved by the U.S. FDA. A drug is a new chemical entity if the U.S. FDA has not previously approved any other new drug containing the same active moiety, which is the molecule or ion responsible for the therapeutic activity of the drug substance. During the exclusivity period, the U.S. FDA may not accept for review an ANDA or a 505(b)(2) NDA submitted by another company that contains the previously approved active moiety. However, an ANDA or 505(b)</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may be submitted after four years if it contains a Paragraph IV certification of patent invalidity or non-infringement.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Hatch-Waxman Act also provides three years of marketing exclusivity to the holder of an NDA (including a 505(b)(2) NDA) for a 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conducted/sponsored by the applicant. This three-year exclusivity period protects against U.S. FDA approval of ANDAs and 505(b)(2) NDAs for the specific condition of the new drug’s approval. As a general matter, the three-year exclusivity does not prohibit the U.S.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the research, manufacturing, distribution, sale and promotion of drug products and medical devices are potentially subject to regulation by various federal, state and local authorities in addition to the U.S. FDA, including the Centers for Medicare &amp; Medicaid Services (CMS) other divisions of the U.S. Department of Health and Human Services (e.g., the Office of Inspector General), the U.S. Department of Justice, state Attorneys General, and other state and local government agencies. These laws include but are not limited to, the Anti-Kickback Statute, the federal False Claims Act, the federal Physician Payments Sunshine Act, and other state and federal laws and regulations.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statute or specific intent to violate it in order to have committed a violation.</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Moreover, the government may assert that a claim including items or services resulting from a violation of the federal Anti-Kickback Statute constitutes a false or fraudulent claim for purposes of the False Claims Act.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laws described above, the Physician Payments Sunshine Act requires certain drug manufacturers to report payments and other transfer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Manufacturers must submit reports by the 90th day of each subsequent calendar year.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regulation of payments made to physicians and other healthcare providers. Certain states mandate implementation of compliance programs, impose restrictions on drug manufacturers’ marketing practices and/or require the tracking and reporting of pricing and marketing information as well as gifts, compensation and other remuneration to physicians. Many of these laws contain ambiguities as to what is required to comply with such laws, which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perhaps federal authorities.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Violations of any of such laws or any other governmental regulations that apply may result in penalties, including, without limitation, administrative, civil and criminal penalties, damages, fines, disgorgement, the curtailment or restructuring of operations, reporting obligations and integrity oversight, exclusion from participation in federal and state healthcare programs and imprisonment.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Coverage and Reimbursement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in significant part on the availability of coverage and adequate reimbursement by third-party payors, such as state and federal governments, including Medicare and Medicaid, and commercial managed care providers. In the U.S., no uniform policy of coverage and reimbursement for drug products exists among third-party payors. Accordingly, decisions regarding the extent of coverage and amount of reimbursement to be provided for our product candidates are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Third-party payors may limit coverage to specific drug products on an approved list, or formulary, which might not include all of the U.S. FDA-approved drugs for a particular indication. A decision by a third-party payor not to cover our product candidates could reduce physician utilization of our products once approved and have a material adverse effect on our future sales, results of operations and financial condition.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increased uncertainty related to insurance coverage and reimbursement for certain drugs, like XPHOZAH, which is marketed to reduce serum phosphorus in adults with CKD on dialysis as add-on therapy in patients who have an inadequate response to phosphate binders or who are intolerant of any dose of phosphate binder therapy. In January 2011, CMS implemented a new prospective payment system for dialysis treatment. Under the End Stage Renal Disease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until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XPHOZAH and our business should XPHOZAH be brought into the bundle in 2025, or at any time, we may be unable to sell XPHOZAH to dialysis providers on a profitable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2010, Congress passed the Patient Protection and Affordable Care Act, a healthcare reform measure (ACA). The ACA was signed into law and substantially changed the way healthcare is financed by both governmental and private insurers, and significantly impacted the pharmaceutical industry.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ACA contained a number of provisions, including those governing enrollment in federal healthcare programs, reimbursement changes and fraud and abuse measures, which have impacted existing government healthcare programs and have resulted in the development of new programs, including Medicare payment for performance initiatives and improvements to the physician quality reporting system and feedback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ACA:</w:t>
      </w:r>
    </w:p>
    <w:p>
      <w:pPr>
        <w:spacing w:after="0" w:line="225" w:lineRule="exact"/>
        <w:rPr>
          <w:sz w:val="20"/>
          <w:szCs w:val="20"/>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brand-name drugs from 15.1% to 23.1% of the average manufacturer price;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access to commercial health insurance coverage through new state-based health insurance marketplaces, or exchanges;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now agree to offer 70% point-of-sale discounts off negotiated prices of applicable brand drugs to eligible beneficiaries during their coverage gap period, as a condition for the manufacturer’s outpatient drugs to be covered under Medicare Part D;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President Biden issued an executive order that initiated a special enrollment period for purposes of obtaining health insurance coverage through the ACA marketplace from February 15, 2021 through August 15, 2021. The executive order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For example, in August 2011, the Budget Control Act of 2011, among other things, included aggregate reductions to Medicare payments to providers, which went into effect on April 1, 2013, and, due to subsequent legislative amendments, will remain in effect through 2032, with the exception of a temporary suspension from May 1, 2020 through March 31, 2022, unless additional Congressional action is taken. In January 2013, the American Taxpayer Relief Act, among other things, further reduced Medicare payments to several providers, including hospitals, imaging centers and cancer treatment centers,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 The rebate was previously capped at 100% of a drug's average manufacturer price.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Under the IRA, small molecule drugs and biologics first become eligible for price negotiation seven and eleven years, respectively, after FDA approval.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Additionally, individual states have also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These new laws and the regulations and policies implementing them, as well as other healthcare reform measures that may be adopted in the future, may have a material adverse effect on our industry generally and on our ability to successfully develop and commercialize our products.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Price Reporting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Medicaid is a joint federal and state program for low-income and disabled beneficiaries. Medicare is a federal program covering individuals age 65 and over as well as those with certain disabilities. As a condition of having federal funds being made available for our covered drugs under Medicaid, we have enrolled in the Medicaid Drug Rebate Program (MDRP), which requires us to pay a rebate to state Medicaid programs for each unit of our covered drugs dispensed to a Medicaid beneficiary and paid for by a state Medicaid program. Medicaid drug rebates are based on pricing data that we must report on a monthly and quarterly basis to the U.S. Centers for Medicare &amp; Medicaid Services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Manufacturers who fail to provide information timely or are found to have knowingly submitted false information to the government may be subject to civil monetary penalties and other sanctions, including termination from the MDRP.</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Public Health Service’s 340B drug pricing program (340B program) in order for federal funds to be available for the manufacturer’s drugs under Medicaid and Medicare Part B. We participate in the 340B program, which is administered by the Health Resources and Services Administration (HRSA), and requires us to charge statutorily defined covered entities no more than the 340B “ceiling price” for our covered outpatient drugs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manufacturers for overcharges, and through which manufacturers may pursue claims against 340B covered entities for engaging in unlawful diversion or duplicate discounting of 340B drugs.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purchased by certain federal agencies and grantees, manufacturers must also participate in the U.S. Department of Veterans Affairs (VA) Federal Supply Schedule (FSS) pricing program. Under the VA/FSS program, manufacturers must report the Non-Federal Average Manufacturer Price (Non-FAMP) for their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Manufacturers must also pay rebates on products purchased by military personnel and dependents through the TRICARE retail pharmacy program. Manufacturers who fail to provide timely information or are found to have knowingly submitted false information may be subject to civil monetary penalties.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that govern the collection, use, disclosure, and protection of health-related and other personal information could apply to our operations or the operations of our partners. Further, certain foreign laws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future success of our company depends on our ability to attract, retain, and further develop top talent. Throughout our transition to a commercial organization and expansion of our workforce, we have remained steadfastly committed to our core values, including our goal to develop and maintain an inclusive, diverse, and safe workplace with opportunities for our employees to grow and develop in their careers, supported by strong compensation and benefits.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we had 267 full-time employees, 55 of whom were engaged directly in development and manufacturing, and 212 in marketing, sales and administrative activities. During 2023, our employee base increased by approximately 134, or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culture is supported by an unwavering commitment to inclusion and diversity. As of December 31, 2023, approximately 57% of our workforce was female; 50% of our executive leadership team was female and 54% of our employees in managerial roles were female. As of December 31, 2023, minorities represented approximately 31% of our workforce, and 45% of our employees in managerial roles were minorities. We strive to foster a culture where mutual respect, inclusive behavior, and dignity are core to our individual expectations.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success will be significantly impacted by our ability to create and maintain a safe inclusive environment where everyone is empowered to do their best work regardless of race, color, national origin, religion, sex, sexual orientation, gender identity and expression, age, or disability. We are united by our desire to serve our patients, and we are proud financial sponsors of the California Life Sciences Association Racial and Social Equity Initiative, a first step in a unified effort for the life sciences industry in California to do more for the under-served and under-represented, focusing on the most critical need to address the inequality for Black, Hispanic, Native American and Pacific Islander populations in California.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Values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Fostering and maintaining a strong, healthy culture is a key strategic focus. Our core values reflect who we are and the way our employees interact with one another, our partners and our stockholders. We are dedicated to our core values, recognizing that this dedication will foster an environment where we will be able to realize our vision of advancing patient care. We are Passionate, aware that with integrity and determination, we make a difference for patients. We are Fearless, aware that by challenging convention, we truly innovate. We are Dedicated, aware that working tirelessly together, we are greater than the sum of our parts. We are Inclusive, aware that with respect, grace and humor, we are family. We encourage our employees to live out our core values and to discuss our core values with potential candidates looking to join our team. We believe that this is an important step in helping our culture stay strong and unique.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safety, and wellness of our employees is a priority in which we have always invested, and will continue to do so. In response to the COVID-19 pandemic, we implemented significant changes that we determined were in the best interest of our employees, as well as the communities in which we operate, in compliance with government regulations. This included having the vast majority of our employees work from home. We have reopened our facilities and employees have returned to our facilities. We continue to offer hybrid and remote working opportunities for our team members employed in areas within the organization where such flexible work options are possible. We will continue to adopt and align our policies to focus on the health, safety and wellness of our employees, and the needs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we operate within an industry where there is significant competition for top talent, and we endeavor to provide not only a strong healthy culture, but also important compensation and benefits programs to help meet the needs of our employees. In addition to base compensation, these programs, include annual bonuses, stock awards, an Employee Stock Purchase Plan, 401(k) with company match contribution, healthcare and insurance benefits, health savings (funded by the Company) and flexible spending accounts, family leave, family care resources, and flexible work schedules, among many others.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Ensuring fair and equitable pay is integral to our commitment to our employees. Our executive team and Board of Directors strongly support this commitment. We conduct pay equity reviews annually to help us understand whether our compensation structure is appropriate and to identify what improvements can be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founded in October 2007 as a Delaware corporation under the name Nteryx. We changed our name to Ardelyx, Inc. in June 2008. We operate in one business segment, which is the development and commercialization of biopharmaceutical products. Our principal executive offices are located at 400 Fifth Avenue, Suite 210, Waltham, Massachusetts 02415, and our telephone number is (510) 745-1700. Our website address is www.ardelyx.com.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electronically with the Securities and Exchange Commission (SEC) our annual reports on Form 10-K, quarterly reports on Form 10-Q and current reports on Form 8-K pursuant to Section 13(a) or 15(d) of the Securities Exchange Act of 1934, as amended. We make available on our website at www.ardelyx.com, free of charge, copies of these reports, as soon as reasonably practicable after we electronically file such material with, or furnish it to, the SEC. The SEC maintains a website that contains reports, proxy and information statements, and other information regarding issuers that file electronically with the SEC. The address of that website is www.sec.gov.</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Annual Report on Form 10-K,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5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not profitable and have incurred significant losses since our inception, and we expect to incur operating losses in the future as we commercialize IBSRELA</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XPHOZAH</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incur manufacturing and development costs for tenapanor, and incur research and development costs related to potential new product candidates.</w:t>
      </w:r>
    </w:p>
    <w:p>
      <w:pPr>
        <w:spacing w:after="0" w:line="22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March 2022, we commenced the commercialization of our first product,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the treatment of irritable bowel syndrome with constipation (IBS-C) in adult patients and have generated approximately $95.6 million in net revenue from product sales through December 31, 2023. In October 2023, we received U.S. Food and Drug Administration (FDA) approval for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the reduction of serum phosphorus in adults with chronic kidney disease (CKD) on dialysis as add-on therapy in patients who have an inadequate response to phosphate binders or who are intolerant of any dose of phosphate binder therapy. In November 2023, we commenced the commercialization of XPHOZAH and generated approximately $2.5 million in net revenue from product sales through December 31, 2023.</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profitable and have incurred losses in each year since our inception in October 2007, and we do not know whether or when we will become profitable. We continue to incur significant commercialization, development and other expenses related to our ongoing operations. As of December 31, 2023, we had an accumulated deficit of $846.2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commercialize IBSRELA and XPHOZAH, incur manufacturing and development costs for tenapanor, and incur research and development costs related to potential new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for the foreseeable future as we invest in the commercialization of IBSRELA and XPHOZAH in the U.S. and incur research and development costs related to potential new product candidates. The inability to access necessary capital when needed on acceptable terms, or at all, could force us to reduce our efforts to commercialize IBSRELA or XPHOZAH, or to delay or limit our pursuit of potential new product candidates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including costs associated with our efforts to commercialize IBSRELA and XPHOZAH; conducting pediatric clinical trials for IBSRELA; manufacturing for IBSRELA and XPHOZAH and research and development related to potential new product candidates. Our future funding requirements will depend on many factors, including, but not limited to:</w:t>
      </w:r>
    </w:p>
    <w:p>
      <w:pPr>
        <w:spacing w:after="0" w:line="25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generate product revenue from sales of IBSRELA and XPHOZAH;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reimbursement for IBSRELA and XPHOZAH;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IBSRELA and XPHOZAH;</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XPHOZAH, along with other oral ESRD-related drugs without an injectable or intravenous equivalent, are bundled into the ESRD prospective payment system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milestones that may be received from our collaboration partners in connection with tenapanor, if any;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royalties we may receive as a result of sales of tenapanor by our collaboration partners in China, and Canada, if any;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for the discovery and/or development of other potential product candidates, including RDX013 and RDX020;</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interest and principal related to our loan and security agreement entered into with SLR Investment Corp., as amended to date.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potential new product candidates.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through the use of alternative structures.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generated limited revenue from product sales and may never be profitable.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began selling IBSRELA in the U.S. in March 2022 and have generated approximately $95.6 million in net revenue from product sales through December 31, 2023. On October 17, 2023, our NDA for XPHOZAH was approved by the U.S. Food and Drug Administration’s (U.S. FDA). In November, we commenced the commercialization of XPHOZAH and generated approximately $2.5 million in net revenue from product sales through December 31, 2023. We have no other products approved for sale.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spacing w:after="0" w:line="24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ISBRELA and XPHOZAH and to increase market share for both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sufficient market acceptance of IBSRELA as a viable treatment option for IBS-C;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XPHOZAH;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coverage and reimbursement for IBSRELA and XPHOZAH by third-party payors;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an adequate (in amount and quality) supply of product to support the market demand for IBSRELA and XPHOZAH;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3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our commercialization of IBSRELA and XPHOZAH, our revenue will be dependent, in part, upon the size of the markets in the U.S., the label for which approval was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is being marketed for the reduction of serum phosphorus in adults with chronic kidney disease (CKD) on dialysis as add-on therapy in patients who have an inadequate response to phosphate binders or who are intolerant of any dose of phosphate binder therapy. Our ability to generate and sustain future revenues from sales of XPHOZAH, will be significantly dependent upon whether and when XPHOZAH, along with other oral end stage renal disease (ESRD)-related drugs without an injectable or intravenous equivalent, are bundled into the ESRD PPS, and the manner in which such introduction into the ESRD PPS may occur. See “—</w:t>
      </w:r>
      <w:r>
        <w:rPr>
          <w:rFonts w:ascii="Times New Roman" w:cs="Times New Roman" w:eastAsia="Times New Roman" w:hAnsi="Times New Roman"/>
          <w:sz w:val="18"/>
          <w:szCs w:val="18"/>
          <w:i w:val="1"/>
          <w:iCs w:val="1"/>
          <w:color w:val="auto"/>
        </w:rPr>
        <w:t>Third-party payor coverage and reimbursement status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newly commercialized products are uncertain. Failure to obtain or maintain adequate coverage and reimbursement for IBSRELA and XPHOZAH could limit our ability to market those products and decrease our ability to generate revenue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 the event no legislative or regulatory action is taken to further delay the 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r>
        <w:rPr>
          <w:rFonts w:ascii="Times New Roman" w:cs="Times New Roman" w:eastAsia="Times New Roman" w:hAnsi="Times New Roman"/>
          <w:sz w:val="18"/>
          <w:szCs w:val="18"/>
          <w:color w:val="auto"/>
        </w:rPr>
        <w:t>” below. Additionally, if the number of adult patients for IBSRELA and/or XPHOZAH is not as significant as we estimate, coverage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for either IBSRELA or XPHOZAH are not available in the manner and to the extent we expect, or the reasonably accepted population for treatment is narrowed by competition, physician choice or treatment guidelines, we may not generate significant revenue from the sale of IBSRELA or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Risks Related to Our Business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selling IBSRELA in the U.S. in March 2022. The overall commercial success of IBSRELA will depend on a number of factors, including the following:</w:t>
      </w:r>
    </w:p>
    <w:p>
      <w:pPr>
        <w:spacing w:after="0" w:line="243" w:lineRule="exact"/>
        <w:rPr>
          <w:sz w:val="20"/>
          <w:szCs w:val="20"/>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IBSRELA;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coverage and reimbursement for IBSRELA by third-party payors;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IBSRELA as a treatment for adult patients with IBS-C;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treatable patient population;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increase the market share of IBSRELA;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 access and marketing efforts;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view IBSRELA as a safe and effective treatment for adult patients with IBS-C, which will impact the adoption of IBSRELA by physicians for the treatment of IBS-C;</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IBSRELA compared to alternative and competing treatments;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IBSRELA;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IBSRELA;</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IBSRELA following approval.</w:t>
      </w:r>
    </w:p>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achieve sufficient market acceptance for XPHOZAH, secure and maintain adequate coverage and reimbursement for XPHOZAH or generate sufficient revenue from product sales of XPHOZAH.</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achieve sufficient market acceptance for XPHOZAH, secure and maintain adequate coverage and reimbursement for XPHOZAH or generate sufficient revenue from product sales of XPHOZAH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commercial success of XPHOZAH will depend on a number of factors, including the following:</w:t>
      </w:r>
    </w:p>
    <w:p>
      <w:pPr>
        <w:spacing w:after="0" w:line="257" w:lineRule="exact"/>
        <w:rPr>
          <w:sz w:val="20"/>
          <w:szCs w:val="20"/>
          <w:color w:val="auto"/>
        </w:rPr>
      </w:pPr>
    </w:p>
    <w:p>
      <w:pPr>
        <w:jc w:val="both"/>
        <w:ind w:left="340" w:hanging="332"/>
        <w:spacing w:after="0" w:line="26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both IBSRELA and XPHOZAH;</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content and breadth of the label that has been approved by the U.S. FDA for XPHOZAH will materially and adversely impact our ability to commercialize the product for the approved indication;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XPHOZAH;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XPHOZAH as safe, effective and well-tolerated by patients and the medical community;</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XPHOZAH compared to alternative and competing treatments;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XPHOZAH by third-party payors;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XPHOZAH;</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XPHOZAH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no legislative or regulatory action is taken to further delay the 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Absent further legislation or regulation on this matter, beginning in January 2025, oral ESRD-related drugs without injectable or intravenous equivalents, including XPHOZAH and all other phosphate lowering medications, will be included in the ESRD bundle and separate Medicare payment for these drugs will no longer be available, as is the case today under Medicare Part D. ESRD facilities may nonetheless receive a TDAPA for new renal dialysis drugs and biological products that meet certain criteria for a period of two years. The TDAPA payment is based on 100 percent of average sales price (ASP). If ASP is not available, then the TDAPA is based on 100 percent of wholesale acquisition cost (WAC). If WAC is unavailable, then the payment is based on the drug manufacturer’s invoice. There can be no assurances that CMS will determine that XPHOZAH will qualify for TDAPA status. Even if deemed eligible by CMS, revenue for sales of XPHOZAH could be significantly less in the TDAPA period than it would be if XPHOZAH is not bundled into the ESRD PPS. Moreover, in the post-TPDAPA period, CMS currently expects to increase the single bundled payment base rate paid to the dialysis facility for each dialysis treatment to reflect that oral only phosphate lowering drugs will be reimbursed as part of the single bundled payment for Medicare patients. There can be no assurances that any increase in the single bundled payment base rate will be sufficient to adequately reimburse the dialysis facilities for XPOHZAH at a price that is profitable for us. The inclusion of XPHOZAH in the ESRD PPS would affect our ability to optimize the commercialization of XPHOZAH, will negatively and materially impact the revenue that we may generate on sales of XPHOZAH and could materially impact our profitability, results of operations, financial condition,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and/or XPHOZAH may cause undesirable side effects or have other properties that could limit the commercial success of the product.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spacing w:after="0" w:line="257"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required to recall the product;</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subject to fines, injunctions or the imposition of civil or criminal penalties;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labeling statements, such as a “black box” warning or a contraindication;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U.S., the principal decisions about coverage and reimbursement for new drugs are typically made by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 Additionally, absent legislative or regulatory action, XPHOZAH, along with other oral ESRD related drugs without injectable or intravenous equivalents, will be included in the ESRD PPS beginning on January 1, 2025 at which time separate Medicare payment for these drugs will no longer be available, as is the case today under Medicare Part D. While it is too early to project the full impact that bundling may have on sales of XPHOZAH and on our business, should XPHOZAH be brought into the bundle in 2025, or at any time, we may be unable to sell XPHOZAH to dialysis providers on a profitable basis. See “—</w:t>
      </w:r>
      <w:r>
        <w:rPr>
          <w:rFonts w:ascii="Times New Roman" w:cs="Times New Roman" w:eastAsia="Times New Roman" w:hAnsi="Times New Roman"/>
          <w:sz w:val="18"/>
          <w:szCs w:val="18"/>
          <w:i w:val="1"/>
          <w:iCs w:val="1"/>
          <w:color w:val="auto"/>
        </w:rPr>
        <w:t>In the event no legislative or regulatory action is taken to further delay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inclusion of oral only ESRD related drugs in the ESRD PPS, XPHOZAH will become part of the ESRD PPS on January 1, 2025, and will no longer be separately paid for under Part D, and as a result the revenue that we may generate on sales of XPHOZAH will be negatively and materially impacted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for a more detailed discussion related to the risks that may occur if XPHOZAH is brought into the bundle.</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facilities used by our contract manufacturing organizations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depend on CMOs, many of whom are our single source manufacturers.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23, 2022, we entered into a loan and security agreement with SLR (Lender) pursuant to which the Lender agreed to provide us with a loan facility for up to $50.0 million with a maturity date of March 1, 2027, and on August 1, 2022, February 9, 2023 and October 17, 2023, we entered into amendments to the loan and security agreement (collectively, the 2022 Loan Agreement). The loan was funded in the amount of $27.5 million on February 23, 2022 and an additional amount of $22.5 million was drawn on October 19, 2023. We may draw an additional $50.0 million on or before March 15, 2024, and we expect to draw this additional $50.0 million prior to expiry of the option on March 15, 2024. In addition, subject to the Lender approval of its investment committee, we may be able to draw up to an additional $50 million by December 31,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permitted to make interest only payments on the loan facility through December 31, 2026, with principal repayments commencing on January 1, 2027. 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Our Business and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For example, while the results of our Phase 2 clinical trial evaluating RDX013 for the treatment of hyperkalemia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 We currently expect that the next step for the program will be to evaluate a new formulation that potentially enhances subject compliance and the efficacy of RDX013 in an additional Phase 2 clinical study at such time as we have determined that our available resources support conducting such an additional clinical study. There can be no assurances that any additional clinical study that we determine to conduct with RDX013 will be successful.</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we conduct additional clinical trials with RDX013 or any other product candidates, we could encounter delays in our future development if any clinical trials are suspended or terminated by us, by the institutional review boards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identifying and qualifying patients to participate in any clinical trials is critical to the success of the clinical trials. The timing of any future clinical trials, including any additional RDX013 clinical trial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U.S.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phosphate binders in development, including fermagate (Alpharen), an iron-based binder in Phase 3 being developed by Opko Health, Inc., PT20, an iron-based binder in Phase 3 being developed by Shield Therapeutics, AP-301, a binder in Phase 3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EOS789/AP-306, an inhibitor of phosphate transporters NaPi-2b, PiT-1, and PiT-2, thus far studied in a Phase 2 clinical trial.</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current activities and growth given our level of managerial, operational, financial and other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24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any commercialization activities in which we may engage effectively;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collaborators, government agencies and other third parties;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IBSRELA and/or XPHOZAH.</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7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product;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IBSRELA and/or XPHOZAH.</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retain and motivate our executives, senior management and key personnel, our business will suffer.</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Federal Trade Commission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 sufficient resources to the development, regulatory approval, and commercialization effort for such products, or that such alliances will result in us achieving revenues that justify such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273" w:lineRule="exact"/>
        <w:rPr>
          <w:sz w:val="20"/>
          <w:szCs w:val="20"/>
          <w:color w:val="auto"/>
        </w:rPr>
      </w:pPr>
    </w:p>
    <w:p>
      <w:pPr>
        <w:ind w:left="340" w:hanging="332"/>
        <w:spacing w:after="0" w:line="28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spacing w:after="0" w:line="264"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drug import and export rules;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requirements for potentially costly post-marketing studies. Furthermore, any new legislation addressing drug safety issues could result in delays or increased costs to assure compliance.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243"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fines;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CMOs’ operations; or</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For example, over the last several years, the U.S. government has shut down several times and certain regulatory agencies, such as the FDA, have had to furlough critical FDA employees and stop critical activities.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U.S. FDA and other regulations related to the promotion of our products for unapproved uses, we could be subject to criminal penalties, substantial fines or other sanctions and damage awards.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U.S.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IBSRELA and/or XPHOZAH may cause or contribute to adverse medical events that we are required to report to regulatory agencies and if we fail to do so we could be subject to sanctions that would materially harm our business.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CMOs and vendors may engage in misconduct or other improper activities, including noncompliance with regulatory standards and requirements.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257" w:lineRule="exact"/>
        <w:rPr>
          <w:sz w:val="20"/>
          <w:szCs w:val="20"/>
          <w:color w:val="auto"/>
        </w:rPr>
      </w:pPr>
    </w:p>
    <w:p>
      <w:pPr>
        <w:jc w:val="both"/>
        <w:ind w:left="34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2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26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average manuacturer price.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Under the IRA, small molecule drugs and biologics first become eligible for price negotiation seven and eleven years, respectively, after FDA approval.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202"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217"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216"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215" w:lineRule="exact"/>
        <w:rPr>
          <w:sz w:val="20"/>
          <w:szCs w:val="20"/>
          <w:color w:val="auto"/>
        </w:rPr>
      </w:pPr>
    </w:p>
    <w:p>
      <w:pPr>
        <w:jc w:val="both"/>
        <w:ind w:firstLine="504"/>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306" w:lineRule="exact"/>
        <w:rPr>
          <w:sz w:val="20"/>
          <w:szCs w:val="20"/>
          <w:color w:val="auto"/>
        </w:rPr>
      </w:pPr>
    </w:p>
    <w:p>
      <w:pPr>
        <w:ind w:left="340" w:hanging="332"/>
        <w:spacing w:after="0" w:line="281"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or product candidates;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or technologies that do not infringe our patents;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ultimately be found to be valid and enforceable;</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enforce our intellectual property rights, the commercial value of IBSRELA, XPHOZAH, RDX013 or other product candidates may be adversely affected and we may not be able to compete effectively in our market.</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XPHOZAH, RDX013 or any future product candidates is successfully challenged, then our ability to commercialize such product could be negatively affected, and we may face unexpected competition that could have a material adverse impact on our business. Further, we have reported that we have completed the data analysis from our Phase 2 clinical trial evaluating the safety and efficacy of RDX013 for the treatment of hyperkalemia, and that we currently expect that the next steps for the RDX013 program will be to evaluate a new formulation that potentially enhances subject compliance and the efficacy of RDX013 in an additional Phase 2 clinical study. We currently expect to delay further development of RDX013 until such time as we have determined that our available resources support conducting such additional formulation work and an additional clinical study. As a result of this delay in our development program for RDX013, the period of time during which we or our collaboration partners could market RDX013 under patent protection could be reduced.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U.S., the Hatch-Waxman Act provides non-patent regulatory exclusivity for five years from the date of the first U.S. FDA approval of a drug containing a new chemical entity (NCE). The U.S. FDA is prohibited during those five years from approving an Abbreviated New Drug Application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 Patent No. 8,541,448 covering tenapanor was subject to patent term adjustment (PTA) under the American Inventors Protection Act for delays by the United States Patent and Trademark Office in granting the patent. Additionally, following the approval by the U.S. FDA for our NDA to market tenapanor for IBS-C, this patent was granted patent term extension (PTE) under the Hatch-Waxman Act and together with PTA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Europe’s new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24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lack of success with regards to our commercialization of IBSRELA and XPHOZAH;</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regulatory inspections of our facilities or those of our CMOs, or specific label restrictions or patient populations for XPHOZAH’s use, or changes or delays in the regulatory review process;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whether XPHOZAH alone or with other oral only medications, will be included in the ESRD PPS, and the time and manner in which such transition is achieved;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current or future collaboration partnerships;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product label, our clinical trials, manufacturing supply chain or sales and marketing activities;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approved products or our product candidates;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any of our projected timelines or goals with regard to the commercialization of IBSRELA and XPOHZAH, or the clinical development and commercialization of any of our product candidates;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or other U.S. or foreign regulatory actions affecting us or our industry or other healthcare reform measures in the U.S.;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securities and sales or licensing of assets;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U.S. equity markets;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 longer be a “smaller reporting company” in 2024 and as a result we are or will be subject to certain enhanced disclosure requirements which will require us to incur significant expenses and expend time and resources.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 longer be a “smaller reporting company,” in 2024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Securities and Exchange Commission (SEC) or other regulatory authorities, which would require additional financial and management resources.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required to reflect the change in our smaller reporting company status and comply with the increased disclosure obligations until our quarterly report for the quarter ending March 31, 2024, the first quarter in our fiscal year ending December 31, 2024. We will need to reassess, as of June 30, 2024, whether we will continue to qualify as a large accelerated filer for filings beyond the fiscal year ending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global economic environment.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257" w:lineRule="exact"/>
        <w:rPr>
          <w:sz w:val="20"/>
          <w:szCs w:val="20"/>
          <w:color w:val="auto"/>
        </w:rPr>
      </w:pPr>
    </w:p>
    <w:p>
      <w:pPr>
        <w:ind w:left="340" w:right="20" w:hanging="332"/>
        <w:spacing w:after="0" w:line="28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to remove a director for cause, and the prohibition on removal of directors without cause;</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2"/>
        <w:spacing w:after="0" w:line="281"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243" w:lineRule="exact"/>
        <w:rPr>
          <w:sz w:val="20"/>
          <w:szCs w:val="20"/>
          <w:color w:val="auto"/>
        </w:rPr>
      </w:pPr>
    </w:p>
    <w:p>
      <w:pPr>
        <w:jc w:val="both"/>
        <w:ind w:left="340" w:hanging="332"/>
        <w:spacing w:after="0" w:line="261"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7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program intended to manage risk, and protect the confidentiality, integrity, and availability of our critical systems and information. Our cybersecurity program includes a cybersecurity incident response plan as well as key technology and processes required to monitor, alert and escalate in the event of malicious activity.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design, assess and benchmark our program based on the National Institute of Standards and Technology Cybersecurity Framework (NIST CSF).</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in areas such as legal, compliance, strategic, operational, and financial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program includes:</w:t>
      </w:r>
    </w:p>
    <w:p>
      <w:pPr>
        <w:spacing w:after="0" w:line="306" w:lineRule="exact"/>
        <w:rPr>
          <w:sz w:val="20"/>
          <w:szCs w:val="20"/>
          <w:color w:val="auto"/>
        </w:rPr>
      </w:pPr>
    </w:p>
    <w:p>
      <w:pPr>
        <w:ind w:left="340" w:hanging="332"/>
        <w:spacing w:after="0" w:line="281"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IT environment;</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that have access to our critical systems and information.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and Compliance Committee (Committee) oversight of cybersecurity and other information technology risks. The Committee oversees management’s implementation of our cybersecurity risk management program, maintains a strategic role in coordinating cyber risk initiatives and policies, and confirming their efficacy.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Committee receives regular reports from management on our cybersecurity posture. In addition, management updates the Committee, as necessary, regarding any material cybersecurity incidents, as well as any incidents with lesser impact potential.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Board also receives periodic briefings from management on our cybersecurity program. The Board members receive presentations on cybersecurity topics from our IT Senior Director, internal security staff or external experts as part of the Board’s continuing education on topics that impact public companies.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team, including our Chief Legal Officer, Chief Financial Officer and IT Senior Director, has over a combined 50 years of risk management experience, including our IT Senior Director who has over 15 years of experience overseeing cybersecurity and risk management. This team is responsible for assessing and managing our material risks from cybersecurity threats, and has primary responsibility for our overall cybersecurity risk management program and supervises both our internal cybersecurity personnel and our retained external cybersecurity consultants. Our management team’s experience includes experience running cybersecurity programs at similarly situated commercial biotechnology organizations and navigating the associated risk landscape.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headquarters is currently located in Waltham, Massachusetts and consists of 17,111 square feet of leased office space under a lease agreement that expires in June 2026. In addition, we lease 72,500 square feet of office and laboratory space in Fremont, California under a lease agreement that expires in March 2025 and 4,768 square feet of office space in Milwaukee, Wisconsin under a lease agreement that expires in February 2026. Prior to October 2021, our headquarters were co-located in Fremont, California and Waltham, Massachusetts.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 w:cs="Times New Roman" w:eastAsia="Times New Roman" w:hAnsi="Times New Roman"/>
          <w:sz w:val="18"/>
          <w:szCs w:val="18"/>
          <w:i w:val="1"/>
          <w:iCs w:val="1"/>
          <w:color w:val="auto"/>
        </w:rPr>
        <w:t>Strezsak v. Ardelyx, Inc., et al.</w:t>
      </w:r>
      <w:r>
        <w:rPr>
          <w:rFonts w:ascii="Times New Roman" w:cs="Times New Roman" w:eastAsia="Times New Roman" w:hAnsi="Times New Roman"/>
          <w:sz w:val="18"/>
          <w:szCs w:val="18"/>
          <w:color w:val="auto"/>
        </w:rPr>
        <w:t xml:space="preserve">, Case No. 4:21-cv-05868-HSG, and Siegel </w:t>
      </w:r>
      <w:r>
        <w:rPr>
          <w:rFonts w:ascii="Times New Roman" w:cs="Times New Roman" w:eastAsia="Times New Roman" w:hAnsi="Times New Roman"/>
          <w:sz w:val="18"/>
          <w:szCs w:val="18"/>
          <w:i w:val="1"/>
          <w:iCs w:val="1"/>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Ardelyx, Inc., et al.</w:t>
      </w:r>
      <w:r>
        <w:rPr>
          <w:rFonts w:ascii="Times New Roman" w:cs="Times New Roman" w:eastAsia="Times New Roman" w:hAnsi="Times New Roman"/>
          <w:sz w:val="18"/>
          <w:szCs w:val="18"/>
          <w:color w:val="auto"/>
        </w:rPr>
        <w:t>, Case No. 5:21-cv-06228-HSG (together, the Securities Class Actions). The complaints allege that the defendants violated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On August 22, 2023, the court cancelled the hearing scheduled for September 14, 2023 on the motion to dismiss the amended complaint and indicated its decisions to instead rule on the filed briefs. We believe the plaintiff’s claims are without merit and we have not recorded any accrual for a contingent liability associated with these legal proceedings.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December 31, 2023, there is no litigation pending that would reasonably be expected to have a material adverse effect on our results of operations and financial condition, and no contingent liabilities were accrued as of December 31, 2023.</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8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19, 2014, our common stock commenced trading on The Nasdaq Global Market under the symbol “ARDX”. Prior to that date, there was no public trading market for our common stock. As of December 31, 2023, there were 25 holders of record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any future earnings to finance the growth and development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financial statements and related notes included elsewhere in this report. This discussion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irritable bowel syndrome with constipation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commencing operations in October 2007, substantially all our efforts have been dedicated to our research and development (R&amp;D) activities, including developing tenapanor and developing our proprietary drug discovery and design platform, as well as commercialization activities, including the marketing and sales of IBSRELA and XPHOZAH. We realized our first product sales of IBSRELA in March 2022 and realized our first product sales of XPHOZAH in November 2023. As of December 31, 2023, we had an accumulated deficit of $846.2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invest in the commercialization of IBSRELA and XPHOZAH, incur manufacturing and development cost for tenapanor, and incur R&amp;D costs related to potential new product candidates. To date, we have funded our operations from the sale and issuance of common stock and convertible preferred stock, funds from our collaboration partnerships, which includes license fees, milestones and product supply revenue, funds from our loan agreement with SLR Investment Corp. (SLR), as amended on August 1, 2022, February 9, 2023 and October 17, 2023 (collectively, the 2022 Loan Agreement), as well as from sales of IBSRELA and XPHOZAH.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for IBS-C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unique discovery platform and deep understanding of the primary mechanism of sodium transport in the intestine resulted in our discovery and development of IBSRELA, a first-in-class, U.S. FDA approved, sodium hydrogen exchange 3 (NHE3) inhibitor for the treatment of IBS-C in adults. IBSRELA acts locally in the gut and is minimally absorbed. IBS-C is a gastrointestinal (GI) disorder characterized by both abdominal pain and altered bowel habits. IBS-C is associated with significantly impaired quality of life, reduced productivity, and substantial economic burden.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who account for approximately 50% of IBS-C prescriptions. Central to our go to market strategy for IBSRELA has been our highly experienced specialty sales force, many with existing relationships across their GI target base, and omnichannel digital initiatives.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competition for IBSRELA will come largely from the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commercial agreements with Shanghai Fosun Pharmaceutical Industrial Development Co. Ltd. (Fosun Pharma) in China and Knight Therapeutics, Inc. (Knight) in Canada for IBSRELA for IBS-C. Knight is currently marketing IBSRELA in Canada. In October 2023, we announced that Fosun Pharma received approval from the Hong Kong Department of Health for the marketing application for tenapanor for the treatment of irritable bowel syndrome with constipation (IBS-C).</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XPHOZAH to Reduce Serum Phosphorus in Adults with CKD on dialysis as Add-on Therapy in Patients who have an Inadequate Response to Phosphate Binders or who are Intolerant of any Dose of Phosphate Binder Therapy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17, 2023, XPHOZAH, a first-in-class phosphate absorption inhibitor, received approval from the U.S. FDA to market XPHOZAH in the U.S. to reduce serum phosphorus in adults with chronic kidney disease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eighty percent of those patients are being treated with phosphate lowering therapies. On average during 2020 through 2023, approximately seventy percent of patients treated with phosphate binders to treat hyperphosphatemia were unable to consistently maintain phosphorous levels &lt;=5.5 mg/dL over a six-month period. XPHOZAH is the first therapy for phosphate management that blocks phosphate absorption at the primary site of uptake.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our first sales of XPHOZAH in the U.S. in November 2023. 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concentrated number of prescribers, and recognized unmet need. In addition, market research indicated a high level of awareness, interest and intent to adopt XPHOZAH upon approval and favorable response to the XPHOZAH product profile as a novel mechanism therapy. These dynamics enabled a targeted promotional focus on patients currently being managed for hyperphosphatemia by the approximately 8,000 nephrology healthcare providers who write approximately 80% of phosphate lowering therapy prescriptions. Central to our go to market strategy for XPHOZAH is our highly experienced specialty sales force, many with existing relationships across their nephrology target base, and innovative omnichannel digital initiatives.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 an inhibitor of phosphate transporters NaPi-2b, PiT-1, and PiT-2, thus far studied in a phase 1 clinical trial.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XPHOZAH was granted orphan drug designation by the U.S. FDA for the treatment of pediatric hyperphosphatemia.</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commercial agreements with Kyowa Kirin, Co. Ltd. (Kyowa Kirin) in Japan, Fosun Pharma in China and Knight in Canada for tenapanor for hyperphosphatemia. In July 2023, we announced that a New Drug Application (NDA) for tenapanor had been accepted for review by China’s Center for Drug Evaluation of the National Medical Products Administration (NMPA) for the control of serum phosphorus in adult patients with CKD on hemodialysis. In September 2023, we announced that Kyowa Kirin received approval from the Japanese Ministry of Health, Labour and Welfare (MHLW) for the NDA for tenapanor for the improvement of hyperphosphatemia in adult patients with CKD on dialysis.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and Developmental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small molecule potassium secretagogue program, RDX013, for the potential treatment of hyperkalemia, or elevated serum potassium. Hyperkalemia is a common problem in patients with heart and kidney disease, particularly in patients taking customary blood pressure medications known as renin-angiotensin-aldosterone system (RAAS) inhibitors. RDX013 is a novel mechanism agent designed to target the underlying biological mechanisms of potassium secretion to lower elevated potassium. We have completed a Phase 2 dose ranging clinical trial evaluating the safety and efficacy of RDX013 for the treatment of hyperkalemia in CKD patients who are not on dialysis. While the results of the study demonstrated an acceptable safety and tolerability profile for RDX013 and supported proof of concept in its ability to lower serum potassium levels, with statistically significant reductions compared to placebo after eight days of treatment, the study did not meet its primary endpoint of significantly reducing serum potassium levels compared to placebo after four weeks of treatment.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discovery program targeting the inhibition of the chloride bicarbonate exchanger for the treatment of metabolic acidosis, a highly prevalent comorbidity in CKD patients that is strongly correlated with disease progression and adverse outcomes. We have identified lead compounds that are potent, selective and proprietary inhibitors of bicarbonate secretion.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expect to meaningfully advance either of these two assets until such time as we have determined our available resources can support additional activities after prioritization of the commercialization of IBSRELA and XPHOZAH.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exclusive rights to tenapanor in the U.S. and we have established agreements with Kyowa Kirin in Japan, Fosun Pharma in China and Knight in Canada for the development and commercialization of tenapanor for certain indications in their respective territories.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 $2.3 million non-refundable, one-time payment in March 2018. We may also be eligible to receive approximately CAD 22.2 million for development and commercialization milestones, or approximately $16.7 million at the currency exchange rate on December 31, 2023, of which $0.7 million has been received and recognized as revenue as of December 31, 2023. We are also eligible to receive royalties throughout the term of the agreement, and a transfer price for manufacturing services.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 $55.0 million in total development and regulatory milestones, of which $35.0 million has been recognized as revenue and received as of December 31, 2023. We may also be eligible to receive approximately ¥8.5 billion for commercialization milestones, or approximately $60.3 million at the currency exchange rate on December 31, 2023, as well as reimbursement of costs plus a reasonable overhead for the supply of product and royalties on net sales throughout the term of the agreement. As discussed in </w:t>
      </w:r>
      <w:r>
        <w:rPr>
          <w:rFonts w:ascii="Times New Roman" w:cs="Times New Roman" w:eastAsia="Times New Roman" w:hAnsi="Times New Roman"/>
          <w:sz w:val="18"/>
          <w:szCs w:val="18"/>
          <w:i w:val="1"/>
          <w:iCs w:val="1"/>
          <w:color w:val="auto"/>
        </w:rPr>
        <w:t>Note 8.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Royalty Obligation Related to the Sale of Future Royalties</w:t>
      </w:r>
      <w:r>
        <w:rPr>
          <w:rFonts w:ascii="Times New Roman" w:cs="Times New Roman" w:eastAsia="Times New Roman" w:hAnsi="Times New Roman"/>
          <w:sz w:val="18"/>
          <w:szCs w:val="18"/>
          <w:color w:val="auto"/>
        </w:rPr>
        <w:t>, the future royalties and commercial milestone payments we may receive under the 2017 Kyowa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Kirin Agreement will be remitted to HealthCare Royalty Partners IV, L.P. pursuant to a Royalty and Sales Milestone Interest Acquisition Agreement.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the future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which has been received and recognized as revenue as of September 2023 as described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2017, we entered into an exclusive license agreement with Fosun Pharma (Fosun Agreement) for the development and commercialization of tenapanor in China for both hyperphosphatemia and IBS-C. Under the terms of the Fosun Agreement, Fosun paid us a $12.0 million upfront 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we announced that the U.S. FDA has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irritable bowel syndrome with constipation (IBS-C). We may be entitled to receive development and commercialization milestones of up to $113.0 million, of which $8.0 million has been recognized as revenue and $5.0 million has been received as of December 31, 2023 and $3.0 million was received in January 2024, as well as reimbursement of cost plus a reasonable overhead for the supply of product and tiered royalties on net sales ranging from the mid-teens to 20%.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revenue to date has been generated primarily through a combination of product sales and payments in connection with license, research and development collaborative agreements with our various collaboration partners. We realized our first commercial product sales of IBSRELA beginning in March 2022 and our first commercial product sales of XPHOZAH in November 2023.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and XPHOZAH; our ability to obtain and sustain an adequate level of coverage and reimbursement for IBSRELA and XPHOZAH by third-party payors; whether and the extent to which we are successful in our commercialization of XPHOZAH; whether or when XPHOZAH, along with other oral ESRD-related drugs without an injectable or intravenous equivalent, are bundled into the end stage renal disease prospective payment system (ESRD PPS), and the manner in which such introduction into the ESRD PPS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 the timing and progress of goods and services provided pursuant to our current or future collaborative partnerships;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product sales consists of the cost of commercial goods sold to our Customers. Other cost of revenue consists of the cost of materials sold to our international partners under product supply agreements, as well as payments due to AstraZeneca AB (AstraZeneca)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and XPHOZAH units recognized as revenue during the years ended December 31, 2023 and 2022 were expensed in periods prior to the commencement of capitalization of inventory costs for each respective product. We believe our cost of goods sold for the years ended December 31, 2023 and 2022 would have been $4.4 million and $1.9 million higher, respectively, if we had not previously expensed certain material and production costs with respect to the units sold. As of December 31, 2023 and December 31, 2022, we had approximately $21.8 million and $28.0 million, respectively, of inventory on hand that was previously expensed as research and development expense and will not be reported as cost of goods sold in future periods when sales of IBSRELA and XPHOZAH are recognized as revenue.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$27.6 million as other cost of revenue under the AstraZeneca Termination Agreement. See details in </w:t>
      </w:r>
      <w:r>
        <w:rPr>
          <w:rFonts w:ascii="Times New Roman" w:cs="Times New Roman" w:eastAsia="Times New Roman" w:hAnsi="Times New Roman"/>
          <w:sz w:val="18"/>
          <w:szCs w:val="18"/>
          <w:i w:val="1"/>
          <w:iCs w:val="1"/>
          <w:color w:val="auto"/>
        </w:rPr>
        <w:t>Note 7, Collaboration and 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under AstraZeneca, in the notes to our financial statements, included in Part II,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all R&amp;D expenses as they are incurred to support the discovery, research, development and manufacturing of our product candidates. R&amp;D expenses include, but are not limited to, the following:</w:t>
      </w:r>
    </w:p>
    <w:p>
      <w:pPr>
        <w:spacing w:after="0" w:line="162"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supplies and materials consumed in connection with our research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producing XPHOZAH prior to U.S. FDA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producing discovery and developmental assets prior to U.S. FDA approval;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associated with research, clinical development and regulatory activities;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bonuses, benefits, travel and stock-based compensation;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information technology expense and other supplies.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represents the interest associated with on our 2022 Loan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related to the sale of future royalties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have received a $10.0 million upfront payment and a $5.0 million milestone payment from HCR, which we recorded as a deferred royalty obligation on our balance sheet. Non-cash interest expense will be recognized over the life of the HCR Agreement using the effective interest method based on the imputed interest rate derived from estimated amounts and timing of future royalty payments to be received from Kyowa Kirin.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earned on our cash, cash equivalents and available-for-sale investments, the periodic revaluation of the exit fee related to our 2022 Loan Agreement, gains on sales of property and equipment, and currency exchange gains and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provision for income taxes includes current and deferred tax, including foreign withholding taxes paid on payments received from certain collaboration partners. Deferred income taxes reflect the tax effects of temporary differences between the carrying amounts of assets and liabilities for financial reporting purposes and the amounts used for income tax purposes. Our deferred tax assets continue to be fully offset by a valuation allowance, including deferred tax assets related to our net operating loss carryforwards, which may be subject to annual limitations as a result of ownership changes that may have occurred or could occur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 detailed discussion of our significant accounting policies can be found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in the notes to our financial statements, included in Part II, Item 8, of this Annual Report on Form 10-K. 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experience and on various other assumptions that we believe to be reasonable under the circumstances. Actual results could differ materially from these estimates.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consider certain accounting policies related to revenue recognition, inventory, accrued research and development expenses to be critical policies to understanding the judgments and estimates applied in our reported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our commercial product sales, net in accordance with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received approval from the FDA to market IBSRELA in the U.S. in September 2019 and to market XPHOZAH in the U.S. in October 2023. We began selling IBSRELA and XPHOZAH in the U.S. in March 2022 and November 2023, respectively. We distribute IBSRELA principally through major wholesalers, specialty pharmacies and group purchasing organizations (GPOs) (collectively, our IBSRELA Customers). XPHOZAH is principally distributed through a specialty wholesaler (XPHOZAH Customer) to select specialty pharmacies (collectively, IBSRELA Customers and XPHOZAH Customers, “Customers”). Our Customers subsequently sell IBSRELA and XPHOZAH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which may be settled in the form of off-invoice discounts, chargebacks, or rebates. Variable consideration includes discounts to customers and government programs, wholesaler fees, group purchasing organization administrative fees, patient copay assistance, and estimated product returns. These estimates are based on the amounts earned or to be claimed for related sales and are classified as reductions of gross accounts receivable if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experience, current contractual and statutory requirements, specific known market events and trends.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experience, estimates will be more heavily based on the expected utilization from historical data we have accumulated since the IBSRELA and XPHOZAH product launches. Changes in estimates recorded through December 31, 2023 have not been material.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 and therefore require the most estimation and judgment of our gross to net deductions.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known sales from wholesalers to their chargeback-eligible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We also estimate the amount of copay assistance that will be provided to patients associated with product which we have sold but which has not yet been dispensed to commercial patients, which requires significant estimation and judgment. Our estimates are recorded in accounts payable and accrued expenses and other current liabilities on the balance sheets. Other reserves include estimated product returns which are recorded in the same period the related gross revenue is recognized, resulting in a reduction of product revenue as well as accounts receivable. We estimate our product returns reserve based upon our experience and specific known market events and trends. As we have experienced limited product returns, establishing the appropriate level of product returns reserve require estimation and judgment.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collaboration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 We also use judgment to evaluate whether the milestones are considered probable of being reached and estimate the amount to be included in the transaction price using the most likely amount method.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Prior to the regulatory approval of drug product candidates, we incurred expenses for the manufacture of drug product that could potentially be available to support the commercial launch of our products or could be sold to our international partners under product supply agreements.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 We began to capitalize inventory costs associated with XPHOZAH during the fourth quarter of 2023, following approval by the U.S. FDA to market XPHOZAH in the U.S., which was when it was determined that the inventory had a probable future economic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under the specific identification method. Inventory costs include the cost of materials, third-party contract manufacturing, third-party packaging services, freight, labor costs for personnel involved in the manufacturing process, and indirect overhead costs. We primarily use actual costs to determine the cost basis for inventory, and therefore there is limited estimation or judgment involved. The determination of whether inventory costs will be realizable requires management review of the expiration dates of IBSRELA and XPHOZAH compared to our forecasted sales. If actual market conditions are less favorable than projected by management, write-downs of inventory may be required, which would be recorded as cost of revenue in the statement of operations and comprehensive loss. As of December 31, 2023, we have not recorded any write-downs for excess and obsolete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our service providers and make adjustments if necessary.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accruing service fees, we estimate the time period over which each component of a service will be performed, and estimate, with vendor input if appropriate.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total revenue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202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 Percent change is not meaningful.</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9"/>
        </w:trPr>
        <w:tc>
          <w:tcPr>
            <w:tcW w:w="5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Below is a summary of our net product sales by product (dollars 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10"/>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IBSRELA</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15,600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XPHOZAH</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 sales, net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product sales, net during the year ended December 31, 2023 as compared to the same period in 2022 is primarily attributable to increased net product sales for IBSRELA and is primarily volume based as 2023 was a full year of sales while IBSRELA sales commenced in March of 2022. IBSRELA sales volumes increased in 2023 as awareness and prescriber experience with the product continued to grow following its commercial launch in March 2022. Commercial sales of XPHOZAH commenced in November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Licensing revenue during the year ended December 31, 2023 was comparable to the same period in 2022. During the year ended December 31, 2023, we earned an aggregate of $30.0 million for milestones under the 2017 Kyowa Kirin Agreement and payments under the 2022 Kyowa Kirin Amendment upon approval from the Japanese MHLW for the NDA for tenapanor for the improvement of hyperphosphatemia in adult patients with CKD on dialysis. We also earned an aggregate of $5.0 million in milestones under the terms of the Fosun Agreement upon acceptance of the NDA for tenapanor by China’s Center for Drug Evaluation of the NMPA for the control of serum phosphorus in adult patients with CKD on hemodialysis and the U.S. FDA approval of XPHOZAH to reduce serum phosphorus in adults with CKD on dialysis as add-on therapy in patients who have an inadequate response to phosphate binders or who are intolerant of any dose of phosphate binder therapy.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product supply revenue during the year ended December 31, 2023 as compared to the same periods in 2022 is attributable to increased product supply revenue to Kyowa Kirin.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 in product sales, net during the year ended December 31, 2022 as compared to the same period in 2021 is attributable to net product sales for IBSRELA that commenced in March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licensing revenue during the year ended December 31, 2022 as compared to the same period in 2021 is attributable to an aggregate of $35.0 million in milestone payments and payments under the second amendment to the 2017 KKC Agreement which we earned upon Kyowa Kirin's submission of a New Drug Application to the Japanese MLHW for tenapanor for the improvement of hyperphosphatemia in adult patients with CKD on dialysis.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collaborative development revenue during the year ended December 31, 2022 as compared to the same period in 2021 is attributable to the full recognition of collaborative development revenue for upfront payments associated with the 2019 Kyowa Kirin Agreement through the end of 2021.</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product supply revenue during the year ended December 31, 2022 as compared to the same period in 2021 is attributable to increased product supply revenue in connection with the 2017 Kyowa Kirin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cost of goods sold (dollars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product sales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cost of revenue</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cost of goods sold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 Percent change is not meaningful.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r>
      <w:tr>
        <w:trPr>
          <w:trHeight w:val="238"/>
        </w:trPr>
        <w:tc>
          <w:tcPr>
            <w:tcW w:w="220" w:type="dxa"/>
            <w:vAlign w:val="bottom"/>
          </w:tcPr>
          <w:p>
            <w:pPr>
              <w:spacing w:after="0"/>
              <w:rPr>
                <w:sz w:val="20"/>
                <w:szCs w:val="20"/>
                <w:color w:val="auto"/>
              </w:rPr>
            </w:pPr>
          </w:p>
        </w:tc>
        <w:tc>
          <w:tcPr>
            <w:tcW w:w="312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2340" w:type="dxa"/>
            <w:vAlign w:val="bottom"/>
            <w:gridSpan w:val="6"/>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19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34"/>
        </w:trPr>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-488315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-187960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9" w:lineRule="exact"/>
        <w:rPr>
          <w:sz w:val="20"/>
          <w:szCs w:val="20"/>
          <w:color w:val="auto"/>
        </w:rPr>
      </w:pPr>
    </w:p>
    <w:p>
      <w:pPr>
        <w:sectPr>
          <w:pgSz w:w="11900" w:h="16838" w:orient="portrait"/>
          <w:cols w:equalWidth="0" w:num="2">
            <w:col w:w="2840" w:space="520"/>
            <w:col w:w="7880"/>
          </w:cols>
          <w:pgMar w:left="320" w:top="121" w:right="339" w:bottom="1440" w:gutter="0" w:footer="0" w:header="0"/>
          <w:type w:val="continuous"/>
        </w:sectPr>
      </w:pP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to cost of product sales for the year ended December 31, 2023 as compared to the same period in 2022 is primarily attributable to cost of goods sold for increased net product sales of IBSRELA.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to other cost of revenue for the year ended December 31, 2023 as compared to the same period in 2022 is primarily attributable to payments due to AstraZeneca under the AstraZeneca Termination Agreement, which include a percentage of milestones earned, as well as cost of goods sold for increased product supply sold to our international partners.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to cost of product sales for the year ended December 31, 2022 as compared to the same period in 2021 was primarily attributable to $0.5 million for the cost of goods sold for product sales of IBSRELA during year ended December 31,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cost of revenue for the year ended December 31, 2022 as compared to the same period in 2021 was primarily attributable to payments due to AstraZeneca under the AstraZeneca Termination Agreement for IBSRELA product sales, net and for the milestone payment we received under the second amendment to the 2017 Kyowa Kirin Agreement, which we earned upon Kyowa Kirin's submission of a NDA to the Japanese MHLW for tenapanor for the improvement of hyperphosphatemia in adult patients with CKD on dialysis.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operating expenses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3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r>
        <w:trPr>
          <w:trHeight w:val="797"/>
        </w:trPr>
        <w:tc>
          <w:tcPr>
            <w:tcW w:w="3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research and development expenses (dollars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1140"/>
        <w:spacing w:after="0" w:line="268" w:lineRule="auto"/>
        <w:rPr>
          <w:sz w:val="20"/>
          <w:szCs w:val="20"/>
          <w:color w:val="auto"/>
        </w:rPr>
      </w:pPr>
      <w:r>
        <w:rPr>
          <w:rFonts w:ascii="Times New Roman" w:cs="Times New Roman" w:eastAsia="Times New Roman" w:hAnsi="Times New Roman"/>
          <w:sz w:val="18"/>
          <w:szCs w:val="18"/>
          <w:color w:val="auto"/>
        </w:rPr>
        <w:t>External R&amp;D expenses Employee-related expenses</w:t>
      </w:r>
    </w:p>
    <w:p>
      <w:pPr>
        <w:spacing w:after="0" w:line="2" w:lineRule="exact"/>
        <w:rPr>
          <w:sz w:val="20"/>
          <w:szCs w:val="20"/>
          <w:color w:val="auto"/>
        </w:rPr>
      </w:pPr>
    </w:p>
    <w:p>
      <w:pPr>
        <w:ind w:left="20" w:right="360"/>
        <w:spacing w:after="0" w:line="234" w:lineRule="auto"/>
        <w:rPr>
          <w:sz w:val="20"/>
          <w:szCs w:val="20"/>
          <w:color w:val="auto"/>
        </w:rPr>
      </w:pPr>
      <w:r>
        <w:rPr>
          <w:rFonts w:ascii="Times New Roman" w:cs="Times New Roman" w:eastAsia="Times New Roman" w:hAnsi="Times New Roman"/>
          <w:sz w:val="18"/>
          <w:szCs w:val="18"/>
          <w:color w:val="auto"/>
        </w:rPr>
        <w:t>Facilities, equipment and depreciation expenses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r>
      <w:tr>
        <w:trPr>
          <w:trHeight w:val="238"/>
        </w:trPr>
        <w:tc>
          <w:tcPr>
            <w:tcW w:w="220" w:type="dxa"/>
            <w:vAlign w:val="bottom"/>
          </w:tcPr>
          <w:p>
            <w:pPr>
              <w:spacing w:after="0"/>
              <w:rPr>
                <w:sz w:val="20"/>
                <w:szCs w:val="20"/>
                <w:color w:val="auto"/>
              </w:rPr>
            </w:pPr>
          </w:p>
        </w:tc>
        <w:tc>
          <w:tcPr>
            <w:tcW w:w="314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44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-899795</wp:posOffset>
            </wp:positionV>
            <wp:extent cx="71323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-599440</wp:posOffset>
            </wp:positionV>
            <wp:extent cx="7132320" cy="26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-187960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3140" w:space="220"/>
            <w:col w:w="7880"/>
          </w:cols>
          <w:pgMar w:left="320" w:top="121" w:right="339" w:bottom="1440" w:gutter="0" w:footer="0" w:header="0"/>
          <w:type w:val="continuous"/>
        </w:sectPr>
      </w:pP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R&amp;D expenses for the year ended December 31, 2023 as compared to the same period in 2022 is primarily the result of clinical trial and pharmacovigilance activities related to IBSRELA.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decrease in our external R&amp;D expenses for the year ended December 31, 2022 as compared to the same period in 2021 was primarily the result of lower clinical study costs following the completion of the OPTIMIZE study, lower tenapanor manufacturing expense as we began to capitalize costs associated with the production of IBSRELA to inventory, and lower expenses for research following the elimination of our internal research organization in the fourth quarter of 2021. The decrease in our employee-related expenses for the year ended December 31, 2022 is due to lower compensation and benefits expenses for our research and development workforce following restructuring actions in 2021. Similarly, the decrease in facilities, equipment and depreciation expenses is primarily due to a smaller proportion of such expenses being attributed to R&amp;D following the restructuring in 2021. The increase in other expenses is primarily related to disease-related education grants during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year ended December 31, 2023 as compared to the same period in 2022 is primarily due to increased costs associated with the commercial launches of IBSRELA and XPHOZAH and increases in expenses associated with administrative support functions as our company has grown in headcount and activity level. The increases consisted of headcount and related personnel costs and external spending for disease awareness initiatives, commercial infrastructure and strategy.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year ended December 31, 2022 as compared to the same period in 2021 was primarily due to increased costs associated with the commercial launch of IBSRELA. The changes consisted of headcount and related personnel costs and external spending for disease awareness initiatives, commercial infrastructure and strategy. These increases were partially offset by a reduction in ongoing costs as a result of the restructuring action carried out during the third quarter of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interest expense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40" w:type="dxa"/>
            <w:vAlign w:val="bottom"/>
          </w:tcPr>
          <w:p>
            <w:pPr>
              <w:spacing w:after="0"/>
              <w:rPr>
                <w:sz w:val="20"/>
                <w:szCs w:val="20"/>
                <w:color w:val="auto"/>
              </w:rPr>
            </w:pPr>
          </w:p>
        </w:tc>
        <w:tc>
          <w:tcPr>
            <w:tcW w:w="2320" w:type="dxa"/>
            <w:vAlign w:val="bottom"/>
            <w:gridSpan w:val="6"/>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9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3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year ended December 31, 2023 as compared to the same period in 2022 is due to a higher variable interest rate applied to our loan balance primarily resulting from market fluctuations, as well as a larger loan balance outstanding following the draw of an additional $22.5 million for the Term B Loan in October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interest expense for the year ended December 31, 2022 as compared to the same period in 2021 was due to lower principal outstanding on our loan payable in 2022 than in 2021 due to principal payments made on our 2018 Loan during the fourth quarter of 2021 through February 2022. In February 2022, we repaid the remaining outstanding principal balance of the 2018 Loan in the amount of $25.0 million and entered into the new 2022 Loan in the amount of $27.5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Interest Expense Related to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non-cash interest expense related to the sale of future royalties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00" w:type="dxa"/>
            <w:vAlign w:val="bottom"/>
          </w:tcPr>
          <w:p>
            <w:pPr>
              <w:spacing w:after="0"/>
              <w:rPr>
                <w:sz w:val="18"/>
                <w:szCs w:val="18"/>
                <w:color w:val="auto"/>
              </w:rPr>
            </w:pPr>
          </w:p>
        </w:tc>
      </w:tr>
      <w:tr>
        <w:trPr>
          <w:trHeight w:val="238"/>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00" w:type="dxa"/>
            <w:vAlign w:val="bottom"/>
          </w:tcPr>
          <w:p>
            <w:pPr>
              <w:spacing w:after="0"/>
              <w:rPr>
                <w:sz w:val="20"/>
                <w:szCs w:val="20"/>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7"/>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55"/>
        </w:trPr>
        <w:tc>
          <w:tcPr>
            <w:tcW w:w="34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Non-cash interest expense related to the sale of</w:t>
            </w: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royalties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135 %  $</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r>
    </w:tbl>
    <w:p>
      <w:pPr>
        <w:ind w:left="20"/>
        <w:spacing w:after="0"/>
        <w:rPr>
          <w:sz w:val="20"/>
          <w:szCs w:val="20"/>
          <w:color w:val="auto"/>
        </w:rPr>
      </w:pPr>
      <w:r>
        <w:rPr>
          <w:rFonts w:ascii="Times New Roman" w:cs="Times New Roman" w:eastAsia="Times New Roman" w:hAnsi="Times New Roman"/>
          <w:sz w:val="18"/>
          <w:szCs w:val="18"/>
          <w:color w:val="auto"/>
        </w:rPr>
        <w:t>(a) Percent change is not meaningful.</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Non-cash interest expense related to the sales of future royalties for the year ended December 31, 2023 is accrued on the deferred royalty obligation that we recorded following the receipt of the $10.0 million upfront payment and the $5.0 million milestone payment received from HCR during June 2022 and October 2023, respectively. We recognized a full twelve months of expense during the year ended December 31, 2023 compared to approximately six months of expense during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interest expense related to the sale of future royalties reflects the recognized amortization of the deferred royalty obligation that we recorded following the receipt of the $10.0 million upfront payment from HCR in June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other income, net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196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2022 vs. 2021</w:t>
            </w:r>
          </w:p>
        </w:tc>
      </w:tr>
      <w:tr>
        <w:trPr>
          <w:trHeight w:val="27"/>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4,997</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306 %  $</w:t>
            </w:r>
          </w:p>
        </w:tc>
        <w:tc>
          <w:tcPr>
            <w:tcW w:w="12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946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year ended December 31, 2023 as compared to the same period in 2022 is primarily due to increased income on our investments resulting from both higher interest rates and larger investment balances throughout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income, net for the year ended December 31, 2022 as compared to the same period in 2021 was primarily due to sales of certain lab equipment and supplies for a net gain of $1.5 million and increased investment income during the year ended December 31, 2022. Partially offsetting these increases were fluctuations related to revaluation of our exit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cash, cash equivalents and short-term investments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18"/>
                <w:szCs w:val="18"/>
                <w:color w:val="auto"/>
              </w:rPr>
            </w:pPr>
          </w:p>
        </w:tc>
      </w:tr>
      <w:tr>
        <w:trPr>
          <w:trHeight w:val="238"/>
        </w:trPr>
        <w:tc>
          <w:tcPr>
            <w:tcW w:w="5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20" w:type="dxa"/>
            <w:vAlign w:val="bottom"/>
          </w:tcPr>
          <w:p>
            <w:pPr>
              <w:spacing w:after="0"/>
              <w:rPr>
                <w:sz w:val="20"/>
                <w:szCs w:val="20"/>
                <w:color w:val="auto"/>
              </w:rPr>
            </w:pPr>
          </w:p>
        </w:tc>
        <w:tc>
          <w:tcPr>
            <w:tcW w:w="15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780" w:type="dxa"/>
            <w:vAlign w:val="bottom"/>
          </w:tcPr>
          <w:p>
            <w:pPr>
              <w:spacing w:after="0"/>
              <w:rPr>
                <w:sz w:val="20"/>
                <w:szCs w:val="20"/>
                <w:color w:val="auto"/>
              </w:rPr>
            </w:pPr>
          </w:p>
        </w:tc>
      </w:tr>
      <w:tr>
        <w:trPr>
          <w:trHeight w:val="27"/>
        </w:trPr>
        <w:tc>
          <w:tcPr>
            <w:tcW w:w="5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(74,670)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48"/>
        </w:trPr>
        <w:tc>
          <w:tcPr>
            <w:tcW w:w="5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liquid funds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of approximately $184.3 million.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we filed a prospectus supplement under a Registration Statement which was filed in July 2020 for the offering, issuance and sale by us of up to a maximum aggregate offering price of $150.0 million of our common stock that was authorized for issuance and sale, from time to time, under a sales agreement (2021 Open Market Sales Agreement) we entered into with Jefferies LLC (Jefferies), pursuant to which we, from time to time, sold up to $150.0 million in shares of our common stock through Jefferies. Pursuant to the 2021 Open Market Sales Agreement, Jefferies, as our sales agent, received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year ended December 31, 2023, we completed sales pursuant to the 2023 Open Market Sales Agreement resulting in the issuance of 16.8 million shares of our common stock and receipt of gross proceeds of $70.0 million at a weighted average sales price of approximately $4.17 per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a loan and security agreement (2022 Loan Agreement) with SLR Investment Corp (SLR). The 2022 Loan Agreement was subsequently amended on August 1, 2022 and February 9, 2023. The 2022 Loan Agreement as amended through February 9, 2023 provides for a senior secured term loan facility, with $27.5 million funded at closing (the Term A Loan) and an additional $22.5 million that we could borrow on or prior to December 20, 2023; provided that (i) we received approval by the U.S. FDA for our NDA for XPHOZAH by November 30, 2023 and (ii) we achieved certain product revenue milestone targets described in the 2022 Loan Agreement (the Term B Loan).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initial funding of $27.5 million was used to repay the 2018 Loan and is funding our ongoing operations. We had $25.0 million principal from the 2018 Loan outstanding as of the closing date, as well as the 2018 Exit Fee in the amount of $1.5 million. We paid the 2018 Exit Fee in October 2023 following approval from the U.S. FDA for XPHOZAH to reduce serum phosphorus in adults with chronic kidney disease (CKD) on dialysis as add-on therapy in patients who have an inadequate response to phosphate binders or who are intolerant of any dose of phosphate binder therapy. As discussed in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in connection with entering into the 2022 Loan Agreement, we entered into the 2022 Exit Fee agreement, as amended, whereby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to pay an exit fee in the amount of 2% of the amounts funded for the Term A Loan and Term B Loan by SLR if certain conditions are met. Notwithstanding the prepayment or termination of the 2022 Loan, the 2022 Exit Fee will expire on February 23, 2032.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we entered into a Third Amendment (the Third Amendment) to the 2022 Loan Agreement by and between us and the 2022 Lenders. As discussed in </w:t>
      </w:r>
      <w:r>
        <w:rPr>
          <w:rFonts w:ascii="Times New Roman" w:cs="Times New Roman" w:eastAsia="Times New Roman" w:hAnsi="Times New Roman"/>
          <w:sz w:val="18"/>
          <w:szCs w:val="18"/>
          <w:i w:val="1"/>
          <w:iCs w:val="1"/>
          <w:color w:val="auto"/>
        </w:rPr>
        <w:t>Note 9. Borrowing</w:t>
      </w:r>
      <w:r>
        <w:rPr>
          <w:rFonts w:ascii="Times New Roman" w:cs="Times New Roman" w:eastAsia="Times New Roman" w:hAnsi="Times New Roman"/>
          <w:sz w:val="18"/>
          <w:szCs w:val="18"/>
          <w:color w:val="auto"/>
        </w:rPr>
        <w:t>, the Third Amendment, among other things, (1) provides us with the option to draw an additional $50.0 million of committed capital by March 15, 2024 (the Term C Loan); (2) provides us with the option to draw up to an additional $50.0 million of uncommitted capital, subject to approval by the Agent's investment committee (the Term D Loan); and (3) extends the interest-only period for the Four Loans to December 31, 2026, effective upon our decision to draw the Term B Loan in the amount of $22.5 million. In October 2023, we provided the Agent with notice of our decision to draw the Term B Loan to support the commercial launch of XPHOZAH and received the proceeds of the Term B Loan. We expect to provide the Agent with notice of our decision to draw the Term C Loan prior to the expiry of the option on March 15, 2024 to further support the commercial launch of XPHOZAH.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2022, we announced that our collaboration partner, Kyowa Kirin, submitted an NDA to the Japanese MHLW for tenapanor for the improvement of hyperphosphatemia in adult patients with CKD on dialysis. In accordance with the terms of the 2022 Amendment, Kyowa Kirin paid an aggregate of $35.0 million to us in milestone payments and payments associated with the 2022 Amendment during the quarter ended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and entitled us to a $5.0 million payment under the terms of the HCR Agreement. We received these payments in October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operating losses since inception in 2007 and our accumulated deficit as of December 31, 2023 is $846.2 million. Our primary sources of cash have been from the sale and issuance of common stock (in both public offerings and private placements), private placements of convertible preferred stock, funds from our collaboration partnerships, funds from our 2018 Loan Agreement, as amended, and 2022 Loan Agreement, as amended, as well as from sales of IBSRELA and XPHOZAH. Our primary uses of cash have been to fund operating expenses, including research and development expenditures, pre-commercial and commercial expenses. Cash used to fund operating expenses is impacted by the timing of when we pay these expenses, as reflected in the change in our outstanding accounts payable and accrued expenses.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December 31, 2021 and September 30, 2023, our liquidity position raised substantial doubt about our ability to continue as a going concern. We have addressed our operating cash flow requirements through cash generated from product sales of IBSRELA and XPHOZAH, proceeds from the sale of shares of our common stock under our at-the-market offering, from the receipt of milestones payments from our collaboration partners and payments from Kyowa Kirin under the 2022 Amendment to our License Agreement, which were received in October 2023, and from proceeds of the Term B Loan. We believe our available cash, cash equivalents and short-term investments as of December 31, 2023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306"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generate product revenue from sales of IBSRELA and XPHOZAH;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reimbursement for IBSRELA and XPHOZAH;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IBSRELA and XPHOZAH;</w:t>
      </w:r>
    </w:p>
    <w:p>
      <w:pPr>
        <w:spacing w:after="0" w:line="6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XPHOZAH, along with other oral ESRD-related drugs without an injectable or intravenous equivalent, are bundled into the ESRD prospective payment system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spacing w:after="0" w:line="17" w:lineRule="exact"/>
        <w:rPr>
          <w:rFonts w:ascii="Times New Roman" w:cs="Times New Roman" w:eastAsia="Times New Roman" w:hAnsi="Times New Roman"/>
          <w:sz w:val="18"/>
          <w:szCs w:val="18"/>
          <w:color w:val="auto"/>
        </w:rPr>
      </w:pPr>
    </w:p>
    <w:p>
      <w:pPr>
        <w:ind w:left="340" w:right="600" w:hanging="332"/>
        <w:spacing w:after="0" w:line="281"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milestones that may be received from our collaboration partners in connection with tenapanor, if any;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royalties we may receive as a result of sales of tenapanor by our collaboration partners in China, and Canada, if any;</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for the discovery and/or development of other potential product candidates, including RDX013 and RDX020;</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63"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interest and principal related to the 2022 Loan Agrememt, as amended to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the risk factors set forth in Part I, Item 1A, Risk Factors, in this Annual Report on Form 10-K for additional risks associated with our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40" w:type="dxa"/>
            <w:vAlign w:val="bottom"/>
          </w:tcPr>
          <w:p>
            <w:pPr>
              <w:spacing w:after="0"/>
              <w:rPr>
                <w:sz w:val="20"/>
                <w:szCs w:val="20"/>
                <w:color w:val="auto"/>
              </w:rPr>
            </w:pPr>
          </w:p>
        </w:tc>
        <w:tc>
          <w:tcPr>
            <w:tcW w:w="20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(70,044)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cash (used in) provided by investing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18,415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75,341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55"/>
        </w:trPr>
        <w:tc>
          <w:tcPr>
            <w:tcW w:w="33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(decrease) increase in cash and cash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(74,670)</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(18,604)</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(98,382)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42,316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increased by $19.7 million as compared to the same period in 2022 primarily as a result of changes in our working capital, including a $13.8 million increase in prepaid expenses primarily related to the timing of upfront payments to contract manufacturing organizations for the commercial manufacturing for the production of IBSRELA and XPHOZAH.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2022 decreased as compared to the same period in 2021 by $82.5 million primarily as a result of decreased spending on research and development expenses during the year ended December 31, 2022 as compared to the year ended December 31, 2021, as well net product sales of IBSRELA and $35.0 million of milestone payments and payments under the 2022 Amendment, which we earned in 2022 upon Kyowa Kirin's submission of a New Drug Application to the Japanese Ministry of Health, Labour and Welfare for tenapanor for the improvement of hyperphosphatemia in adult patients with CKD on dialysis. Partially offsetting the net loss improvement were changes to our operating assets and liabilities related to expenditures for commercial manufacturing and inventory for the production of IBSRELA.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compared to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2023 decreased as compared to the same period in 2022 by $149.7 million primarily due to increased investment purchases during 2023, as we invested higher levels of cash as compared to the same period in 2022. The decrease due to investment purchases of $215.3 million was partially offset by investment maturities and redemptions of $84.3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2022 decreased as compared to the same period in 2021 by $32.5 million due to lower investment balances and the timing of our investment maturities, which was partially offset by $1.8 million proceeds from sale of laboratory equipment and supplies during the year ended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Fiscal </w:t>
      </w: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i w:val="1"/>
          <w:iCs w:val="1"/>
          <w:color w:val="auto"/>
        </w:rPr>
        <w:t xml:space="preserve"> compared to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increased by $71.0 million as compared to the same period in 2022 primarily due to net proceeds from issuance of our common stock pursuant to the at the market offerings of $119.2 million during the year ended December 31, 2023 compared to $71.6 million during the year ended December 31, 2022, as well as net proceeds received of $22.4 million from drawing the Term B Loan as compared to net expenditure of $6.1 million during the year ended December 31, 2022 in conjunction with entering into the 2022 Loan and repaying the principal outstanding under the 2018 Loan. In addition we received net proceeds of $5.0 million from the sale of future royalties to HCR during the year ended December 31, 2023 as compared to $10.0 million during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compared to 2021:</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2022 decreased as compared to the same period in 2021 by $7.7 million primarily due to $29.5 million lower proceeds from issuance of common stock under at-the-market offerings and well as increased payments in the amount of $13.6 million to repay the principal outstanding on the 2018 Loan. Partially offsetting these amounts were $27.0 million net proceeds received from the 2022 Loan and $9.6 million net proceeds from the sales of future royalties during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AND LARGE ACCELERATED FILER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non-accelerated filer, we were not required to obtain an opinion of our independent auditors with respect to our internal controls over financial reporting for the year ended December 31, 2022. On June 30, 2023, our public float exceeded $700.0 million and therefore, as of January 1, 2024, we are considered a large accelerated filer and we will be required to reflect the determination that we are no longer a smaller reporting company in our Quarterly Report on Form 10-Q for the fiscal quarter ending March 31, 2024. This Annual Report on Form 10-K includes an opinion of Ernst &amp; Young LLP, our independent auditors with respect to our internal control over financial reporting as of December 31,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 and short-term investments.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of $184.3 million, which consist of bank deposits and money market funds, as well as high quality fixed income instruments including commercial paper, U.S. government-sponsored agency bonds, corporate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w:t>
      </w:r>
    </w:p>
    <w:p>
      <w:pPr>
        <w:spacing w:after="0" w:line="1" w:lineRule="exact"/>
        <w:rPr>
          <w:sz w:val="20"/>
          <w:szCs w:val="20"/>
          <w:color w:val="auto"/>
        </w:rPr>
      </w:pPr>
    </w:p>
    <w:p>
      <w:pPr>
        <w:jc w:val="both"/>
        <w:ind w:firstLine="8"/>
        <w:spacing w:after="0" w:line="253" w:lineRule="auto"/>
        <w:tabs>
          <w:tab w:leader="none" w:pos="2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$0.3 million for the year ended December 31, 2023. As of December 31, 2023, we had an aggregate principal amount of $50.0 million outstanding pursuant to our 2022 Loan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had no open forward foreign currency exchange contracts.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91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006"/>
        </w:trPr>
        <w:tc>
          <w:tcPr>
            <w:tcW w:w="91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12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2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21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20" w:type="dxa"/>
            <w:vAlign w:val="bottom"/>
            <w:gridSpan w:val="3"/>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2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r>
              <w:rPr>
                <w:rFonts w:ascii="Times New Roman" w:cs="Times New Roman" w:eastAsia="Times New Roman" w:hAnsi="Times New Roman"/>
                <w:sz w:val="18"/>
                <w:szCs w:val="18"/>
                <w:color w:val="0E32E1"/>
              </w:rPr>
              <w:t>: 42</w:t>
            </w:r>
            <w:r>
              <w:rPr>
                <w:rFonts w:ascii="Times New Roman" w:cs="Times New Roman" w:eastAsia="Times New Roman" w:hAnsi="Times New Roman"/>
                <w:sz w:val="18"/>
                <w:szCs w:val="18"/>
                <w:u w:val="single" w:color="auto"/>
                <w:color w:val="0000FF"/>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20" w:type="dxa"/>
            <w:vAlign w:val="bottom"/>
          </w:tcPr>
          <w:p>
            <w:pPr>
              <w:spacing w:after="0"/>
              <w:rPr>
                <w:sz w:val="21"/>
                <w:szCs w:val="21"/>
                <w:color w:val="auto"/>
              </w:rPr>
            </w:pPr>
          </w:p>
        </w:tc>
        <w:tc>
          <w:tcPr>
            <w:tcW w:w="1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Balance Sheets</w:t>
            </w:r>
          </w:p>
        </w:tc>
        <w:tc>
          <w:tcPr>
            <w:tcW w:w="4060" w:type="dxa"/>
            <w:vAlign w:val="bottom"/>
            <w:tcBorders>
              <w:top w:val="single" w:sz="8" w:color="0000FF"/>
            </w:tcBorders>
            <w:gridSpan w:val="6"/>
          </w:tcPr>
          <w:p>
            <w:pPr>
              <w:spacing w:after="0"/>
              <w:rPr>
                <w:sz w:val="21"/>
                <w:szCs w:val="21"/>
                <w:color w:val="auto"/>
              </w:rPr>
            </w:pPr>
          </w:p>
        </w:tc>
        <w:tc>
          <w:tcPr>
            <w:tcW w:w="280" w:type="dxa"/>
            <w:vAlign w:val="bottom"/>
            <w:tcBorders>
              <w:top w:val="single" w:sz="8" w:color="0E32E1"/>
            </w:tcBorders>
          </w:tcPr>
          <w:p>
            <w:pPr>
              <w:spacing w:after="0"/>
              <w:rPr>
                <w:sz w:val="21"/>
                <w:szCs w:val="21"/>
                <w:color w:val="auto"/>
              </w:rPr>
            </w:pPr>
          </w:p>
        </w:tc>
        <w:tc>
          <w:tcPr>
            <w:tcW w:w="36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20" w:type="dxa"/>
            <w:vAlign w:val="bottom"/>
          </w:tcPr>
          <w:p>
            <w:pPr>
              <w:spacing w:after="0"/>
              <w:rPr>
                <w:sz w:val="21"/>
                <w:szCs w:val="21"/>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20" w:type="dxa"/>
            <w:vAlign w:val="bottom"/>
          </w:tcPr>
          <w:p>
            <w:pPr>
              <w:spacing w:after="0"/>
              <w:rPr>
                <w:sz w:val="21"/>
                <w:szCs w:val="21"/>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Stockholders’ Equity</w:t>
            </w:r>
          </w:p>
        </w:tc>
        <w:tc>
          <w:tcPr>
            <w:tcW w:w="1120" w:type="dxa"/>
            <w:vAlign w:val="bottom"/>
            <w:tcBorders>
              <w:top w:val="single" w:sz="8" w:color="0000FF"/>
            </w:tcBorders>
          </w:tcPr>
          <w:p>
            <w:pPr>
              <w:spacing w:after="0"/>
              <w:rPr>
                <w:sz w:val="21"/>
                <w:szCs w:val="21"/>
                <w:color w:val="auto"/>
              </w:rPr>
            </w:pPr>
          </w:p>
        </w:tc>
        <w:tc>
          <w:tcPr>
            <w:tcW w:w="5420" w:type="dxa"/>
            <w:vAlign w:val="bottom"/>
            <w:gridSpan w:val="3"/>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20" w:type="dxa"/>
            <w:vAlign w:val="bottom"/>
          </w:tcPr>
          <w:p>
            <w:pPr>
              <w:spacing w:after="0"/>
              <w:rPr>
                <w:sz w:val="21"/>
                <w:szCs w:val="21"/>
                <w:color w:val="auto"/>
              </w:rPr>
            </w:pPr>
          </w:p>
        </w:tc>
        <w:tc>
          <w:tcPr>
            <w:tcW w:w="9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2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6940" w:type="dxa"/>
            <w:vAlign w:val="bottom"/>
            <w:gridSpan w:val="5"/>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912"/>
        </w:trPr>
        <w:tc>
          <w:tcPr>
            <w:tcW w:w="9120" w:type="dxa"/>
            <w:vAlign w:val="bottom"/>
            <w:gridSpan w:val="10"/>
          </w:tcPr>
          <w:p>
            <w:pPr>
              <w:jc w:val="center"/>
              <w:ind w:left="2050"/>
              <w:spacing w:after="0"/>
              <w:rPr>
                <w:sz w:val="20"/>
                <w:szCs w:val="20"/>
                <w:color w:val="auto"/>
              </w:rPr>
            </w:pPr>
            <w:r>
              <w:rPr>
                <w:rFonts w:ascii="Times New Roman" w:cs="Times New Roman" w:eastAsia="Times New Roman" w:hAnsi="Times New Roman"/>
                <w:sz w:val="18"/>
                <w:szCs w:val="18"/>
                <w:color w:val="auto"/>
                <w:w w:val="99"/>
              </w:rPr>
              <w:t>73</w:t>
            </w:r>
          </w:p>
        </w:tc>
        <w:tc>
          <w:tcPr>
            <w:tcW w:w="21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Ardelyx,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Ardelyx, Inc. (the “Company”) as of December 31, 2023 and 2022, the related statements of operations and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i w:val="1"/>
          <w:iCs w:val="1"/>
          <w:color w:val="auto"/>
        </w:rPr>
        <w:t>Estimates of Reserves for Variable Consideration Impacted by Estimated Payor Mix</w:t>
      </w:r>
    </w:p>
    <w:p>
      <w:pPr>
        <w:sectPr>
          <w:pgSz w:w="11900" w:h="16838" w:orient="portrait"/>
          <w:cols w:equalWidth="0" w:num="1">
            <w:col w:w="10139"/>
          </w:cols>
          <w:pgMar w:left="320" w:top="121" w:right="1440" w:bottom="1440" w:gutter="0" w:footer="0" w:header="0"/>
        </w:sectPr>
      </w:pP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359"/>
        <w:spacing w:after="0" w:line="253"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recognizes revenues from product sales at the net sales price (transaction price), which includes estimates of variable consideration relating to off-invoice discounts, chargebacks or rebates, wholesaler fees, group purchasing organization administrative fees, patient copay assistance programs, and estimated product returns. The variable consideration is based on the amounts earned or to be claimed for related sales which may not be known at the point of sale. Government-mandated rebates under the Medicaid Drug Rebate Program (“Medicaid”) and the Medicare Coverage Gap Program (“Medicare”) are estimated based on estimated payor mix and statutory discount rates. Patient copay assistance program amounts are estimated based on payor mix consideration, the terms of the program and redemption information provided by third-party claims processing organizations. The Company’s total estimate of reserves for variable consideration was $8.6 million as of December 31, 2023. During 2023, the Company recorded $31.3 million in total reductions to gross commercial product sales as a result of reserves for variable consideration.</w:t>
      </w:r>
    </w:p>
    <w:p>
      <w:pPr>
        <w:spacing w:after="0" w:line="200" w:lineRule="exact"/>
        <w:rPr>
          <w:sz w:val="20"/>
          <w:szCs w:val="20"/>
          <w:color w:val="auto"/>
        </w:rPr>
      </w:pPr>
    </w:p>
    <w:p>
      <w:pPr>
        <w:sectPr>
          <w:pgSz w:w="11900" w:h="16838" w:orient="portrait"/>
          <w:cols w:equalWidth="0" w:num="2">
            <w:col w:w="2160" w:space="720"/>
            <w:col w:w="7259"/>
          </w:cols>
          <w:pgMar w:left="320" w:top="121" w:right="1440" w:bottom="1440" w:gutter="0" w:footer="0" w:header="0"/>
          <w:type w:val="continuous"/>
        </w:sectPr>
      </w:pPr>
    </w:p>
    <w:p>
      <w:pPr>
        <w:spacing w:after="0" w:line="14" w:lineRule="exact"/>
        <w:rPr>
          <w:sz w:val="20"/>
          <w:szCs w:val="20"/>
          <w:color w:val="auto"/>
        </w:rPr>
      </w:pPr>
    </w:p>
    <w:p>
      <w:pPr>
        <w:jc w:val="both"/>
        <w:ind w:left="2880" w:right="359"/>
        <w:spacing w:after="0" w:line="256" w:lineRule="auto"/>
        <w:rPr>
          <w:sz w:val="20"/>
          <w:szCs w:val="20"/>
          <w:color w:val="auto"/>
        </w:rPr>
      </w:pPr>
      <w:r>
        <w:rPr>
          <w:rFonts w:ascii="Times New Roman" w:cs="Times New Roman" w:eastAsia="Times New Roman" w:hAnsi="Times New Roman"/>
          <w:sz w:val="18"/>
          <w:szCs w:val="18"/>
          <w:color w:val="auto"/>
        </w:rPr>
        <w:t>Auditing the Company’s estimates of reserves for variable consideration relating to Medicaid and Medicare claims and patient copay assistance was especially challenging as it involved evaluation of management’s subjective judgments with respect to payor mix that is developed based on various data sources. The Company has a limited history upon which to base its assumptions, and changes in these assumptions could have a material impact on the amount of reserves recorded for variable consideration.</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8"/>
          <w:szCs w:val="18"/>
          <w:i w:val="1"/>
          <w:iCs w:val="1"/>
          <w:color w:val="auto"/>
        </w:rPr>
        <w:t>How We Addressed the Matter in Our</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w:t>
      </w:r>
    </w:p>
    <w:p>
      <w:pPr>
        <w:sectPr>
          <w:pgSz w:w="11900" w:h="16838" w:orient="portrait"/>
          <w:cols w:equalWidth="0" w:num="1">
            <w:col w:w="10139"/>
          </w:cols>
          <w:pgMar w:left="320" w:top="121" w:right="1440"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359"/>
        <w:spacing w:after="0" w:line="253" w:lineRule="auto"/>
        <w:rPr>
          <w:sz w:val="20"/>
          <w:szCs w:val="20"/>
          <w:color w:val="auto"/>
        </w:rPr>
      </w:pPr>
      <w:r>
        <w:rPr>
          <w:rFonts w:ascii="Times New Roman" w:cs="Times New Roman" w:eastAsia="Times New Roman" w:hAnsi="Times New Roman"/>
          <w:sz w:val="18"/>
          <w:szCs w:val="18"/>
          <w:color w:val="auto"/>
        </w:rPr>
        <w:t>internal controls over the Company’s process to determine the reserves for variable consideration that are impacted by the payor mix. For example, we tested controls over management’s review of the completeness and accuracy of the data used to determine the estimate.</w:t>
      </w:r>
    </w:p>
    <w:p>
      <w:pPr>
        <w:spacing w:after="0" w:line="200" w:lineRule="exact"/>
        <w:rPr>
          <w:sz w:val="20"/>
          <w:szCs w:val="20"/>
          <w:color w:val="auto"/>
        </w:rPr>
      </w:pPr>
    </w:p>
    <w:p>
      <w:pPr>
        <w:sectPr>
          <w:pgSz w:w="11900" w:h="16838" w:orient="portrait"/>
          <w:cols w:equalWidth="0" w:num="2">
            <w:col w:w="2160" w:space="720"/>
            <w:col w:w="7259"/>
          </w:cols>
          <w:pgMar w:left="320" w:top="121" w:right="1440" w:bottom="1440" w:gutter="0" w:footer="0" w:header="0"/>
          <w:type w:val="continuous"/>
        </w:sectPr>
      </w:pPr>
    </w:p>
    <w:p>
      <w:pPr>
        <w:spacing w:after="0" w:line="16" w:lineRule="exact"/>
        <w:rPr>
          <w:sz w:val="20"/>
          <w:szCs w:val="20"/>
          <w:color w:val="auto"/>
        </w:rPr>
      </w:pPr>
    </w:p>
    <w:p>
      <w:pPr>
        <w:jc w:val="both"/>
        <w:ind w:left="2880" w:right="359"/>
        <w:spacing w:after="0" w:line="253" w:lineRule="auto"/>
        <w:rPr>
          <w:sz w:val="20"/>
          <w:szCs w:val="20"/>
          <w:color w:val="auto"/>
        </w:rPr>
      </w:pPr>
      <w:r>
        <w:rPr>
          <w:rFonts w:ascii="Times New Roman" w:cs="Times New Roman" w:eastAsia="Times New Roman" w:hAnsi="Times New Roman"/>
          <w:sz w:val="18"/>
          <w:szCs w:val="18"/>
          <w:color w:val="auto"/>
        </w:rPr>
        <w:t>To test the Company’s estimates of reserves for variable consideration relating to Medicaid and Medicare claims and patient copay assistance, our audit procedures included, among others, evaluating the methodologies and assumptions used and testing the accuracy and completeness of the underlying data used in the Company’s payor mix analysis. We compared the assumptions used by management to third-party industry data and actual trends. We also evaluated the reasonableness of changes in estimated reserves during the year, and assessed the accuracy of the Company’s estimates against actual results. We also performed sensitivity analyses to determine the effect of changes in management’s assumptions on the amount of reserves recorded for variable consideration impacted by the payor mix, where appropriate. Further, we evaluated the appropriateness of classification and disclosure of the Company’s reserves for variable consideration in the financial statements.</w:t>
      </w:r>
    </w:p>
    <w:p>
      <w:pPr>
        <w:sectPr>
          <w:pgSz w:w="11900" w:h="16838" w:orient="portrait"/>
          <w:cols w:equalWidth="0" w:num="1">
            <w:col w:w="1013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84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153,603</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commercial manufacturing, non-current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0" w:type="dxa"/>
            <w:vAlign w:val="bottom"/>
          </w:tcPr>
          <w:p>
            <w:pPr>
              <w:spacing w:after="0"/>
              <w:rPr>
                <w:sz w:val="1"/>
                <w:szCs w:val="1"/>
                <w:color w:val="auto"/>
              </w:rPr>
            </w:pPr>
          </w:p>
        </w:tc>
      </w:tr>
      <w:tr>
        <w:trPr>
          <w:trHeight w:val="237"/>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0" w:type="dxa"/>
            <w:vAlign w:val="bottom"/>
          </w:tcPr>
          <w:p>
            <w:pPr>
              <w:spacing w:after="0"/>
              <w:rPr>
                <w:sz w:val="1"/>
                <w:szCs w:val="1"/>
                <w:color w:val="auto"/>
              </w:rPr>
            </w:pP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91,737</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 outstanding</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500,000,000 and 300,000,000 shares authorized; 232,453,190 and 198,575,016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December 31, 2022,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878,500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(780,137)</w:t>
            </w:r>
          </w:p>
        </w:tc>
        <w:tc>
          <w:tcPr>
            <w:tcW w:w="0" w:type="dxa"/>
            <w:vAlign w:val="bottom"/>
          </w:tcPr>
          <w:p>
            <w:pPr>
              <w:spacing w:after="0"/>
              <w:rPr>
                <w:sz w:val="1"/>
                <w:szCs w:val="1"/>
                <w:color w:val="auto"/>
              </w:rPr>
            </w:pPr>
          </w:p>
        </w:tc>
      </w:tr>
      <w:tr>
        <w:trPr>
          <w:trHeight w:val="24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w:t>
            </w:r>
          </w:p>
        </w:tc>
        <w:tc>
          <w:tcPr>
            <w:tcW w:w="0" w:type="dxa"/>
            <w:vAlign w:val="bottom"/>
          </w:tcPr>
          <w:p>
            <w:pPr>
              <w:spacing w:after="0"/>
              <w:rPr>
                <w:sz w:val="1"/>
                <w:szCs w:val="1"/>
                <w:color w:val="auto"/>
              </w:rPr>
            </w:pPr>
          </w:p>
        </w:tc>
      </w:tr>
      <w:tr>
        <w:trPr>
          <w:trHeight w:val="26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297,579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190,066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supply revenue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72,303</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(154,346)</w:t>
            </w:r>
          </w:p>
        </w:tc>
        <w:tc>
          <w:tcPr>
            <w:tcW w:w="0" w:type="dxa"/>
            <w:vAlign w:val="bottom"/>
          </w:tcPr>
          <w:p>
            <w:pPr>
              <w:spacing w:after="0"/>
              <w:rPr>
                <w:sz w:val="1"/>
                <w:szCs w:val="1"/>
                <w:color w:val="auto"/>
              </w:rPr>
            </w:pP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 basic and diluted</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158,690,083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104,205,645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STATEMENTS OF STOCKHOLDERS’ EQUITY</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72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760" w:type="dxa"/>
            <w:vAlign w:val="bottom"/>
          </w:tcPr>
          <w:p>
            <w:pPr>
              <w:spacing w:after="0"/>
              <w:rPr>
                <w:sz w:val="23"/>
                <w:szCs w:val="23"/>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23"/>
                <w:szCs w:val="23"/>
                <w:color w:val="auto"/>
              </w:rPr>
            </w:pPr>
          </w:p>
        </w:tc>
        <w:tc>
          <w:tcPr>
            <w:tcW w:w="10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93,599,975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386,664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331,310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167,158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Taxes paid for net share settlement of equity</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awards</w:t>
            </w: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in at the market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35,671,439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Unrealized losses on available-for-sale</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130,182,535</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308,356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711,675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3,243,828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in at the market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64,114,542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Unrealized losses on available-for-sale</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276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198,575,016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employee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435,708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purchase plan</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225,988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855,642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units</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common stock in at the market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32,274,741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ind w:left="120"/>
              <w:spacing w:after="0" w:line="159" w:lineRule="exact"/>
              <w:rPr>
                <w:sz w:val="20"/>
                <w:szCs w:val="20"/>
                <w:color w:val="auto"/>
              </w:rPr>
            </w:pPr>
            <w:r>
              <w:rPr>
                <w:rFonts w:ascii="Times New Roman" w:cs="Times New Roman" w:eastAsia="Times New Roman" w:hAnsi="Times New Roman"/>
                <w:sz w:val="14"/>
                <w:szCs w:val="14"/>
                <w:color w:val="auto"/>
              </w:rPr>
              <w:t>Unrealized gains on available-for-sale</w:t>
            </w: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securities</w:t>
            </w:r>
          </w:p>
        </w:tc>
        <w:tc>
          <w:tcPr>
            <w:tcW w:w="14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232,453,190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-4817110</wp:posOffset>
            </wp:positionV>
            <wp:extent cx="709803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-4474210</wp:posOffset>
            </wp:positionV>
            <wp:extent cx="709803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09803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-3702685</wp:posOffset>
            </wp:positionV>
            <wp:extent cx="709803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-3007995</wp:posOffset>
            </wp:positionV>
            <wp:extent cx="709803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70980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-2236470</wp:posOffset>
            </wp:positionV>
            <wp:extent cx="709803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09803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09803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09803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098030"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980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09803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-5168265</wp:posOffset>
            </wp:positionV>
            <wp:extent cx="709803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7"/>
                <w:szCs w:val="17"/>
                <w:color w:val="auto"/>
              </w:rPr>
            </w:pPr>
          </w:p>
        </w:tc>
        <w:tc>
          <w:tcPr>
            <w:tcW w:w="11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680,872</w:t>
            </w: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(554,765)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126,112</w:t>
            </w:r>
          </w:p>
        </w:tc>
        <w:tc>
          <w:tcPr>
            <w:tcW w:w="0" w:type="dxa"/>
            <w:vAlign w:val="bottom"/>
          </w:tcPr>
          <w:p>
            <w:pPr>
              <w:spacing w:after="0"/>
              <w:rPr>
                <w:sz w:val="1"/>
                <w:szCs w:val="1"/>
                <w:color w:val="auto"/>
              </w:rPr>
            </w:pPr>
          </w:p>
        </w:tc>
      </w:tr>
      <w:tr>
        <w:trPr>
          <w:trHeight w:val="32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819</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584</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7"/>
        </w:trPr>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101,142</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101,146</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12,039</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12,039</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(158,165)</w:t>
            </w:r>
          </w:p>
        </w:tc>
        <w:tc>
          <w:tcPr>
            <w:tcW w:w="0" w:type="dxa"/>
            <w:vAlign w:val="bottom"/>
          </w:tcPr>
          <w:p>
            <w:pPr>
              <w:spacing w:after="0"/>
              <w:rPr>
                <w:sz w:val="1"/>
                <w:szCs w:val="1"/>
                <w:color w:val="auto"/>
              </w:rPr>
            </w:pPr>
          </w:p>
        </w:tc>
      </w:tr>
      <w:tr>
        <w:trPr>
          <w:trHeight w:val="23"/>
        </w:trPr>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795,540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(712,930)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82,617</w:t>
            </w:r>
          </w:p>
        </w:tc>
        <w:tc>
          <w:tcPr>
            <w:tcW w:w="0" w:type="dxa"/>
            <w:vAlign w:val="bottom"/>
          </w:tcPr>
          <w:p>
            <w:pPr>
              <w:spacing w:after="0"/>
              <w:rPr>
                <w:sz w:val="1"/>
                <w:szCs w:val="1"/>
                <w:color w:val="auto"/>
              </w:rPr>
            </w:pPr>
          </w:p>
        </w:tc>
      </w:tr>
      <w:tr>
        <w:trPr>
          <w:trHeight w:val="32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337"/>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71,618</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71,625</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10,750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(67,207)</w:t>
            </w:r>
          </w:p>
        </w:tc>
        <w:tc>
          <w:tcPr>
            <w:tcW w:w="0" w:type="dxa"/>
            <w:vAlign w:val="bottom"/>
          </w:tcPr>
          <w:p>
            <w:pPr>
              <w:spacing w:after="0"/>
              <w:rPr>
                <w:sz w:val="1"/>
                <w:szCs w:val="1"/>
                <w:color w:val="auto"/>
              </w:rPr>
            </w:pPr>
          </w:p>
        </w:tc>
      </w:tr>
      <w:tr>
        <w:trPr>
          <w:trHeight w:val="23"/>
        </w:trPr>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878,500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(780,137)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98,329</w:t>
            </w:r>
          </w:p>
        </w:tc>
        <w:tc>
          <w:tcPr>
            <w:tcW w:w="0" w:type="dxa"/>
            <w:vAlign w:val="bottom"/>
          </w:tcPr>
          <w:p>
            <w:pPr>
              <w:spacing w:after="0"/>
              <w:rPr>
                <w:sz w:val="1"/>
                <w:szCs w:val="1"/>
                <w:color w:val="auto"/>
              </w:rPr>
            </w:pPr>
          </w:p>
        </w:tc>
      </w:tr>
      <w:tr>
        <w:trPr>
          <w:trHeight w:val="32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808</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337</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365</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119,233</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119,236</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13,530</w:t>
            </w:r>
          </w:p>
        </w:tc>
        <w:tc>
          <w:tcPr>
            <w:tcW w:w="180" w:type="dxa"/>
            <w:vAlign w:val="bottom"/>
          </w:tcPr>
          <w:p>
            <w:pPr>
              <w:spacing w:after="0"/>
              <w:rPr>
                <w:sz w:val="17"/>
                <w:szCs w:val="17"/>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13,530</w:t>
            </w:r>
          </w:p>
        </w:tc>
        <w:tc>
          <w:tcPr>
            <w:tcW w:w="0" w:type="dxa"/>
            <w:vAlign w:val="bottom"/>
          </w:tcPr>
          <w:p>
            <w:pPr>
              <w:spacing w:after="0"/>
              <w:rPr>
                <w:sz w:val="1"/>
                <w:szCs w:val="1"/>
                <w:color w:val="auto"/>
              </w:rPr>
            </w:pPr>
          </w:p>
        </w:tc>
      </w:tr>
      <w:tr>
        <w:trPr>
          <w:trHeight w:val="338"/>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203"/>
        </w:trPr>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(66,067)</w:t>
            </w:r>
          </w:p>
        </w:tc>
        <w:tc>
          <w:tcPr>
            <w:tcW w:w="0" w:type="dxa"/>
            <w:vAlign w:val="bottom"/>
          </w:tcPr>
          <w:p>
            <w:pPr>
              <w:spacing w:after="0"/>
              <w:rPr>
                <w:sz w:val="1"/>
                <w:szCs w:val="1"/>
                <w:color w:val="auto"/>
              </w:rPr>
            </w:pPr>
          </w:p>
        </w:tc>
      </w:tr>
      <w:tr>
        <w:trPr>
          <w:trHeight w:val="23"/>
        </w:trPr>
        <w:tc>
          <w:tcPr>
            <w:tcW w:w="10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1,012,773</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(846,204)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166,816</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-8255</wp:posOffset>
            </wp:positionV>
            <wp:extent cx="8318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-1765300</wp:posOffset>
            </wp:positionV>
            <wp:extent cx="8318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240"/>
            <w:col w:w="5240"/>
          </w:cols>
          <w:pgMar w:left="320" w:top="121" w:right="399" w:bottom="1440" w:gutter="0" w:footer="0" w:header="0"/>
          <w:type w:val="continuous"/>
        </w:sectPr>
      </w:pP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(66,067)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(67,207)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(158,165)</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7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r>
      <w:tr>
        <w:trPr>
          <w:trHeight w:val="21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r>
      <w:tr>
        <w:trPr>
          <w:trHeight w:val="195"/>
        </w:trPr>
        <w:tc>
          <w:tcPr>
            <w:tcW w:w="7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12,039</w:t>
            </w:r>
          </w:p>
        </w:tc>
      </w:tr>
      <w:tr>
        <w:trPr>
          <w:trHeight w:val="21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95"/>
        </w:trPr>
        <w:tc>
          <w:tcPr>
            <w:tcW w:w="7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 on sale of equipment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r>
      <w:tr>
        <w:trPr>
          <w:trHeight w:val="195"/>
        </w:trPr>
        <w:tc>
          <w:tcPr>
            <w:tcW w:w="7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5"/>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Prepaid commercial manufacturing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(9,406)</w:t>
            </w:r>
          </w:p>
        </w:tc>
      </w:tr>
      <w:tr>
        <w:trPr>
          <w:trHeight w:val="195"/>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210"/>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195"/>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10"/>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w:t>
            </w:r>
          </w:p>
        </w:tc>
      </w:tr>
      <w:tr>
        <w:trPr>
          <w:trHeight w:val="195"/>
        </w:trPr>
        <w:tc>
          <w:tcPr>
            <w:tcW w:w="70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r>
      <w:tr>
        <w:trPr>
          <w:trHeight w:val="210"/>
        </w:trPr>
        <w:tc>
          <w:tcPr>
            <w:tcW w:w="7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(70,044)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(152,551)</w:t>
            </w: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maturities and redemptions of investments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125,550</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(72,735)</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w:t>
            </w:r>
          </w:p>
        </w:tc>
      </w:tr>
      <w:tr>
        <w:trPr>
          <w:trHeight w:val="19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(131,248)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18,415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50,948</w:t>
            </w: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in at the market offering, net of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71,625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101,146</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2022 Loan, net of issuance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the sale of future royalties, net of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Proceeds from issuance of common stock under equity incentive and stock purchase plans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the 2018 Exit Fee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 for the 2018 Loan, net of costs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(19,444)</w:t>
            </w:r>
          </w:p>
        </w:tc>
      </w:tr>
      <w:tr>
        <w:trPr>
          <w:trHeight w:val="196"/>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for taxes related to net share settlement of equity awards</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3"/>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146,295</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75,341</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82,999</w:t>
            </w:r>
          </w:p>
        </w:tc>
      </w:tr>
      <w:tr>
        <w:trPr>
          <w:trHeight w:val="189"/>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(18,604)</w:t>
            </w:r>
          </w:p>
        </w:tc>
      </w:tr>
      <w:tr>
        <w:trPr>
          <w:trHeight w:val="204"/>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72,428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91,032</w:t>
            </w:r>
          </w:p>
        </w:tc>
      </w:tr>
      <w:tr>
        <w:trPr>
          <w:trHeight w:val="202"/>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21,470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96,140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72,428</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5"/>
        </w:trPr>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r>
      <w:tr>
        <w:trPr>
          <w:trHeight w:val="21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7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Supplementary disclosure of non-cash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195"/>
        </w:trPr>
        <w:tc>
          <w:tcPr>
            <w:tcW w:w="70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for services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10"/>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derivative in connection with issuance of loan payable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irritable bowel syndrome with constipation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We also have a development stage asset, RDX013 for adult patients with CKD and/or heart failure with hyperkalemia, or elevated serum potassium, and a discovery phase asset, RDX020 for adult patients with metabolic acidosis, a serious electrolyte disorder, in patients with CKD.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one business segment, which is the development and commercialization of biopharmaceutical products.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had cash, cash equivalents and short-term investments of approximately $184.3 million. We have incurred operating losses since inception in 2007 and our accumulated deficit as of December 31, 2023 is $846.2 million. Since December 31, 2021 and prior to September 30, 2023, our liquidity position raised substantial doubt about our ability to continue as a going concern. We have addressed our operating cash flow requirements through cash generated from product sales of IBSRELA and XPHOZAH, proceeds from the sale of shares of our common stock under our at-the-market offering, from the receipt of milestones payments from our collaboration partners and payments from our Japanese collaboration partner under the second amendment to our License Agreement, and through funds from our loan agreements with SLR Investment Corp. (SLR), as amended. We believe our available cash, cash equivalents and short-term investments as of December 31, 2023 will be sufficient to fund our planned operations for at least a period of one year from the issuance of these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date of 90 days or less on the date of purchase to be cash equivalents.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investments consist of debt securities classified as available-for-sale and have maturities greater than 90 days, but less than one year, from the date of acquisition. Short-term investments are carried at fair value based upon quoted market prices. Unrealized gains and losses on available-for-sale securities are included in accumulated other comprehensive income (loss) on our balance sheets. The cost of available-for-sale securities sold is based on the specific-identification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balance sheet. Cash, cash equivalents and short-term investments are invested through banks and other financial institutions 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manage our foreign currency exposures with the use of foreign currency purchases. We primarily conduct business in U.S. dollars; however, a portion of our expense and capital activities are transacted in foreign currencies which are subject to exchange rate fluctuations that can affect cash or earnings. We have been in a loss position and therefore our primary objective is to conserve and manage cash. There are generally two methods by which we may manage the cash flow risk of foreign exchange fluctuations when a contract is signed (i) we can purchase the foreign funds, in full or in part, upon the execution of the contract, or (ii) we can obtain the right to purchase such funds, in full or in part, at the execution of the contract, i.e., obtain a forward contract from an appropriate bank, that can be exercised to obtain the currency of interest at a particular point in time. The derivative instruments that we may use to hedge the exposure shall generally not be designated as cash flow hedges, and as a result, changes in their fair value would be recorded in other income (expense), net, in our statements of operations and comprehensive loss. The fair values of forward foreign currency exchange contracts would be estimated using current exchange rates and interest rates and the current creditworthiness of the counterparties is taken into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respective assets, with ranges generally from three to five years. Leasehold improvements are amortized over the lesser of the estimated useful lives or the related remaining lease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values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the asset’s carrying amount. Impairment, if any, would be assessed using discounted cash flows or other appropriate measures of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A valuation allowance is provided when it is more likely than not that some portion or all of a deferred tax asset will not be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 financial condition and both current and forecasted economic conditions. To date, we have determined that an allowance for doubtful accounts is not required. As of December 31, 2023 our accounts receivable balance was comprised of $4.9 million from our collaboration agreements and $17.1 million from commercial customers. As of December 31, 2022 our accounts receivable balance was comprised of $0.7 million from our collaboration agreements and $7.0 million from commercial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Prior to the regulatory approval of drug product candidates, we incurred expenses for the manufacture of drug product that could potentially be available to support the commercial launch of our products or could be sold to our international partners under product supply agreements. We began to capitalize inventory costs associated with IBSRELA during the fourth quarter of 2021, when our intent to commercialize IBSRELA was established and we commenced preparation for the commercial launch of IBSRELA, which was when it was determined that the inventory had a probable future economic benefit. We began to capitalize inventory costs associated with XPHOZAH during the fourth quarter of 2023, following approval by the U.S. FDA to market XPHOZAH in the U.S., which was when it was determined that the inventory had a probable future economic benefit.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under the specific identification method. Inventory costs include the cost of materials, third-party contract manufacturing, third-party packaging services, freight, labor costs for personnel involved in the manufacturing process, and indirect overhead costs. We primarily use actual costs to determine the cost basis for inventory. The determination of whether inventory costs will be realizable requires management review of the expiration dates of IBSRELA and XPHOZAH compared to our forecasted sales. If actual market conditions are less favorable than projected by management, write-downs of inventory may be required, which would be recorded as cost of revenue in the statement of operations and comprehensive loss. As of December 31, 2023, we have not recorded any write-offs for excess and obsolete inventory. A portion of inventory that represents product that is not expected to be sold or used within the next 12 months is classified as non-current on our balance sheets.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account for our commercial product sales, net in accordance with Topic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received approval from the FDA to market IBSRELA in the U.S. in September 2019 and to market XPHOZAH in the U.S. in October 2023. We began selling IBSRELA and XPHOZAH in the U.S. in March 2022 and November 2023, respectively. We distribute IBSRELA principally through major wholesalers, specialty pharmacies and group purchasing organizations (GPOs) (collectively, our IBSRELA Customers). XPHOZAH is principally distributed through a specialty wholesaler (XPHOZAH Customer) to select specialty pharmacies (collectively, IBSRELA Customers and XPHOZAH Customers, “Customers”). Our Customers subsequently sell IBSRELA and XPHOZAH to pharmacies and patients. Separately, we enter into arrangements with third parties that provide for government-mandated rebates, chargebacks and discounts. Revenue from product sales is recognized when our performance obligations are satisfied, which is when Customers obtain control of our product and occurs upon delivery.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 for Variable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which may be settled in the form of off-invoice discounts, chargebacks, or rebates. Variable consideration includes discounts to customers and government programs, wholesaler fees, group purchasing organization administrative fees, patient copay assistance, and estimated product returns. These estimates are based on the amounts earned or to be claimed for related sales and are classified as reductions of gross accounts receivable if settlement is expected to occur through a reduction in the amounts paid by our Customers or a current liability if settlement is expected to occur through a payment from us. Where appropriate, these estimates are based on factors such as industry data and forecasted customer buying and payment patterns, our experience, current contractual and statutory requirements, specific known market events and trends. These reductions to gross sales reflect our best estimates of the amount of consideration to which we are entitled based on the terms of the contract. Variable consideration is included in the transaction price only to the extent that it is probable that a significant reversal in the amount of cumulative revenue recognized will not occur when the uncertainty associated with the variable consideration is subsequently resolved. Actual amounts of consideration ultimately received may differ from our estimates. If actual results in the future vary from our estimates, we adjust these estimates, which would affect product revenue and earnings in the period such variances become known. As we gain more experience, estimates will be more heavily based on the expected utilization from historical data we have accumulated since the IBSRELA and XPHOZAH product launches. Changes in estimates recorded through December 31, 2023 have not been material.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Rebates: Rebates include wholesaler fees, GPO fees, as well as mandated discounts under the Medicaid Drug Rebate Program (Medicaid) and the Medicare Coverage Gap Program (Medicare). Estimates for rebates are recorded in the same period the related gross revenue is recognized, resulting in a reduction of product revenue and the establishment of a current liability which is included in accrued expenses on the balance sheets. We estimate our Medicaid and Medicare rebates based upon the estimated payor mix, and statutory discount rates. Our estimates for payor mix are guided by payor information received from specialty pharmacies, expected utilization for wholesaler sales to pharmacies, and available industry payor information and, therefore, require the most estimation and judgment of our gross to net deductions.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Chargebacks: Chargebacks are discounts that occur when certain contracted purchasers purchase directly from our wholesalers at a discounted price. The wholesaler, in turn, charges back the difference between the price initially paid to us by the wholesaler and the discounted price paid to the wholesaler by the contracted purchaser. Amounts for estimated chargebacks are established in the same period that the related gross revenue is recognized, resulting in a reduction of product revenue and accounts receivable. The accrual for wholesaler chargebacks is estimated based on known chargeback rates, known sales to wholesalers, and known sales from wholesalers to their chargeback-eligible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Discounts and Fees: Our payment terms are generally 30 to 60 days. Wholesalers, GPOs and specialty pharmacies are offered various forms of consideration, including off-invoice discounts which may be paid to GPOs and specialty pharmacies. Wholesalers and GPOs may also receive prompt pay discounts for payment within a specified period. We expect discounts to be earned when offered and, therefore, we deduct the full amount of these discounts from product sales when revenue is recognized, resulting in a reduction of product revenue and accounts receivable.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Reserves: Patients who have commercial insurance may receive copay assistance when product is dispensed by pharmacies to patients. We estimate the amount of copay assistance provided to eligible patients based on the terms of the program, and redemption information provided by third-party claims processing organizations. We also estimate the amount of copay assistance that will be provided to patients associated with product which we have sold but which has not yet been dispensed to commercial patients, which requires significant estimation and judgment. Our estimates are recorded in accounts payable and accrued expenses and other current liabilities on the balance sheets. Other reserves include estimated product returns which are recorded in the same period the related gross revenue is recognized, resulting in a reduction of product revenue as well as accounts receivable. We estimate our product returns reserve based upon our experience and specific known market events and trends. As we have experienced limited product returns, establishing the appropriate level of returns reserve require estimation and judgment.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 collaboration revenue primarily from research and collaboration and license agreements with customers. Goods and services in the agreements may include the grant of licenses for the use of our technology, the provision of services associated with the research and development of product candidates, manufacturing services, and participation in joint steering committees. The terms of these arrangements typically include payment to us of one or more of the following: non-refundable, up-front license fees; research, development, regulatory and commercial milestone payments; reimbursement of research and development services; option payments; reimbursement of certain costs; payments for manufacturing supply services; and future royalties on net sales of licensed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two or more contracts are entered into with the same customer at or near the same time, we evaluate the contracts to determine whether the contracts should be accounted for as a single arrangement. Contracts are combined and accounted for as a single arrangement if one or more of the following criteria are met: (i) the contracts are negotiated as a package with a single commercial objective; (ii) the amount of consideration to be paid in one contract depends on the price or performance of the other contract; or (iii) the goods or services promised in the contracts (or some goods or services promised in each of the contracts) are a single performance obligation.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each of our agreements, management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any constraints on variable consideration; (iv) allocation of the transaction price to the performance obligations; and (v) recognition of revenue when (or as) we satisfy each performance obligation. As part of the accounting for contracts with customers, we develop assumptions that require judgment to determine whether promised goods and services represent distinct performance obligations and the standalone selling price for each performance obligation identified in the contract. This evaluation is subjective and requires us to make judgments about the promised goods and services and whether those goods and services are separable from other aspects of the contract. Further, determining the standalone selling price for performance obligations requires significant judgment, and when an observable price of a promised good or service is not readily available, we consider relevant assumptions to estimate the standalone selling price, including, as applicable, market conditions, development timelines, probabilities of technical and regulatory success, reimbursement rates for personnel costs, forecasted revenues, potential limitations to the selling price of the product and discount rates.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apply judgment in determining whether a combined performance obligation is satisfied at a point in time or over time, and, if over time, concluding upon the appropriate method of measuring progress to be applied for purposes of recognizing revenue. We evaluate the measure of progress each reporting period and, as estimates related to the measure of progress change, related revenue recognition is adjusted accordingly. Changes in our estimated measure of progress are accounted for prospectively as a change in accounting estimate. We recognize collaboration revenue by measuring the progress toward complete satisfaction of the performance obligation using an input measure. In order to recognize revenue over the research and development period, we measure actual costs incurred to date compared to the overall total expected costs to satisfy the performance obligation. Revenues are recognized as the program costs are incurred. We will re-evaluate the estimate of expected costs to satisfy the performance obligation each reporting period and make adjustments for any significant changes. Amounts received prior to satisfying the revenue recognition criteria are recorded as contract liabilities in our balance sheets. If the related performance obligation is expected to be satisfied within the next twelve months, this will be classified in current liabilities. Amounts recognized as revenue prior to receipt are recorded as contract assets in our balance sheets. If we expect to have an unconditional right to receive the consideration in the next twelve months, this will be classified in current assets. A net contract asset or liability is presented for each contract with a customer.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and development milestone payments, we evaluate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us or the licensee, such as regulatory approvals, are not considered probable of being achieved until those approvals are received.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constraints, and if necessary, adjust our estimate of the overall transaction price. Any such adjustments are recorded on a cumulative catch-up basis, which would affect earnings in the period of adjustment.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the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commercial supply at the customer’s discretion are generally considered as options. We assess if these options provide a material right to the licensee and if so, they are accounted for as separate performance obligations. If we are entitled to additional payments when the customer exercises these options, any payments are recorded in product supply revenue when the customer obtains control of the goods, which is upon delivery.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where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we recognize revenue at the later of (i) when the related sales occur, or (ii) when the performance obligation to which some or all of the royalty has been allocated has been satisfied (or partially satisfied). To date, royalty revenue resulting from licensing arrangements has not been material.</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Licenses of intellectual property</w:t>
      </w:r>
      <w:r>
        <w:rPr>
          <w:rFonts w:ascii="Times New Roman" w:cs="Times New Roman" w:eastAsia="Times New Roman" w:hAnsi="Times New Roman"/>
          <w:sz w:val="18"/>
          <w:szCs w:val="18"/>
          <w:color w:val="auto"/>
        </w:rPr>
        <w:t>: If a license granted to a customer to use our intellectual property is determined to be distinct from the other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we recognize revenue from consideration allocated to the license when the license is transferred to the licensee and the licensee is able to use and benefit from the license. For licenses that are bundled with other promises, we apply judgment to assess the nature of the combined performance obligation to determine whether the combined performance obligation is satisfied over time or at a point in time and, if over time, to conclude upon the appropriate method of measuring progress for purposes of recognizing revenue related to consideration allocated to the performance obligation.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Customer options, such as options granted to allow a licensee to choose to research, develop and commercialize licensed compounds are evaluated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contract inception in order to determine whether those options provide a material right (i. 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modifications: </w:t>
      </w:r>
      <w:r>
        <w:rPr>
          <w:rFonts w:ascii="Times New Roman" w:cs="Times New Roman" w:eastAsia="Times New Roman" w:hAnsi="Times New Roman"/>
          <w:sz w:val="18"/>
          <w:szCs w:val="18"/>
          <w:color w:val="auto"/>
        </w:rPr>
        <w:t>Contract modifications, defined as changes in the scope or price (or both) of a contract that are approved by the parties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such as a contract amendment, exist when the parties to a contract approve a modification that either creates new or changes existing enforceable rights and obligations of the parties to the contract. Depending on facts and circumstances, we account for a contract modification as one of the following:</w:t>
      </w:r>
    </w:p>
    <w:p>
      <w:pPr>
        <w:spacing w:after="0" w:line="1" w:lineRule="exact"/>
        <w:rPr>
          <w:sz w:val="20"/>
          <w:szCs w:val="20"/>
          <w:color w:val="auto"/>
        </w:rPr>
      </w:pPr>
    </w:p>
    <w:p>
      <w:pPr>
        <w:jc w:val="both"/>
        <w:ind w:firstLine="8"/>
        <w:spacing w:after="0" w:line="252" w:lineRule="auto"/>
        <w:tabs>
          <w:tab w:leader="none" w:pos="2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receive payments from our licensees as established in each contract. Upfront payments and fees are recorded as deferred revenue upon receipt or when due and may require deferral of revenue recognition to a future period until we perform our obligations under these arrangements. Where applicable, amounts are recorded as unbilled revenue when our right to consideration is unconditional. We do not assess whether a contract with a customer has a significant financing component if the expectation at contract inception is such that the period between payment by the licensees and the transfer of the promised goods or services to the licensees will be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product sales consists of the cost of commercial goods sold to our Customers. Other cost of revenue consists of the cost of materials sold to our international partners under product supply agreements, as well as payments due to AstraZeneca AB (AstraZeneca)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and XPHOZAH units recognized as revenue during the years ended December 31, 2023 and 2022 were expensed in periods prior to the commencement of capitalization of inventory costs for each respective product. As of December 31, 2023 and December 31, 2022, we had approximately $21.8 million and $28.0 million, respectively, of inventory on hand that was previously expensed as research and development expense and will not be reported as cost of goods sold in future periods when sales of IBSRELA and XPHOZAH are recognized as revenue.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$27.6 million as other cost of revenue under the AstraZeneca Termination Agreement. See details in </w:t>
      </w:r>
      <w:r>
        <w:rPr>
          <w:rFonts w:ascii="Times New Roman" w:cs="Times New Roman" w:eastAsia="Times New Roman" w:hAnsi="Times New Roman"/>
          <w:sz w:val="18"/>
          <w:szCs w:val="18"/>
          <w:i w:val="1"/>
          <w:iCs w:val="1"/>
          <w:color w:val="auto"/>
        </w:rPr>
        <w:t>Note 7, Collaboration and Licensing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under AstraZeneca, in the notes to our financial statement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charged to expense as incurred and consisted of costs incurred to further our research and development activities and include salaries and related employee benefits, costs associated with clinical trials, costs related to pre-commercialization manufacturing activities such as manufacturing process validation activities and the manufacturing of clinical drug supply, nonclinical research and development activities, regulatory activities, research-related overhead expenses and fees paid to external service providers and contract research and manufacturing organizations that conduct certain research and development activities on our behalf.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our service providers and make adjustments if necessary.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accruing service fees, we estimate the time period over which each component of a service will be performed, and estimate, with vendor input if appropriate. If the actual timing of the performance of services or the level of effort varies from our estimate, we adjust the accrued or prepaid expense balance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compensation expense for all stock-based payment awards made to employees, non-employees and directors based on estimated fair values. For employee and non-employee stock options, we determine the grant date fair value of the awards using the Black-Scholes option-pricing model and generally recognize the fair value as stock-based compensation expense on a straight-line basis over the vesting period of the respective awards. For restricted stock and performance-based restricted stock, to the extent they are probable, the compensation cost for these awards is based on the closing price of our common stock on the date of grant and recognized as compensation expense on a straight-line basis over the requisite service period. Stock-based compensation expense is based on the value of the portion of stock-based payment awards that is ultimately expected to vest. As such, our stock-based compensation is reduced for the estimated forfeitures at the date of grant and revised, if necessary, in subsequent periods if actual forfeitures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our derivative instruments as either assets or liabilities on the balance sheet and measure them at fair value. Derivatives are adjusted to fair value through other income (expense), net in the statements of operations and comprehensive loss.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Deferred Royalty Obligation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in June 2022, we and HealthCare Royalty Partners IV, L.P. (HCR) entered into a Royalty and Sales Milestone Interest Acquisition Agreement (HCR Agreement). Under the terms of the HCR Agreement, HCR agreed to pay us up to $20.0 million in exchange for the royalty payments and commercial milestone payments (collectively the Royalty Interest Payments) that we may receive under our 2017 License Agreement with Kyowa Kirin, as amended, based upon Kyowa Kirin's net sales of tenapanor in Japan for hyperphosphatemia. As part of the HCR Agreement, we received a $10.0 million upfront payment from HCR in June 2022 and recorded it as a deferred royalty obligation on our balance sheet. In September 2023, we announced that Kyowa Kirin received approval from the Japanese MHLW for the New Drug Application for tenapanor for the improvement of hyperphosphatemia in adult patients with chronic kidney disease on dialysis, which entitled us to a $5.0 million payment under the terms of the HCR Agreement, which we received in October 2023. Non-cash interest expense will be recognized over the life of the HCR Agreement using the effective interest method based on the imputed interest rate derived from estimated amounts and timing of future royalty payments to be received from Kyowa Kirin.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the inception of the arrangement. Operating leases are included in right-of-use assets, current portion of operating lease liability, and operating lease liability, net of current portion in our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 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 We have elected not to separate lease and non-lease components, such as common area maintenance charges, and instead it accounts for these as a single lease component.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during the period, without consideration of potential shares of common stock. Diluted net loss per common share in the periods presented is the same as basic net loss per common share, since the effects of potentially dilutive securities are antidilutive due to the net loss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 Recently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the Financial Accounting Standards Board (FASB) issued Accounting Standards Update (ASU) No. 2023-03, Presentation of Financial Statements (Topic 205), Income Statement - Reporting Comprehensive Income (Topic 220), Distinguishing Liabilities from Equity (Topic 480), Equity (Topic 505), and Compensation - Stock Compensation (Topic 718) Presentation of Financial Statements (ASU 2023-03). ASU 2023-03 amends the FASB Accounting Standards Codification to include Amendments to SEC Paragraphs pursuant to SEC Staff Accounting Bulletin No. 120, SEC Staff Announcement at the March 24, 2022 EITF Meeting, and SEC Staff Accounting Bulletin Topic 6.B, Accounting Series Release 280 - General Revision of Regulation S-X: Income or Loss Applicable to Common Stock. As the ASU does not provide any new guidance, there is no transition or effective date associated with its adoption. Accordingly, we adopted ASU 2023-03 immediately upon its issuance. The adoption of ASU 2023-03 did not have any impact on our financial statement presentation or related disclosures.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The amendments in this Update modify the disclosure or presentation requirements of a variety of Topics in the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amendments are in response to the U.S. Securities and Exchange Commission's (SEC)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in which the SEC referred certain of its disclosure requirements that overlap with, but require incremental information to, generally accepted accounting principles to the FASB for potential incorporation into the Codification.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For all entities, if by June 30, 2027, the SEC has not removed the applicable requirement from Regulation S-X or Regulation S-K, the pending content of the related amendment will be removed from the Codification and will not become effective for any entity. Management is currently assessing the impact of this standard on the Company’s financial statements.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The amendments in this Update improve reportable segment disclosure requirements, primarily through enhanced disclosures about significant segment expenses. The amendments in this update improve financial reporting by requiring disclosure of incremental segment information on an annual and interim basis for all public entities to enable investors to develop more decision-useful financial analyses. The amendments in this update are effective for fiscal years beginning after December 15, 2023, and interim periods within fiscal years beginning after December 15, 2024. Early adoption is permitted. Management is currently assessing the impact of this standard on the Company’s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an amendment which modifies the measurement and recognition of credit losses for most financial assets and certain other instruments.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Management is currently assessing the impact of this standard on the Company’s financial statements.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other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classified as cash, cash equivalents and short-term investments as of December 31, 2023 and 2022 are summarized below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40" w:type="dxa"/>
            <w:vAlign w:val="bottom"/>
          </w:tcPr>
          <w:p>
            <w:pPr>
              <w:spacing w:after="0"/>
              <w:rPr>
                <w:sz w:val="19"/>
                <w:szCs w:val="19"/>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40" w:type="dxa"/>
            <w:vAlign w:val="bottom"/>
          </w:tcPr>
          <w:p>
            <w:pPr>
              <w:spacing w:after="0"/>
              <w:rPr>
                <w:sz w:val="19"/>
                <w:szCs w:val="19"/>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1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40" w:type="dxa"/>
            <w:vAlign w:val="bottom"/>
          </w:tcPr>
          <w:p>
            <w:pPr>
              <w:spacing w:after="0"/>
              <w:rPr>
                <w:sz w:val="19"/>
                <w:szCs w:val="19"/>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1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40" w:type="dxa"/>
            <w:vAlign w:val="bottom"/>
          </w:tcPr>
          <w:p>
            <w:pPr>
              <w:spacing w:after="0"/>
              <w:rPr>
                <w:sz w:val="19"/>
                <w:szCs w:val="19"/>
                <w:color w:val="auto"/>
              </w:rPr>
            </w:pPr>
          </w:p>
        </w:tc>
      </w:tr>
      <w:tr>
        <w:trPr>
          <w:trHeight w:val="229"/>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15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40" w:type="dxa"/>
            <w:vAlign w:val="bottom"/>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Asset-backed securities</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40" w:type="dxa"/>
            <w:vAlign w:val="bottom"/>
          </w:tcPr>
          <w:p>
            <w:pPr>
              <w:spacing w:after="0"/>
              <w:rPr>
                <w:sz w:val="19"/>
                <w:szCs w:val="19"/>
                <w:color w:val="auto"/>
              </w:rPr>
            </w:pPr>
          </w:p>
        </w:tc>
      </w:tr>
      <w:tr>
        <w:trPr>
          <w:trHeight w:val="23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40" w:type="dxa"/>
            <w:vAlign w:val="bottom"/>
          </w:tcPr>
          <w:p>
            <w:pPr>
              <w:spacing w:after="0"/>
              <w:rPr>
                <w:sz w:val="19"/>
                <w:szCs w:val="19"/>
                <w:color w:val="auto"/>
              </w:rPr>
            </w:pP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162,605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40" w:type="dxa"/>
            <w:vAlign w:val="bottom"/>
          </w:tcPr>
          <w:p>
            <w:pPr>
              <w:spacing w:after="0"/>
              <w:rPr>
                <w:sz w:val="19"/>
                <w:szCs w:val="19"/>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184,299</w:t>
            </w:r>
          </w:p>
        </w:tc>
        <w:tc>
          <w:tcPr>
            <w:tcW w:w="40" w:type="dxa"/>
            <w:vAlign w:val="bottom"/>
          </w:tcPr>
          <w:p>
            <w:pPr>
              <w:spacing w:after="0"/>
              <w:rPr>
                <w:sz w:val="21"/>
                <w:szCs w:val="2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4"/>
        </w:trPr>
        <w:tc>
          <w:tcPr>
            <w:tcW w:w="4420" w:type="dxa"/>
            <w:vAlign w:val="bottom"/>
          </w:tcPr>
          <w:p>
            <w:pPr>
              <w:spacing w:after="0"/>
              <w:rPr>
                <w:sz w:val="24"/>
                <w:szCs w:val="24"/>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5600" w:type="dxa"/>
            <w:vAlign w:val="bottom"/>
          </w:tcPr>
          <w:p>
            <w:pPr>
              <w:spacing w:after="0"/>
              <w:rPr>
                <w:sz w:val="19"/>
                <w:szCs w:val="19"/>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r>
      <w:tr>
        <w:trPr>
          <w:trHeight w:val="229"/>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84,313</w:t>
            </w: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96,140</w:t>
            </w: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25,291</w:t>
            </w:r>
          </w:p>
        </w:tc>
      </w:tr>
      <w:tr>
        <w:trPr>
          <w:trHeight w:val="229"/>
        </w:trPr>
        <w:tc>
          <w:tcPr>
            <w:tcW w:w="5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27,769</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123,909</w:t>
            </w:r>
          </w:p>
        </w:tc>
      </w:tr>
      <w:tr>
        <w:trPr>
          <w:trHeight w:val="20"/>
        </w:trPr>
        <w:tc>
          <w:tcPr>
            <w:tcW w:w="5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 balance sheets. We use the specific identification method to determine the amount of realized gains or losses on sales of marketable securities. Realized gains or losses have been insignificant and are included in other income, net, in the statement of operations and comprehensive loss.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of the short-term available-for sale securities held as of December 31, 2023 and 2022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December 31, 2023 and 2022 were not material. We determined that none of our available-for-sale securities were other-than-temporarily impaired as of December 31, 2023 and 2022, and no investment was in a continuous unrealized loss position for more than one year. As such, we believe that it is more likely than not that the investments will be held until maturity or a forecasted recovery of fair value.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December 31, 2023 and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and readily accessible to us at the reporting date.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Valuations based on unobservable inputs for which there is little or no market data, which require us to develop our own assumptions.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our financial assets and liabilities that are measured or disclosed on a recurring basis by level within the fair value hierarchy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jc w:val="center"/>
              <w:ind w:right="3450"/>
              <w:spacing w:after="0"/>
              <w:rPr>
                <w:sz w:val="20"/>
                <w:szCs w:val="20"/>
                <w:color w:val="auto"/>
              </w:rPr>
            </w:pPr>
            <w:r>
              <w:rPr>
                <w:rFonts w:ascii="Times New Roman" w:cs="Times New Roman" w:eastAsia="Times New Roman" w:hAnsi="Times New Roman"/>
                <w:sz w:val="18"/>
                <w:szCs w:val="18"/>
                <w:color w:val="auto"/>
                <w:w w:val="99"/>
              </w:rPr>
              <w:t>Total</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jc w:val="center"/>
              <w:ind w:right="3450"/>
              <w:spacing w:after="0"/>
              <w:rPr>
                <w:sz w:val="20"/>
                <w:szCs w:val="20"/>
                <w:color w:val="auto"/>
              </w:rPr>
            </w:pPr>
            <w:r>
              <w:rPr>
                <w:rFonts w:ascii="Times New Roman" w:cs="Times New Roman" w:eastAsia="Times New Roman" w:hAnsi="Times New Roman"/>
                <w:sz w:val="18"/>
                <w:szCs w:val="18"/>
                <w:color w:val="auto"/>
                <w:w w:val="99"/>
              </w:rPr>
              <w:t>Liabilities: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liabilities for exit fee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jc w:val="center"/>
              <w:ind w:right="3450"/>
              <w:spacing w:after="0"/>
              <w:rPr>
                <w:sz w:val="20"/>
                <w:szCs w:val="20"/>
                <w:color w:val="auto"/>
              </w:rPr>
            </w:pPr>
            <w:r>
              <w:rPr>
                <w:rFonts w:ascii="Times New Roman" w:cs="Times New Roman" w:eastAsia="Times New Roman" w:hAnsi="Times New Roman"/>
                <w:sz w:val="18"/>
                <w:szCs w:val="18"/>
                <w:color w:val="auto"/>
                <w:w w:val="99"/>
              </w:rPr>
              <w:t>Total</w:t>
            </w: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1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11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1"/>
                <w:szCs w:val="11"/>
                <w:color w:val="auto"/>
              </w:rPr>
            </w:pPr>
          </w:p>
        </w:tc>
        <w:tc>
          <w:tcPr>
            <w:tcW w:w="10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8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Total</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Liabilities: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liability for exit fees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jc w:val="center"/>
              <w:ind w:right="3450"/>
              <w:spacing w:after="0"/>
              <w:rPr>
                <w:sz w:val="20"/>
                <w:szCs w:val="20"/>
                <w:color w:val="auto"/>
              </w:rPr>
            </w:pPr>
            <w:r>
              <w:rPr>
                <w:rFonts w:ascii="Times New Roman" w:cs="Times New Roman" w:eastAsia="Times New Roman" w:hAnsi="Times New Roman"/>
                <w:sz w:val="18"/>
                <w:szCs w:val="18"/>
                <w:color w:val="auto"/>
                <w:w w:val="99"/>
              </w:rPr>
              <w:t>Total</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43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securities, corporate bonds, commercial paper, and asset-backed securities as Level 2. In certain cases, where there is limited activity or less transparency around inputs to valuation, securities or derivative liabilities, such as the 2018 Exit Fee and 2022 Exit Fee, as defined and discussed in </w:t>
      </w:r>
      <w:r>
        <w:rPr>
          <w:rFonts w:ascii="Times New Roman" w:cs="Times New Roman" w:eastAsia="Times New Roman" w:hAnsi="Times New Roman"/>
          <w:sz w:val="18"/>
          <w:szCs w:val="18"/>
          <w:i w:val="1"/>
          <w:iCs w:val="1"/>
          <w:color w:val="auto"/>
        </w:rPr>
        <w:t>Note 10. Derivative Liabilities</w:t>
      </w:r>
      <w:r>
        <w:rPr>
          <w:rFonts w:ascii="Times New Roman" w:cs="Times New Roman" w:eastAsia="Times New Roman" w:hAnsi="Times New Roman"/>
          <w:sz w:val="18"/>
          <w:szCs w:val="18"/>
          <w:color w:val="auto"/>
        </w:rPr>
        <w:t>, are classified as Level 3.</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December 31, 2023 and 2022, due to their short-term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principal amount outstanding under our term loan facilities is subject to a variable interest rate. Therefore, we believe the carrying amount of the term loan facility approximates fair value as of December 31, 2023 and 2022. See </w:t>
      </w:r>
      <w:r>
        <w:rPr>
          <w:rFonts w:ascii="Times New Roman" w:cs="Times New Roman" w:eastAsia="Times New Roman" w:hAnsi="Times New Roman"/>
          <w:sz w:val="18"/>
          <w:szCs w:val="18"/>
          <w:i w:val="1"/>
          <w:iCs w:val="1"/>
          <w:color w:val="auto"/>
        </w:rPr>
        <w:t>Note 9. Borrowings</w:t>
      </w:r>
      <w:r>
        <w:rPr>
          <w:rFonts w:ascii="Times New Roman" w:cs="Times New Roman" w:eastAsia="Times New Roman" w:hAnsi="Times New Roman"/>
          <w:sz w:val="18"/>
          <w:szCs w:val="18"/>
          <w:color w:val="auto"/>
        </w:rPr>
        <w:t xml:space="preserve"> for a description of the Level 2 inputs used to estimate the fair value of the liability.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carrying value of the deferred royalty obligation related to the sale of future royalties approximates its fair value as of December 31, 2023 and is based on our current estimates of future royalties and commercialization milestones expected to be paid to us by Kyowa Kirin Co., Ltd. (KKC) over the life of the agreement. See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xml:space="preserve"> for a description of the Level 3 inputs used to estimate the fair value of the liability.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Inventory as of December 31, 2023 and 2022 consisted of the following (in thousands):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2"/>
        </w:trPr>
        <w:tc>
          <w:tcPr>
            <w:tcW w:w="6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22,299</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3"/>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7"/>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29"/>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30"/>
        </w:trPr>
        <w:tc>
          <w:tcPr>
            <w:tcW w:w="6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non-current</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w:t>
            </w:r>
          </w:p>
        </w:tc>
      </w:tr>
      <w:tr>
        <w:trPr>
          <w:trHeight w:val="223"/>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28,346</w:t>
            </w:r>
          </w:p>
        </w:tc>
      </w:tr>
      <w:tr>
        <w:trPr>
          <w:trHeight w:val="20"/>
        </w:trPr>
        <w:tc>
          <w:tcPr>
            <w:tcW w:w="6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inventory, we had prepaid commercial manufacturing of $23.2 million and $13.6 million as of December 31, 2023 and 2022, respectively, which consisted of prepayments to third party contract manufacturing organizations, including prepayments of $4.2 million and zero as of December 31, 2023 and 2022, respectively, that are expected to be converted into inventory after 12 months.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 during the years ended December 31, 2023, 2022, and 2021 were as follows (in thousands):</w:t>
      </w:r>
    </w:p>
    <w:p>
      <w:pPr>
        <w:spacing w:after="0" w:line="275"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w:t>
            </w:r>
          </w:p>
        </w:tc>
      </w:tr>
      <w:tr>
        <w:trPr>
          <w:trHeight w:val="21"/>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from the following Customers who contributed greater than 10% of our gross product revenue during the years ended December 31, 2023 and 2022 as a percentage of total gross product revenue was as follows:</w:t>
      </w:r>
    </w:p>
    <w:p>
      <w:pPr>
        <w:spacing w:after="0" w:line="198"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46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BioRidge Pharma, LLC</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2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AmerisourceBergen Drug Corporation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activities and ending reserve balances for each significant category of discounts and allowances, which constitute variable consideration,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Discounts and</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Rebates,</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Copay 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Wholesaler and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Chargebacks</w:t>
            </w:r>
          </w:p>
        </w:tc>
        <w:tc>
          <w:tcPr>
            <w:tcW w:w="120" w:type="dxa"/>
            <w:vAlign w:val="bottom"/>
          </w:tcPr>
          <w:p>
            <w:pPr>
              <w:spacing w:after="0"/>
              <w:rPr>
                <w:sz w:val="19"/>
                <w:szCs w:val="19"/>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GPO Fees</w:t>
            </w:r>
          </w:p>
        </w:tc>
        <w:tc>
          <w:tcPr>
            <w:tcW w:w="2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Returns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prior period provisions recorded in the current period were not 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LICENSING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Kyowa Kirin Co., Ltd. (Kyowa Kirin)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w:t>
      </w: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 xml:space="preserve"> we have received advanced payments from Kyowa Kirin for the manufacturing of tenapanor drug substance that will be used to satisfy Kyowa Kirin needs.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assessed these arrangements in accordance with Accounting Standards Update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w:t>
      </w:r>
    </w:p>
    <w:p>
      <w:pPr>
        <w:spacing w:after="0" w:line="29" w:lineRule="exact"/>
        <w:rPr>
          <w:sz w:val="20"/>
          <w:szCs w:val="20"/>
          <w:color w:val="auto"/>
        </w:rPr>
      </w:pPr>
    </w:p>
    <w:p>
      <w:pPr>
        <w:jc w:val="both"/>
        <w:ind w:firstLine="8"/>
        <w:spacing w:after="0" w:line="253" w:lineRule="auto"/>
        <w:tabs>
          <w:tab w:leader="none" w:pos="3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related amendments (ASC 606) and concluded that the contract counterparty, Kyowa Kirin, is a customer. Under the terms of the 2017 Kyowa Kirin Agreement, we received $30.0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may be entitled to receive up to $55.0 million in total development and regulatory milestones, of which $35.0 million has been received and recognized as revenue as of December 31, 2023. We may also be eligible to receive approximately ¥8.5 billion for commercialization milestones, or approximately $60.3 million at the currency exchange rate on December 31, 2023, as well as reimbursement of costs plus a reasonable overhead for the supply of product and royalties on net sales throughout the term of the agreement. As discussed in </w:t>
      </w:r>
      <w:r>
        <w:rPr>
          <w:rFonts w:ascii="Times New Roman" w:cs="Times New Roman" w:eastAsia="Times New Roman" w:hAnsi="Times New Roman"/>
          <w:sz w:val="18"/>
          <w:szCs w:val="18"/>
          <w:i w:val="1"/>
          <w:iCs w:val="1"/>
          <w:color w:val="auto"/>
        </w:rPr>
        <w:t>Note 8. Deferred Royalty Obligation Related to the Sale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 the future royalties and commercial milestone payments we may receive under the 2017 Kyowa Kirin Agreement will be remitted to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Royalty Partners IV, L.P. pursuant to a Royalty and Sales Milestone Interest Acquisition Agreement. The variable consideration related to the remaining milestone payments was fully constrained at December 31, 2023.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April 2022, we entered into a second amendment to the 2017 Kyowa Kirin Agreement (2022 Amendment). Under the terms of the 2022 Amendment, we and Kyowa Kirin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the future commercial milestones and royalties we may receive under the 2017 Kyowa Kirin Agreement will be remitted to HealthCare Royalty Partners IV, L.P. pursuant to a Royalty and Sales Milestone Interest Acquisition Agreement. As consideration for the reduction in the royalty rate, Kyowa Kirin agreed to pay us up to an additional $40.0 million payable in two tranches, with the first payment due following Kyowa Kirin's filing with the Japanese Ministry of Health, Labour and Welfare (MHLW) of its application for marketing approval for tenapanor and the second payment due following Kyowa Kirin’s receipt of regulatory approval to market tenapanor for hyperphosphatemia in Japan, both of which occurred as of September 30, 2023.</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2022, we announced that Kyowa Kirin submitted a New Drug Application (NDA) to the Japanese MHLW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statement of operations and comprehensive income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we announced that Kyowa Kirin received approval from the Japanese MHLW for the NDA for tenapanor for the improvement of hyperphosphatemia in adult patients with CKD on dialysis, which resulted in payment to us from Kyowa Kirin for an aggregate of $30.0 million for milestone payments and payments under the 2022 Amendment. We received these payments in October 2023 and recorded them as licensing revenue on our statement of operations and comprehensive income (loss) when earned during the three months ended September 30,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recognized $30.0 million, $35.0 million, and $5.0 million of licensing revenue pursuant to the 2017 Kyowa Kirin Agreement,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we recognized $6.1 million, $1.5 million, and $0.9 million respectively, of product supply revenue pursuant to the 2017 Kyowa Kirin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Shanghai Fosun Pharmaceutical Industrial Development Co. Ltd. (Fosun Pharma)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 $12.0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entitled to receive development and commercialization milestones of up to $113.0 million, of which $8.0 million has been recognized as revenue and $5.0 million has been received as of December 31, 2023 and $3.0 million was received in January 2024, as well as reimbursement of cost plus a reasonable overhead for the supply of product and tiered royalties on net sales ranging from the mid-teens to 20%. The variable consideration related to the remaining development milestone payments was fully constrained at December 31,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2023, we announced that an NDA for tenapanor had been accepted for review by China’s Center for Drug Evaluation of the National Medical Products Administration (NMPA) for the control of serum phosphorus in adult patients with CKD on hemodialysis. This acceptance triggered a $2.0 million milestone payment to us under the terms of the Fosun Agreement. We received this payment during the third quarter of 2023 and recorded it as licensing revenue on our statement of operations and comprehensive loss when earned during the three months ended September 30, 2023. In October 2023, we announced that the U.S. FDA has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irritable bowel syndrome with constipation (IBS-C).</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$5.0 million of licensing revenue pursuant to the Fosun Agreement. During the years ended December 31, 2022, and 2021, we did not recognize a material amount of revenue pursuant to the Fosun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Knight Therapeutics, Inc. (Knight)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Knight Agreement, we received a $2.3 million non-refundable, one-time upfront payment in March 2018 and may be eligible to receive additional development and commercialization milestone payments worth up to CAD 22.2 million, or approximately $16.7 million at the currency exchange rate on December 31, 2023, of which $0.7 million has been received and recognized as revenue as of December 31, 2023. We are also eligible to receive royalties ranging from the mid-single digits to the low twenties throughout the term of the agreement, and a transfer price for manufacturing services. The variable consideration related to the remaining development milestone payments was fully constrained at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2022, and 2021, we did not recognize a material amount of revenue pursuant to the Knight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METiS Therapeutics Inc. (METiS)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we entered into an exclusive, worldwide license agreement with METiS Therapeutics Inc., (METiS Agreement) for the development and commercialization of a portfolio of TGR5 agonist compounds that were discovered and developed by Ardelyx for all therapeutic areas. We assessed this arrangement in accordance with ASC 606 and concluded that the contract counterparty, METiS, is a customer. Based on our assessment, we determined that the license was the material performance obligation at the inception of the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METiS Agreement, we received a $0.8 million non-refundable, one-time upfront payment in April 2023 and may be eligible to receive additional development and commercialization milestone payments worth up to $243.0 million. We are also eligible to receive royalties ranging within the mid-single digits throughout the term of the agreement. The variable consideration related to the remaining development and commercialization milestone payments was fully constrained at 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$0.8 million of licensing revenue pursuant to the METiS Agreement upon delivery of the license.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AB (AstraZeneca)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December 31, 2023, to date in aggregate, we have recognized $27.6 million of the $75.0 million, which has been recorded as other cost of revenue on our statements of operations and comprehensive income (loss). During the years ended December 31, 2023, 2022, and 2021, we recognized $12.4 million and $3.6 million, and $1.0 million, respectively, as other cost of revenue related to the AstraZeneca Termination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our current and non-current deferred revenue balances during the reporting period, which are all attributable to the 2017 Kyowa Kirin Agreement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tcBorders>
              <w:bottom w:val="single" w:sz="8" w:color="auto"/>
            </w:tcBorders>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Non-Current</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4,727</w:t>
            </w: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invoiced as prepayments for product supply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8,259</w:t>
            </w: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for revenue recognized for product supply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Reclassify amounts to be recognized in the next twelve months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(3,961)</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9,025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ROYALTY OBLIGATION RELATED TO THE SALE OF FUTURE ROYALTIES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as amended, based upon Kyowa Kirin's net sales of tenapanor in Japan for hyperphosphatemia. As consideration for the sale of the Royalty Interest Payments, HCR paid to us a $10.0 million upfront payment, and we were eligible to receive a $5.0 million payment as a result of Kyowa Kirin's receipt of regulatory approval to market tenapanor for hyperphosphatemia in Japan, and another $5.0 million payment in the event net sales by Kyowa Kirin in Japan exceed a certain annual target level by the end of 2025.</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2023, we announced that Kyowa Kirin received approval from the Japanese MHLW for the New Drug Application for tenapanor for the improvement of hyperphosphatemia in adult patients with chronic kidney disease on dialysis, which entitled us to a $5.0 million payment under the terms of the HCR Agreement. We received the payment in October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$10.0 million upfront payment from HCR received in June 2022 and the $5.0 million payment received in October 2023 have been recorded as a deferred royalty obligation related to the sale of future royalties (deferred royalty obligation) on our balance sheets. Due to our ongoing manufacturing obligations under the 2017 Kyowa Kirin Agreement, we account for the proceeds as imputed debt and therefore will recognize royalties earned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December 31, 2023, our effective interest rate used to amortize the liability is 34.7%. During the years ended December 31, 2023 and 2022, we recognized approximately $3.9 million and $1.7 million, respectively, of non-cash interest expense related to the deferred royalty obligation. As of December 31, 2023, we have received no royalty payments from Kyowa Kirin and, therefore, the deferred royalty obligation has not begun to be reduced.</w:t>
      </w:r>
    </w:p>
    <w:p>
      <w:pPr>
        <w:spacing w:after="0" w:line="185"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Solar Capital and Western Alliance Bank Loan Agreement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we entered into a loan and security agreement (as amended on October 9, 2020, March 1, 2021, May 5, 2021, and July 29, 2021) (2018 Loan Agreement) with Solar Capital Ltd. and Western Alliance Bank (collectively, the 2018 Lenders). The 2018 Loan Agreement provided for a loan facility for up to $50.0 million with a maturity date of November 1, 2022 (2018 Loan). As of the Closing Date for the 2022 Loan, as discussed below, we owed $25.0 million in principal payments from the 2018 Loan, which we repaid in full at that time.</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10. Derivative Liabilities</w:t>
      </w:r>
      <w:r>
        <w:rPr>
          <w:rFonts w:ascii="Times New Roman" w:cs="Times New Roman" w:eastAsia="Times New Roman" w:hAnsi="Times New Roman"/>
          <w:sz w:val="18"/>
          <w:szCs w:val="18"/>
          <w:color w:val="auto"/>
        </w:rPr>
        <w:t>, in connection with entering into the 2018 Loan Agreement, we entered into an agreement pursuant to which we agreed to pay $1.5 million in cash upon the occurrence of certain conditions (2018 Exit Fee). Our obligations for the 2018 Exit Fee remained outstanding following the full repayment of the 2018 Loan in February 2022 until October 2023 when we received approval from the U.S.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Investment Corp. Loan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23, 2022 (Closing Date), we entered into a loan and security agreement (2022 Loan Agreement) with SLR Investment Corp. as collateral agent (Agent), and the lenders listed in the 2022 Loan Agreement (collectively, the 2022 Lenders). The 2022 Loan Agreement was subsequently amended in August 2022 (the First Amendment) and February 2023 (the Second Amendment). We concluded that the First Amendment and the Second Amendment were modifications to the 2022 Loan Agreement. The 2022 Loan Agreement, as amended by the First Amendment and the Second Amendment, provided for a senior secured loan facility, with $27.5 million (Term A Loan) funded on the Closing Date and an additional $22.5 million which we may borrow on or prior to December 20, 2023; provided that (i) we have received approval by the U.S. FDA for our NDA for XPHOZAH by November 30, 2023, and (ii) we have achieved certain product revenue milestone targets described in the 2022 Loan Agreement (Term B Loan, and together with the Term A Loan, the 2022 Original Loans). The 2022 Term A Loan funds were used to repay the 2018 Loan with the 2018 Lenders.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17, 2023, we entered into a Third Amendment (the Third Amendment) to the 2022 Loan Agreement by and between us and the 2022 Lenders. The Third Amendment, among other things, (1) provides us with the option to draw an additional $50.0 million of committed capital by March 15, 2024 (the Term C Loan) provided we have drawn the Term B Loan; and (2) provides us with the option to draw up to an additional $50.0 million of uncommitted capital by December 31, 2026, subject to approval by the Agent’s investment committee (the Term D Loan and together with the Term A, B, and C Loans, the Four 2022 Loans). We concluded that the Third Amendment was a modification to the 2022 Loan Agreement and is accounted for accordingly. We expect to provide the Agent with notice of our decision to draw the Term C Loan prior to the expiry of the option on March 15, 2024 to further support the commercial launch of XPHOZAH.</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Third Amendment, the maturity date for the Four 2022 Loans is March 1, 2027.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each of the Term C Loan and the Term D Loan is 4.25% plus a SOFR value equal to 0.022% plus the 1-month CME Term SOFR reference rate as published by the CME Term SOFR Administrator on the CME Term SOFR Administrator’s Website, subject to a SOFR floor of 4.7%.</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period under which we are permitted to make interest-only payments on the Four 2022 Loans was extended to December 31, 2026, effective upon our decision to draw the Term B Loan in the amount of $22.5 million. In October 2023, we provided the Agent with notice of our decision to draw the Term B Loan to support the commercial launch of XPHOZAH and received the proceeds of the Term B Loan.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were obligated to pay $0.2 million, upon the closing of the Term A Loan, and we were obligated to pay $0.1 million on the funding date of the Term B Loan. We are obligated to pay $0.3 million on the earliest of (1) the funding date of the Term C Loan, (2) March 15, 2024, and (3) the prepayment, refinancing, substitution or replacement of the Term B Loans on or prior to March 15, 2024. In addition, we will be obligated to pay 0.5% of the aggregate original principal amount of the Term D Loan commitment, if requested by us and approved by the Agent’s investment committee, which shall be due on the earliest of (1) the funding of the Term D Loan, (2) if we request and the 2022 Lenders provide the Term D Loan commitment, the day immediately preceding the amortization date, and (3) if we request and the 2022 Lenders provide the Term D Loan commitment, the prepayment, refinancing, substitution or replacement of the Term C Loan on or prior to the date immediately preceding the amortization date.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pay a final fee equal to 4.95% of the aggregate original principal amount of the Four 2022 Loans, to the extent such loans are funded, upon the earliest to occur of the maturity date, the acceleration of the Four 2022 Loans, and the prepayment, refinancing, substitution, or replacement of the Four 2022 Loans.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may voluntarily prepay all amounts outstanding under the Four 2022 Loans, subject to a prepayment premium of (i) 3% of the outstanding principal amount of the Four 2022 Loans if prepaid prior to or on October 17, 2024, (ii) 2% of the outstanding principal amount of the Four 2022 Loans if prepaid after October 17, 2024 through and including October 17, 2025, or (iii) 1% of the outstanding principal amount of the Four 2022 Loans if prepaid after October 17, 2025 and prior to the maturity date. The Four 2022 Loans are secured by substantially all of our assets, except for our intellectual property and certain other customary exclusions. Additionally, as discussed in </w:t>
      </w:r>
      <w:r>
        <w:rPr>
          <w:rFonts w:ascii="Times New Roman" w:cs="Times New Roman" w:eastAsia="Times New Roman" w:hAnsi="Times New Roman"/>
          <w:sz w:val="18"/>
          <w:szCs w:val="18"/>
          <w:i w:val="1"/>
          <w:iCs w:val="1"/>
          <w:color w:val="auto"/>
        </w:rPr>
        <w:t>Note 10. Derivative Liabilities</w:t>
      </w:r>
      <w:r>
        <w:rPr>
          <w:rFonts w:ascii="Times New Roman" w:cs="Times New Roman" w:eastAsia="Times New Roman" w:hAnsi="Times New Roman"/>
          <w:sz w:val="18"/>
          <w:szCs w:val="18"/>
          <w:color w:val="auto"/>
        </w:rPr>
        <w:t>, in connection with the 2022 Original Loans, we entered into an agreement whereby we agreed to pay an exit fee in the amount of 2% of the 2022 Original Loans funded (2022 Exit Fee). Notwithstanding the prepayment or termination of the 2022 Loan, the 2022 Exit Fee will expire 10 years from the Closing Date.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2022 Loan Agreement, as amended,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and cash equivalents to be less than the eighty percent (80%) of the outstanding Four 2022 Term Loan balance for any period in which our net revenue from the sale of any products, calculated on a trailing six (6) month basis and tested monthly, is less than sixty percent (60%) of the outstanding Four 2022 Loan balance.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2022 Loan Agreement, as amended, contains customary events of default that entitle the Agent to cause our indebtedness under the 2022 Loan Agreement to become immediately due and payable, and to exercise remedies against us and the collateral securing the Four 2022 Term Loans,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Original Loan balance as a non-current liability as of December 31, 2023 due to principal repayments beginning in January 2027. We have concluded that the provisions that could cause acceleration of the principal repayments are remote.</w:t>
      </w:r>
    </w:p>
    <w:p>
      <w:pPr>
        <w:spacing w:after="0" w:line="2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December 31, 2023, our future payment obligations related to the 2022 Loan, excluding interest payments and the 2022 final fee,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52,475</w:t>
            </w:r>
          </w:p>
        </w:tc>
      </w:tr>
      <w:tr>
        <w:trPr>
          <w:trHeight w:val="230"/>
        </w:trPr>
        <w:tc>
          <w:tcPr>
            <w:tcW w:w="9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repayment obligations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52,475</w:t>
            </w:r>
          </w:p>
        </w:tc>
      </w:tr>
      <w:tr>
        <w:trPr>
          <w:trHeight w:val="22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9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Unaccreted value of final fee</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9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23"/>
        </w:trPr>
        <w:tc>
          <w:tcPr>
            <w:tcW w:w="9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DERIVATIVE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Exit Fee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2018, in connection with entering into the 2018 Loan Agreement, we entered into an agreement pursuant to which we agreed to pay $1.5 million in cash (2018 Exit Fee) upon any change of control transaction in respect of the Company or if we obtain both (i) U.S. FDA approval of XPHOZAH and (ii) U.S. FDA approval of IBSRELA, which was obtained on September 12, 2019 (2018 Exit Fee Agreement). Notwithstanding the February 2022 prepayment of the 2018 Loan, our obligation to pay the 2018 Exit Fee would have expired on May 16, 2028. We concluded that the 2018 Exit Fee was a freestanding derivative which should be accounted for at fair value on a recurring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we received approval from the U.S. FDA for XPHOZAH to reduce serum phosphorus in adults with chronic kidney disease (CKD) on dialysis as add-on therapy in patients who have an inadequate response to phosphate binders or who are intolerant of any dose of phosphate binder therapy. This triggered our obligation to pay the 2018 Exit Fee to the 2018 Lenders, which we subsequently paid in October 2023. The estimated fair value of the 2018 Exit Fee was recorded as a derivative liability and included in accrued expense and other current liabilities on the accompanying balance sheets. As of December 31, 2023 and December 31, 2022, the estimated fair value of the 2018 Exit Fee was zero and $1.2 million,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derivative liability at December 31, 2022 was determined using a discounted cash flow analysis and was classified as a Level 3 measurement within the fair value hierarchy since our valuation utilized significant unobservable inputs. Specifically, the key assumptions included in the calculation of the estimated fair value of the derivative instrument included: (i) our estimates of both the probability and timing of a potential $1.5 million payment to the 2018 Lenders as a result of the U.S. FDA approvals, and (ii) a discount rate which was derived from our estimated cost of debt, adjusted with current LIBOR.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Exit Fee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in connection with entering into the 2022 Original Loans, we entered into an agreement, whereby we agreed to pay an exit fee in the amount of 2% of the 2022 Original Loan funded (2022 Exit Fee) upon (i) any change of control transaction or (ii) our achievement of net revenue from the sale of any products equal to or greater than $100.0 million, measured on a six (6) months basis (Revenue Milestone), tested monthly at the end of each month. The Term C and Term D Loans do not result in payment of an additional exit fee. Notwithstanding the prepayment or termination of the 2022 Original Loans,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balance sheets. As of December 31, 2023 and December 31, 2022, the estimated fair value of the 2022 Exit Fee was $0.7 million and $0.4 million, respectively.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Exit Fee derivative liability include: (i) our estimates of both the probability and timing of achieving the Revenue Milestone and (ii) the probability and timing of funding the Term B Loan, which was dependent upon (a) approval by the U.S. FDA for our NDA for the control of serum phosphorus in adult patients with CKD on dialysis by November 30, 2023, and (b) achievement of certain product revenue milestone targets. As of December 31, 2023, uncertainty around two of the noted valuation estimates had been removed, as the Term B Loan had been funded and the U.S. FDA had approved our NDA for the control of serum phosphorus in adult patients with CKD on dialysis prior to November 30, 2023.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the fair value of recurring measurements included in Level 3 of the fair value hierarchy are presented as other income, net in our statements of operations and comprehensive income (loss) and were as follows for the years ended December 31, 2023, 2022, and 2021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 Exit Fee addition at fair value</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estimated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2018 Exit Fee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2022 Exit Fee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2018 Exit Fee payment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exit fee derivative liabilities at December 31,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40" w:hanging="432"/>
        <w:spacing w:after="0"/>
        <w:tabs>
          <w:tab w:leader="none" w:pos="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right-of-use operating lease assets under three lease agreements. We have evaluated our facility leases and determined that, effective upon the adoption of Topic 842, the leases evaluated are all operating leases. We have performed an evaluation of our other contracts with suppliers and collaborators in accordance with Topic 842 and have determined that, except for the facility leases described below, none of our contracts contain a lease.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right-of-use operating lease assets for our facility in Waltham, Massachusetts under a lease agreement entered into during December 2020 with lease commencement dates during April and May 2021. In August 2023, we entered into an amendment to the lease agreement to expand the leased premises to include an additional 4,247 square feet of office space. As of December 31, 2023, the Waltham office space consists of 17,111 square feet with the lease terminating in June 2026. We have an option to extend the lease term for one additional five year period. This option to extend the lease term has not been included in the calculation of the right-of-use asset and lease liability since the exercise of the option is uncertain and therefore deemed not probable. We recorded a $1.6 million right-of-use asset and lease liability for the Waltham lease upon commencement of the lease and an additional $0.3 million right-of-use asset and lease liability upon commencement of the lease amendment.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recorded a right-of-use operating lease asset for our facility located in Fremont, California under a lease agreement entered into in September 2008 that was amended multiple times to add space and to extend the lease term through March 2025. The office space consists of 72,500 square feet. We do not have an option to renew the lease at our current Fremont location beyond March 2025. In March 2023, we entered into a sub-lease Agreement (Sub-lease) with Chronus Health, Inc. (Chronus). We have sub-leased to Chronus approximately 21,644 square feet of the 72,500 square foot building's interior space, plus corresponding exterior support space and parking. The term of the Sub-lease expires on February 1, 2025. In accordance with the Sub-lease, we recognized an impairment of long-lived assets totaling $0.4 million during the three months ended March 31, 2023, which consisted primarily of impairment to the Fremont facility right-of-use asset, as determined by measuring the undiscounted future cash flows from the sub-leased space. The Sub-lease commenced in April 2023 and we recognized $0.8 million of income from the Sub-lease during the year ended December 31, 2023.</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recorded a right-of-use operating lease asset for our facility located in Milwaukee, Wisconsin under a lease agreement entered into in October 2020 with a lease commencement date in November 2020. The office space consists of 4,768 square feet with the lease terminating in February 2026. We have an option to extend the lease term by one additional five-year period. This option to extend the lease term has not been included in the calculation of the right-of-use asset and lease liability since the exercise of the option is uncertain and therefore deemed not probable. We recorded a $0.4 million right-of use asset and lease liability for the Milwaukee lease upon commencement of the lease.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details of our facility leases presented in our balance sheets (dollars in thousands):</w:t>
      </w:r>
    </w:p>
    <w:p>
      <w:pPr>
        <w:spacing w:after="0" w:line="262"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8"/>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3,894</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5,855</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9,749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life (years)</w:t>
            </w:r>
          </w:p>
        </w:tc>
        <w:tc>
          <w:tcPr>
            <w:tcW w:w="2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6.8 %</w:t>
            </w:r>
          </w:p>
        </w:tc>
        <w:tc>
          <w:tcPr>
            <w:tcW w:w="20" w:type="dxa"/>
            <w:vAlign w:val="bottom"/>
          </w:tcPr>
          <w:p>
            <w:pPr>
              <w:spacing w:after="0"/>
              <w:rPr>
                <w:sz w:val="20"/>
                <w:szCs w:val="20"/>
                <w:color w:val="auto"/>
              </w:rPr>
            </w:pPr>
          </w:p>
        </w:tc>
      </w:tr>
      <w:tr>
        <w:trPr>
          <w:trHeight w:val="522"/>
        </w:trPr>
        <w:tc>
          <w:tcPr>
            <w:tcW w:w="8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lease costs, which are included in operating expenses in our statements of operations, were as follows (in thousands):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7"/>
        </w:trPr>
        <w:tc>
          <w:tcPr>
            <w:tcW w:w="4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42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28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3,671</w:t>
            </w:r>
          </w:p>
        </w:tc>
        <w:tc>
          <w:tcPr>
            <w:tcW w:w="20" w:type="dxa"/>
            <w:vAlign w:val="bottom"/>
            <w:shd w:val="clear" w:color="auto" w:fill="CCEEFF"/>
          </w:tcPr>
          <w:p>
            <w:pPr>
              <w:spacing w:after="0"/>
              <w:rPr>
                <w:sz w:val="19"/>
                <w:szCs w:val="19"/>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w:t>
            </w:r>
          </w:p>
        </w:tc>
        <w:tc>
          <w:tcPr>
            <w:tcW w:w="3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5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3,438</w:t>
            </w:r>
          </w:p>
        </w:tc>
        <w:tc>
          <w:tcPr>
            <w:tcW w:w="20" w:type="dxa"/>
            <w:vAlign w:val="bottom"/>
          </w:tcPr>
          <w:p>
            <w:pPr>
              <w:spacing w:after="0"/>
              <w:rPr>
                <w:sz w:val="20"/>
                <w:szCs w:val="20"/>
                <w:color w:val="auto"/>
              </w:rPr>
            </w:pPr>
          </w:p>
        </w:tc>
      </w:tr>
      <w:tr>
        <w:trPr>
          <w:trHeight w:val="859"/>
        </w:trPr>
        <w:tc>
          <w:tcPr>
            <w:tcW w:w="4220" w:type="dxa"/>
            <w:vAlign w:val="bottom"/>
          </w:tcPr>
          <w:p>
            <w:pPr>
              <w:spacing w:after="0"/>
              <w:rPr>
                <w:sz w:val="24"/>
                <w:szCs w:val="24"/>
                <w:color w:val="auto"/>
              </w:rPr>
            </w:pPr>
          </w:p>
        </w:tc>
        <w:tc>
          <w:tcPr>
            <w:tcW w:w="28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undiscounted cash payment obligations for our operating lease liabilities as of December 31, 2023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Ending December 31,</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9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30"/>
        </w:trPr>
        <w:tc>
          <w:tcPr>
            <w:tcW w:w="9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Imputed interest expenses</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30"/>
        </w:trPr>
        <w:tc>
          <w:tcPr>
            <w:tcW w:w="9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r>
      <w:tr>
        <w:trPr>
          <w:trHeight w:val="248"/>
        </w:trPr>
        <w:tc>
          <w:tcPr>
            <w:tcW w:w="98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2020, we filed a Form S-3 registration statement, which became effective in August 2020 (2020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$100.0 million of our common stock that may be issued and sold, from time to time, under a sales agreement with Jefferies LLC (Jefferies), deemed to be “at-the-market offerings” (2020 Open Market Sales Agreement). Pursuant to the 2020 Open Market Sales Agreement, Jefferies, as sales agent, received a commission of up to 3.0% of the gross sales price for shares of common stock sold under the 2020 Open Market Sales Agreement. As of December 31, 2021, we had sold 23.3 million shares and received the maximum gross proceeds of $100.0 million pursuant to the 2020 Open Market Sales Agreement at a weighted average share prices of $4.30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2021, we filed an additional prospectus supplement under the 2020 Registration Statement for the offering, issuance and sale by us of up to a maximum aggregate offering price of $150.0 million of our common stock that may be issued and sold, from time to time, under an additional sales agreement we entered into with Jefferies (2021 Open Market Sales Agreement), pursuant to which we may, from time to time, sell up to $150.0 million in shares of our common stock through Jefferies. We are required to sell shares under the 2021 Open Market Sales Agreement. Pursuant to the 2021 Open Market Sales Agreement, Jefferies, as our sales agent, receives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year ended December 31, 2023, we sold 16.8 million shares of our common stock and received gross proceeds of $70.0 million at a weighted average sales price of approximately $4.17 per share under the 2023 Open Market Sales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granted options under our 2008 Stock Incentive Plan (2008 Plan) until June 2014 when it was terminated as to future awards, although it continues to govern the terms of options that remain outstanding under the 2008 Plan. The 2008 Plan provided for the granting of incentive and non-qualified stock options, and stock purchase rights to employees, directors and consultants at the discretion of the board of directors. Stock options granted generally vested over a period of four years from the date of grant. In connection with the board of directors and stockholders’ approval of the 2014 Plan, all remaining shares available for future award under the 2008 Plan were transferred to 2014 Plan, as discussed below, and the 2008 Plan was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Plan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2014 Equity Incentive Award Plan (2014 Plan) became effective on June 18, 2014. Under the 2014 Plan, 1.4 million shares of common stock were initially reserved for issuance pursuant to a variety of stock-based compensation awards, including stock options, stock appreciation rights (SARs), restricted stock awards, service-based restricted stock unit (RSU) awards, performance-based restricted stock unit (PRSU) awards, deferred stock awards, deferred stock unit awards, dividend equivalent awards, stock payment awards and performance awards. In addition, 35 thousand shares that had been available for future awards under the 2008 Plan as of June 18, 2014, were added to the initial reserve available under the 2014 Plan, bringing the total reserve upon the effective date of the 2014 Plan to 1.5 million shares. The number of shares initially reserved for issuance or transfer pursuant to awards under the 2014 Plan will be increased by (i) the number of shares represented by awards outstanding under 2008 Plan on June 18, 2014, that are either forfeited or lapse unexercised or that are repurchased for the original purchase price thereof, up to a maximum of 1.2 million shares, and (ii) if approved by the administrator of the 2014 Plan, an annual increase on the first day of each fiscal year ending in 2024 equal to the lesser of (A) four percent (4.0%) of the shares of stock outstanding (on an as converted basis) on the last day of the immediately preceding fiscal year and (B) such smaller number of shares of stock as determined by our board of directors; provided, however, that no more than 10.7 million shares of stock may be issued upon the exercise of incentive stock options. As of December 31, 2023, approximately 2.5 million shares of our common stock were available for future issuance under the 2014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2016, our board of directors approved the 2016 Employment Commencement Incentive Plan (Inducement Plan) under which 1.0 million shares were reserved. In January 2021, January 2022, December 2022 and January 2024, 0.5 million, 2.0 million, 3.0 million and 5.8 million shares, respectively, were added to the Inducement Plan. As of December 31, 2023, 6.0 million shares of our common stock were subject to inducement grants that were issued pursuant to the Inducement Plan. As of December 31, 2023, approximately 0.9 million shares of our common stock were available for future issuance under the 2016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our stock option activity and related information during the year ended December 31, 2023 is as follows (in thousands, except per share dollar amounts and years):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Options Issued and Outstanding</w:t>
            </w: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100" w:type="dxa"/>
            <w:vAlign w:val="bottom"/>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1"/>
                <w:szCs w:val="11"/>
                <w:color w:val="auto"/>
              </w:rPr>
            </w:pPr>
          </w:p>
        </w:tc>
        <w:tc>
          <w:tcPr>
            <w:tcW w:w="1000" w:type="dxa"/>
            <w:vAlign w:val="bottom"/>
            <w:vMerge w:val="restart"/>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21"/>
        </w:trPr>
        <w:tc>
          <w:tcPr>
            <w:tcW w:w="45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100" w:type="dxa"/>
            <w:vAlign w:val="bottom"/>
          </w:tcPr>
          <w:p>
            <w:pPr>
              <w:spacing w:after="0"/>
              <w:rPr>
                <w:sz w:val="10"/>
                <w:szCs w:val="10"/>
                <w:color w:val="auto"/>
              </w:rPr>
            </w:pPr>
          </w:p>
        </w:tc>
        <w:tc>
          <w:tcPr>
            <w:tcW w:w="14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Contractual Term</w:t>
            </w: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0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14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8"/>
              </w:rPr>
              <w:t>Intrinsic Value</w:t>
            </w:r>
          </w:p>
        </w:tc>
        <w:tc>
          <w:tcPr>
            <w:tcW w:w="0" w:type="dxa"/>
            <w:vAlign w:val="bottom"/>
          </w:tcPr>
          <w:p>
            <w:pPr>
              <w:spacing w:after="0"/>
              <w:rPr>
                <w:sz w:val="1"/>
                <w:szCs w:val="1"/>
                <w:color w:val="auto"/>
              </w:rPr>
            </w:pPr>
          </w:p>
        </w:tc>
      </w:tr>
      <w:tr>
        <w:trPr>
          <w:trHeight w:val="230"/>
        </w:trPr>
        <w:tc>
          <w:tcPr>
            <w:tcW w:w="4560" w:type="dxa"/>
            <w:vAlign w:val="bottom"/>
            <w:tcBorders>
              <w:top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jc w:val="center"/>
              <w:ind w:right="197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58,606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28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22,168</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w:t>
            </w:r>
          </w:p>
        </w:tc>
        <w:tc>
          <w:tcPr>
            <w:tcW w:w="14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
              <w:spacing w:after="0" w:line="203" w:lineRule="exact"/>
              <w:rPr>
                <w:sz w:val="20"/>
                <w:szCs w:val="20"/>
                <w:color w:val="auto"/>
              </w:rPr>
            </w:pPr>
            <w:r>
              <w:rPr>
                <w:rFonts w:ascii="Times New Roman" w:cs="Times New Roman" w:eastAsia="Times New Roman" w:hAnsi="Times New Roman"/>
                <w:sz w:val="18"/>
                <w:szCs w:val="18"/>
                <w:color w:val="auto"/>
              </w:rPr>
              <w:t>58,606</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60" w:type="dxa"/>
            <w:vAlign w:val="bottom"/>
            <w:tcBorders>
              <w:bottom w:val="single" w:sz="8" w:color="CCEEFF"/>
            </w:tcBorders>
            <w:shd w:val="clear" w:color="auto" w:fill="CCEEFF"/>
          </w:tcPr>
          <w:p>
            <w:pPr>
              <w:jc w:val="center"/>
              <w:ind w:right="195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25,116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5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total pre-tax value (i.e., the difference between our stock price and the exercise price) of stock options outstanding as of December 31, 2023, based on our common stock closing price of $6.20 per share, which would have been received by the option holders if all their in-the-money options had been exercised as of that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2023, 2022 and 2021, was $1.1 million, $30 thousand, and $1.7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grant-date estimated fair value of options granted during the years ended December 31, 2023, 2022 and 2021 was $2.36, $0.63 and $3.92 per share, respectively. The estimated grant date fair value of employee stock options was calculated using the Black-Scholes option-pricing model, based on the following weighted-average assumptions:</w:t>
      </w:r>
    </w:p>
    <w:p>
      <w:pPr>
        <w:spacing w:after="0" w:line="8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97.6 %</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—We have limited historical information to develop reasonable expectations about future exercise patterns and post-vesting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behavior for its stock-option grants. As such, the expected term was initially estimated using the simplified method whereby the expected term equals the arithmetic average of the vesting term and the original contractual term of the option. Beginning in 2021, we estimate the expected term of our options based upon historical exercises and post-vesting termination behavior, which has not resulted in a material difference as compared to using the simplified method.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—Since January 1, 2017, we use the historic volatility of our own stock over the retrospective period corresponding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term of the options, or the period since our shares were first quoted on The Nasdaq Global Market, if that is shorter, to compute our expected stock price volatility.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assumption is based on the zero-coupon U.S. treasury instruments on the date of grant with a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consistent with the expected term of our stock option grants.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—To date, we have not declared or paid any cash dividends and do not have any plans to do so in the future. Therefore, we use an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yield of zero.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our RSUs activity and related information for the year ended December 31, 2023 is as follows (in thousands, except per share dollar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4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7"/>
        </w:trPr>
        <w:tc>
          <w:tcPr>
            <w:tcW w:w="826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estimated fair value of RSUs vested during the years ended December 31, 2023, 2022 and 2021 was $3.5 million, $2.6 million and $0.8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we issued approximately 0.1 million, 0.7 million and 26 thousand shares, respectively, of common stock to members of the board of directors who elected to receive stock in lieu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their cash fees under our Non-Employee Director Compensation Program. The shares issued during the years ended December 31, 2023, 2022 and 2021 were valued at $0.3 million, $0.4 million and $0.2 million for each year, respectively, based on the fair value of the common stock on the date of grant.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the 2014 Employee Stock Purchase Plan (ESPP) and initially reserved approximately 0.2 million shares of common stock as of its effective date of June 18, 2014. If approved by the administrator of the ESPP, on the first day of each calendar year, ending in 2024, the number of shares in the reserve will increase by an amount equal to the lesser of (i) one percent (1.0%) of the shares of common stock outstanding on the last day of the immediately preceding fiscal year and (ii) such number of shares of common stock as determined by the board of directors; provided, however, no more than 2.2 million shares of our common stock may be issued under the ESPP.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we issued approximately 436 thousand, 308 thousand and 387 thousand shares, respectively, at an average share price of $1.85, $0.63 and $2.12, respectively, pursuant to the ESPP. As of December 31, 2023, approximately 1.1 million shares of our common stock were available for future issuance under the ESPP.</w:t>
      </w:r>
    </w:p>
    <w:p>
      <w:pPr>
        <w:spacing w:after="0" w:line="17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illustrates the weighted-average assumptions for the Black-Scholes option-pricing model used in determining the fair value of ESPP purchase rights granted to our employees:</w:t>
      </w: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4"/>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gridSpan w:val="3"/>
          </w:tcPr>
          <w:p>
            <w:pPr>
              <w:jc w:val="right"/>
              <w:ind w:right="10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stock options, RSUs, and our ESPP are recorded as operating expenses in our statements of operations and comprehensive loss,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4,116</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our total unrecognized stock-based compensation expense, net of estimated forfeitures, as of December 31, 2023 is as follows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40" w:type="dxa"/>
            <w:vAlign w:val="bottom"/>
            <w:gridSpan w:val="3"/>
          </w:tcPr>
          <w:p>
            <w:pPr>
              <w:ind w:left="1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Unrecognized Compensation Expense</w:t>
            </w:r>
          </w:p>
        </w:tc>
        <w:tc>
          <w:tcPr>
            <w:tcW w:w="25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 Remaining Vesting Period</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2"/>
            <w:vMerge w:val="continue"/>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29"/>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 grants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2.75</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RSU grants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ESPP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we implemented restructuring plans in August and October following the receipt of a Complete Response Letter (CRL) from the U.S. FDA relating to our NDA for XPHOZAH and following the conclusion of an End of Review Type A meeting with the U.S. FDA, respectively. Both restructuring plans were substantially completed in December 2021 and most of the cash payments related to the reduction in workforce were disbursed prior to December 31, 2021.</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restructuring, we incurred restructuring charges of $6.2 million, which were recorded during the year ended December 31, 2021, related to one-time termination notice and severance payments and other employee-related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incur any significant contract termination costs pursuant to restructuring. Of the charges, $2.7 million was recorded in research and development expenses, and $3.5 million was recorded in selling, general and administrative expense in the accompanying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PROPERTY AND EQUIPMENT, NET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8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r>
      <w:tr>
        <w:trPr>
          <w:trHeight w:val="223"/>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23"/>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depreciation expense in the amount of $0.6 million, $0.7 million, and $1.4 million for the years ended December 31, 2023, 2022 and 2021,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following the elimination of our internal research organization in the fourth quarter of 2021, we sold laboratory equipment with total net carrying value of $0.5 million and received cash proceeds of $1.8 million, resulting in a gain of $1.3 million which has been reported within other income, net on our statement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ACCRUED EXPENSES AND OTHER CURRENT LIABILITIES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8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payments due to AstraZeneca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gross to net revenue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marketing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services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for exit fees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non-clinical research and development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3"/>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provision for income taxes for the years ended December 31, 2023, 2022 and 2021,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w:t>
            </w:r>
          </w:p>
        </w:tc>
        <w:tc>
          <w:tcPr>
            <w:tcW w:w="9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our effective tax rate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at the federal statutory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disallowed under IRC Sec 162(m)</w:t>
            </w: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carrying amounts of assets and liabilities for financial reporting purposes and the amounts used for income tax purposes. Significant components of our deferred tax assets are as follows as of December 31, 2023 and 2022 (in thousands):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8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64,111</w:t>
            </w: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86,547</w:t>
            </w: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14,411</w:t>
            </w: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royalty obligation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(175,670)</w:t>
            </w: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Realization of deferred tax assets is dependent on future taxable income, if any, the timing and the amount of which are uncertain. We assess the available positive and negative evidence to estimate whether sufficient future taxable income will be generated to permit use of the existing deferred tax assets. A significant component of objective negative evidence evaluated was our cumulative loss incurred over the three-year period ended December 31, 2023. Such objective evidence limits the ability to consider other subjective evidence, such as our projections for future growth. On the basis of this evaluation, as of December 31, 2023, 2022 and 2021, a full valuation allowance has been recorded against our net deferred tax asset. The valuation allowance increased by $20.5 million in 2023 primarily due to increases in net operating losses.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net operating loss carryforwards for federal income tax purposes of approximately $479.0 million, of which approximately $328.8 million can be carried forward indefinitely and the remaining net operating losses expire beginning in 2030, if not utilized. Federal research and development tax credit carryforwards of approximately $17.8 million that expire beginning in 2027, if not utilized, and foreign tax credit carryforwards of approximately $1.7 million that begin to expire in 2027, if not utilized.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we had net operating loss carryforwards for California income tax purposes of approximately $92.9 million that expire beginning of 2030, if not utilized, and state research and development tax credit carryforwards of approximately $8.9 million which can be carried forward indefinitely. We had approximately $0.1 million of minimum tax credit carryovers for California income tax purposes. The minimum tax credits have no expiration date. We had other state net operating losses of approximately $50.5 million that begin to expire in 2031.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utilization of net operating loss and tax credit carryforwards and credits may be subject to an annual limitation, pursuant to Internal Revenue Code Sections 382 and 383, as a result of ownership changes that may have occurred previously or that could occur in the future. Due to the existence of the valuation allowance, limitations under Section 382 and 383 will not impact our effective tax rate.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Tax Cuts and Jobs Act of 2017, research and development costs are no longer fully deductible and are required to be capitalized and amortized for U.S. tax purposes effective January 1, 2022. The mandatory capitalization requirement did not have a material impact on our deferred tax assets and did not result in a cash tax liability as we have historically elected to capitalized research and development expenses for tax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prior year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Subtractions based on tax positions related to prior year</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None of our unrecognized tax benefits would impact the effective tax rate if recognized, because the benefit would be offset by an increase in the valuation allowance.</w:t>
      </w:r>
    </w:p>
    <w:p>
      <w:pPr>
        <w:spacing w:after="0" w:line="180"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We have elected to include interest and penalties as a component of tax expense. During the years ended December 31, 2023, 2022 and 2021, we did not recognize accrued interest and penalties related to unrecognized tax benefits. Although the timing and outcome of an income tax audit is highly uncertain, we do not anticipate that the amount of existing unrecognized tax benefits will significantly change during the next 12 months.</w:t>
      </w:r>
    </w:p>
    <w:p>
      <w:pPr>
        <w:spacing w:after="0" w:line="176"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We file a U.S. federal income tax return and income tax returns in various state and local jurisdictions. Due to our net operating loss and tax credit carryforwards, the income tax returns remain open to U.S. federal and state tax examinations. We are not currently under examination in any tax jurisdiction.</w:t>
      </w:r>
    </w:p>
    <w:p>
      <w:pPr>
        <w:spacing w:after="0" w:line="172"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GEOGRAPHIC INFORMATION AND CONCENTRATIONS</w:t>
      </w:r>
    </w:p>
    <w:p>
      <w:pPr>
        <w:spacing w:after="0" w:line="229"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Revenues are attributed to geographical areas based on the location at which we earned revenue for product sales of IBSRELA and XPHOZAH or the domicile of our collaboration partners. A summary of our revenue by geographic areas for the years ended December 31, 2023, 2022 and 2021, is as follows (in thousands):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 (2)</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North America (3)</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7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420" w:hanging="332"/>
        <w:spacing w:after="0" w:line="261" w:lineRule="auto"/>
        <w:tabs>
          <w:tab w:leader="none" w:pos="4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the United States are primarily comprised of amounts earned from sales of IBSRELA and XPHOZAH, as well as the upfront license fee from the METiS Agreement.</w:t>
      </w:r>
    </w:p>
    <w:p>
      <w:pPr>
        <w:ind w:left="420" w:hanging="332"/>
        <w:spacing w:after="0" w:line="250" w:lineRule="auto"/>
        <w:tabs>
          <w:tab w:leader="none" w:pos="4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Asia Pacific are primarily comprised of amounts earned in accordance with the 2017 Kyowa Kirin Agreement, the 2019 Kyowa Kirin Agreement and the Fosun Agreement.</w:t>
      </w:r>
    </w:p>
    <w:p>
      <w:pPr>
        <w:ind w:left="400" w:hanging="312"/>
        <w:spacing w:after="0"/>
        <w:tabs>
          <w:tab w:leader="none" w:pos="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North America are comprised of amounts earned from Canada in accordance with the Knight Agreement.</w:t>
      </w:r>
    </w:p>
    <w:p>
      <w:pPr>
        <w:spacing w:after="0" w:line="207"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Revenues from Customers and collaboration partnerships accounting for more than 10% of total revenues during the years ended December 31, 2023, 2022 and 2021 were as follows:</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10" w:name="page111"/>
    <w:bookmarkEnd w:id="110"/>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3420" w:type="dxa"/>
            <w:vAlign w:val="bottom"/>
            <w:tcBorders>
              <w:bottom w:val="single" w:sz="8" w:color="auto"/>
            </w:tcBorders>
            <w:gridSpan w:val="5"/>
          </w:tcPr>
          <w:p>
            <w:pPr>
              <w:ind w:left="1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Kyowa Kirin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Bioridge Phama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AmerisourceBergen Drug Corporation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8"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2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years ended December 31, 2023, 2022 and 2021, all potential common shares were determined to be anti-dilutive.</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common share (in thousands, except per share dollar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219,331</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158,690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104,206</w:t>
            </w:r>
          </w:p>
        </w:tc>
      </w:tr>
      <w:tr>
        <w:trPr>
          <w:trHeight w:val="289"/>
        </w:trPr>
        <w:tc>
          <w:tcPr>
            <w:tcW w:w="7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the total numbers of securities that could potentially dilute net income per share in the future that were not considered in the diluted net loss per share calculations because the effect would have been anti-dilutive were as follows (in thousands):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 issuable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r>
      <w:tr>
        <w:trPr>
          <w:trHeight w:val="20"/>
        </w:trPr>
        <w:tc>
          <w:tcPr>
            <w:tcW w:w="7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The number of potential common shares that would have been included in diluted income per share had it not been for the anti-dilutive effect caused by the net loss, computed by converting these securities using the treasury stock method during the years ended December 31, 2023, 2022 and 2021, was approximately 6.3 million, 0.6 million and 1.1 million, respectively.</w:t>
      </w:r>
    </w:p>
    <w:p>
      <w:pPr>
        <w:spacing w:after="0" w:line="172" w:lineRule="exact"/>
        <w:rPr>
          <w:sz w:val="20"/>
          <w:szCs w:val="20"/>
          <w:color w:val="auto"/>
        </w:rPr>
      </w:pPr>
    </w:p>
    <w:p>
      <w:pPr>
        <w:ind w:left="80"/>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We indemnify each of our officers and directors for certain events or occurrences, subject to certain limits, while the officer or director is or was serving at our request in such capacity, as permitted under Delaware law and in accordance with our certificate of incorporation and bylaws. The term of the indemnification period lasts as long as an officer or director may be subject to any proceeding arising out of acts or omissions of such officer or director in such capacity.</w:t>
      </w:r>
    </w:p>
    <w:p>
      <w:pPr>
        <w:spacing w:after="0" w:line="180"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maximum amount of potential future indemnification is unlimited; however, we currently hold director and officer liability insurance, which allows the transfer of risk associated with our exposure and may enable us to recover a portion of any</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amounts paid. We believe that the fair value of these indemnification obligations is minimal. Accordingly, we have not recognized any liabilities relating to these obligations for any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Claims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 w:cs="Times New Roman" w:eastAsia="Times New Roman" w:hAnsi="Times New Roman"/>
          <w:sz w:val="18"/>
          <w:szCs w:val="18"/>
          <w:i w:val="1"/>
          <w:iCs w:val="1"/>
          <w:color w:val="auto"/>
        </w:rPr>
        <w:t>Strezsak v. Ardelyx, Inc., et al.</w:t>
      </w:r>
      <w:r>
        <w:rPr>
          <w:rFonts w:ascii="Times New Roman" w:cs="Times New Roman" w:eastAsia="Times New Roman" w:hAnsi="Times New Roman"/>
          <w:sz w:val="18"/>
          <w:szCs w:val="18"/>
          <w:color w:val="auto"/>
        </w:rPr>
        <w:t xml:space="preserve">, Case No. 4:21-cv-05868-HSG, and </w:t>
      </w:r>
      <w:r>
        <w:rPr>
          <w:rFonts w:ascii="Times New Roman" w:cs="Times New Roman" w:eastAsia="Times New Roman" w:hAnsi="Times New Roman"/>
          <w:sz w:val="18"/>
          <w:szCs w:val="18"/>
          <w:i w:val="1"/>
          <w:iCs w:val="1"/>
          <w:color w:val="auto"/>
        </w:rPr>
        <w:t>Siegel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Ardelyx, Inc., et al.</w:t>
      </w:r>
      <w:r>
        <w:rPr>
          <w:rFonts w:ascii="Times New Roman" w:cs="Times New Roman" w:eastAsia="Times New Roman" w:hAnsi="Times New Roman"/>
          <w:sz w:val="18"/>
          <w:szCs w:val="18"/>
          <w:color w:val="auto"/>
        </w:rPr>
        <w:t>, Case No. 5:21-cv-06228-HSG (together, the Securities Class Actions). The complaints allege that the defendants violated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an amended complaint on September 29, 2022. Defendants filed a motion to dismiss the amended complaint on December 2, 2022. In January and February 2023, in lieu of filing a response to defendant’s motion to dismiss, plaintiffs filed a motion seeking leave to further amend their complaint and defendants filed an opposition to the motion for leave to further amend the complaint. On April 6, 2023, the court granted plaintiff’s motion for leave to further amend the complaint. With the second amended complaint, the plaintiffs seek to represent all persons who purchased or otherwise acquired Ardelyx securities between March 6, 2020 and July 19, 2021. Defendants filed a motion to dismiss the amended complaint on June 2, 2023. On August 22, 2023, the court cancelled the hearing scheduled for September 14, 2023 on the motion to dismiss the amended complaint and indicated its decisions to instead rule on the filed briefs. We believe the plaintiff’s claims are without merit and we have not recorded any accrual for a contingent liability associated with these legal proceedings.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w:t>
      </w:r>
      <w:r>
        <w:rPr>
          <w:rFonts w:ascii="Times New Roman" w:cs="Times New Roman" w:eastAsia="Times New Roman" w:hAnsi="Times New Roman"/>
          <w:sz w:val="18"/>
          <w:szCs w:val="18"/>
          <w:i w:val="1"/>
          <w:iCs w:val="1"/>
          <w:color w:val="auto"/>
        </w:rPr>
        <w:t>Go v. Raab</w:t>
      </w:r>
      <w:r>
        <w:rPr>
          <w:rFonts w:ascii="Times New Roman" w:cs="Times New Roman" w:eastAsia="Times New Roman" w:hAnsi="Times New Roman"/>
          <w:sz w:val="18"/>
          <w:szCs w:val="18"/>
          <w:color w:val="auto"/>
        </w:rPr>
        <w:t xml:space="preserve">, et al., Case No. 4:21-cv-09455-HSG, and </w:t>
      </w:r>
      <w:r>
        <w:rPr>
          <w:rFonts w:ascii="Times New Roman" w:cs="Times New Roman" w:eastAsia="Times New Roman" w:hAnsi="Times New Roman"/>
          <w:sz w:val="18"/>
          <w:szCs w:val="18"/>
          <w:i w:val="1"/>
          <w:iCs w:val="1"/>
          <w:color w:val="auto"/>
        </w:rPr>
        <w:t>Morris v. Raab</w:t>
      </w:r>
      <w:r>
        <w:rPr>
          <w:rFonts w:ascii="Times New Roman" w:cs="Times New Roman" w:eastAsia="Times New Roman" w:hAnsi="Times New Roman"/>
          <w:sz w:val="18"/>
          <w:szCs w:val="18"/>
          <w:color w:val="auto"/>
        </w:rPr>
        <w:t>,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December 31, 2023, there is no litigation pending that would reasonably be expected to have a material adverse effect on our results of operations and financial condition, and no contingent liabilities were accrued as of December 31, 2023.</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Conclusions Regarding the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management, with the participation of our Chief Executive Officer (CEO) and Chief Financial and Operations Officer (CFOO),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CEO and the CFOO, to allow timely decisions regarding required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relationship of possible controls and procedures. Based on this evaluation, our CEO and CFOO concluded that, as of December 31, 2023, the design and operation of our disclosure controls and procedures were effective at a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our CEO and CFOO,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0" w:lineRule="exact"/>
        <w:rPr>
          <w:sz w:val="20"/>
          <w:szCs w:val="20"/>
          <w:color w:val="auto"/>
        </w:rPr>
      </w:pPr>
    </w:p>
    <w:p>
      <w:pPr>
        <w:ind w:left="340" w:right="20" w:hanging="332"/>
        <w:spacing w:after="0" w:line="282" w:lineRule="auto"/>
        <w:tabs>
          <w:tab w:leader="none" w:pos="3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Pertain to the maintenance of records that accurately and fairly reflect in reasonable detail the transactions and dispositions of the assets of our company;</w:t>
      </w:r>
    </w:p>
    <w:p>
      <w:pPr>
        <w:spacing w:after="0" w:line="16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assurances regarding prevention or timely detection of unauthorized acquisition, use or disposition of our assets that could have a material adverse effect on our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our internal control over financial reporting as of December 31, 2023, the end of the period covered by this Annual Report on Form 10-K. Management based its assessment on criteria established in “Internal Control—Integrated Framework (2013)” issued by the Committee of Sponsoring Organizations of the Treadway Commission. Based on management’s assessment of our internal control over financial reporting, management concluded that, as of December 31, 2023, our internal 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audited our Financial Statements included in Item 8 of this Annual Report on Form 10-K and have issued a report on our internal control over financial reporting as of December 31, 2023. Their report on the audit of internal control over financial reporting appears below.</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Ardelyx,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Ardelyx, Inc.’s internal control over financial reporting as of December 31, 2023, based on criteria established in Internal Control— Integrated Framework issued by the Committee of Sponsoring Organizations of the Treadway Commission (2013 framework) (the COSO criteria). In our opinion, Ardelyx, Inc. (the Company) maintained, in all material respects, effective internal control over financial reporting as of December 31, 2023,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of Ardelyx, Inc. as of December 31, 2023 and 2022, the related statements of operations and comprehensive loss, stockholders’ equity, and cash flows for each of the three years in the period ended December 31, 2023, and the related notes, and our report dated February 22, 2024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our Section 16 officers and directors adopted or terminated contracts, instructions or written plans for the purchase or sale of our securities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1954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195453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72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98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10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Arrangement</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2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20" w:type="dxa"/>
            <w:vAlign w:val="bottom"/>
            <w:tcBorders>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Name and Title of Director or</w:t>
            </w:r>
          </w:p>
        </w:tc>
        <w:tc>
          <w:tcPr>
            <w:tcW w:w="9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Action</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104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Non-Rule</w:t>
            </w:r>
          </w:p>
        </w:tc>
        <w:tc>
          <w:tcPr>
            <w:tcW w:w="14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7"/>
              </w:rPr>
              <w:t>Available to be</w:t>
            </w:r>
          </w:p>
        </w:tc>
        <w:tc>
          <w:tcPr>
            <w:tcW w:w="2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960" w:type="dxa"/>
            <w:vAlign w:val="bottom"/>
            <w:tcBorders>
              <w:bottom w:val="single" w:sz="8" w:color="auto"/>
              <w:right w:val="single" w:sz="8" w:color="auto"/>
            </w:tcBorders>
            <w:vMerge w:val="continue"/>
          </w:tcPr>
          <w:p>
            <w:pPr>
              <w:spacing w:after="0"/>
              <w:rPr>
                <w:sz w:val="19"/>
                <w:szCs w:val="19"/>
                <w:color w:val="auto"/>
              </w:rPr>
            </w:pPr>
          </w:p>
        </w:tc>
        <w:tc>
          <w:tcPr>
            <w:tcW w:w="1980" w:type="dxa"/>
            <w:vAlign w:val="bottom"/>
            <w:tcBorders>
              <w:bottom w:val="single" w:sz="8" w:color="auto"/>
              <w:right w:val="single" w:sz="8" w:color="auto"/>
            </w:tcBorders>
            <w:vMerge w:val="continue"/>
          </w:tcPr>
          <w:p>
            <w:pPr>
              <w:spacing w:after="0"/>
              <w:rPr>
                <w:sz w:val="19"/>
                <w:szCs w:val="19"/>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2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7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Michael Raab, President and Chief</w:t>
            </w:r>
          </w:p>
        </w:tc>
        <w:tc>
          <w:tcPr>
            <w:tcW w:w="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13, 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331,300</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January 6, 2025</w:t>
            </w:r>
          </w:p>
        </w:tc>
        <w:tc>
          <w:tcPr>
            <w:tcW w:w="0" w:type="dxa"/>
            <w:vAlign w:val="bottom"/>
          </w:tcPr>
          <w:p>
            <w:pPr>
              <w:spacing w:after="0"/>
              <w:rPr>
                <w:sz w:val="1"/>
                <w:szCs w:val="1"/>
                <w:color w:val="auto"/>
              </w:rPr>
            </w:pPr>
          </w:p>
        </w:tc>
      </w:tr>
      <w:tr>
        <w:trPr>
          <w:trHeight w:val="178"/>
        </w:trPr>
        <w:tc>
          <w:tcPr>
            <w:tcW w:w="27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Elizabeth Grammer, Chief Legal</w:t>
            </w:r>
          </w:p>
        </w:tc>
        <w:tc>
          <w:tcPr>
            <w:tcW w:w="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20, 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July 16, 2024</w:t>
            </w:r>
          </w:p>
        </w:tc>
        <w:tc>
          <w:tcPr>
            <w:tcW w:w="0" w:type="dxa"/>
            <w:vAlign w:val="bottom"/>
          </w:tcPr>
          <w:p>
            <w:pPr>
              <w:spacing w:after="0"/>
              <w:rPr>
                <w:sz w:val="1"/>
                <w:szCs w:val="1"/>
                <w:color w:val="auto"/>
              </w:rPr>
            </w:pPr>
          </w:p>
        </w:tc>
      </w:tr>
      <w:tr>
        <w:trPr>
          <w:trHeight w:val="178"/>
        </w:trPr>
        <w:tc>
          <w:tcPr>
            <w:tcW w:w="27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Robert Blanks, Chief Regulatory</w:t>
            </w:r>
          </w:p>
        </w:tc>
        <w:tc>
          <w:tcPr>
            <w:tcW w:w="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21, 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21, 2024</w:t>
            </w:r>
          </w:p>
        </w:tc>
        <w:tc>
          <w:tcPr>
            <w:tcW w:w="0" w:type="dxa"/>
            <w:vAlign w:val="bottom"/>
          </w:tcPr>
          <w:p>
            <w:pPr>
              <w:spacing w:after="0"/>
              <w:rPr>
                <w:sz w:val="1"/>
                <w:szCs w:val="1"/>
                <w:color w:val="auto"/>
              </w:rPr>
            </w:pPr>
          </w:p>
        </w:tc>
      </w:tr>
      <w:tr>
        <w:trPr>
          <w:trHeight w:val="178"/>
        </w:trPr>
        <w:tc>
          <w:tcPr>
            <w:tcW w:w="272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Laura Williams, Chief Medical</w:t>
            </w:r>
          </w:p>
        </w:tc>
        <w:tc>
          <w:tcPr>
            <w:tcW w:w="96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Adoption</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27, 2023</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27, 2024</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*Intended to satisfy the affirmative defense conditions of Rule 10b5-1(c)</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Not intended to satisfy the affirmative defense conditions of Rule 10b5-1(c)</w:t>
      </w:r>
    </w:p>
    <w:p>
      <w:pPr>
        <w:spacing w:after="0" w:line="2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2024 Annual Meeting of Stockholders (Proxy Statement), which will be filed not later than 120 days after the end of our fiscal year ended December 31, 2023, under the headings “Executive Officers,” “Election of Directors,” “Corporate Governance,” and “ Section 16(a) Beneficial Ownership Reporting Compliance,” and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www.ardelyx.com. The Code of Business Conduct and Ethics is intended to qualify as a “code of ethics” within the meaning of Section 406 of the Sarbanes-Oxley Act of 2002 and Item 406 of Regulation S-K. If we make any amendment to, or waiver from, a provision of our Code of Conduct that we are required to disclose under SEC rules, we intend to satisfy that disclosure requirement by posting such information to our website at www.ardelyx.com. The contents of our websites are not intended to be incorporated by reference into this Form 10-K or in any other report or document we file with the SEC, and any references to our websites are intended to be inactive textual references only.</w:t>
      </w:r>
    </w:p>
    <w:p>
      <w:pPr>
        <w:spacing w:after="0" w:line="18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in our Proxy Statement.</w:t>
      </w:r>
    </w:p>
    <w:p>
      <w:pPr>
        <w:spacing w:after="0" w:line="158" w:lineRule="exact"/>
        <w:rPr>
          <w:sz w:val="20"/>
          <w:szCs w:val="20"/>
          <w:color w:val="auto"/>
        </w:rPr>
      </w:pPr>
    </w:p>
    <w:p>
      <w:pPr>
        <w:jc w:val="both"/>
        <w:ind w:left="82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incorporated by reference to the information set forth in the section titled “Security Ownership of Certain Beneficial Owners and Management” and “Equity Compensation Plan Information” in our Proxy Statement.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“Election of Directors”, respectively, in our Proxy Statement.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Financial Statements at Item 8 herein.</w:t>
      </w:r>
    </w:p>
    <w:p>
      <w:pPr>
        <w:spacing w:after="0" w:line="22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the Exhibit Index immediately following this page.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Index [IN PROCESS]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49"/>
        </w:trPr>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80" w:type="dxa"/>
            <w:vAlign w:val="bottom"/>
            <w:gridSpan w:val="19"/>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gridSpan w:val="19"/>
            <w:vMerge w:val="continue"/>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Amended and Restated Certificate of Incorporation</w:t>
              </w:r>
            </w:hyperlink>
          </w:p>
        </w:tc>
        <w:tc>
          <w:tcPr>
            <w:tcW w:w="2240" w:type="dxa"/>
            <w:vAlign w:val="bottom"/>
            <w:gridSpan w:val="13"/>
          </w:tcPr>
          <w:p>
            <w:pPr>
              <w:spacing w:after="0"/>
              <w:rPr>
                <w:sz w:val="17"/>
                <w:szCs w:val="17"/>
                <w:color w:val="auto"/>
              </w:rPr>
            </w:pPr>
          </w:p>
        </w:tc>
        <w:tc>
          <w:tcPr>
            <w:tcW w:w="7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6/24/2014</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Certificate of Amendment to Amended and Restated Certificate of</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6/20/2023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59">
              <w:r>
                <w:rPr>
                  <w:rFonts w:ascii="Times New Roman" w:cs="Times New Roman" w:eastAsia="Times New Roman" w:hAnsi="Times New Roman"/>
                  <w:sz w:val="18"/>
                  <w:szCs w:val="18"/>
                  <w:color w:val="0000FF"/>
                  <w:w w:val="97"/>
                </w:rPr>
                <w:t>Incorporation</w:t>
              </w:r>
            </w:hyperlink>
          </w:p>
        </w:tc>
        <w:tc>
          <w:tcPr>
            <w:tcW w:w="3800" w:type="dxa"/>
            <w:vAlign w:val="bottom"/>
            <w:tcBorders>
              <w:top w:val="single" w:sz="8" w:color="0000FF"/>
            </w:tcBorders>
            <w:gridSpan w:val="8"/>
          </w:tcPr>
          <w:p>
            <w:pPr>
              <w:spacing w:after="0"/>
              <w:rPr>
                <w:sz w:val="17"/>
                <w:szCs w:val="17"/>
                <w:color w:val="auto"/>
              </w:rPr>
            </w:pPr>
          </w:p>
        </w:tc>
        <w:tc>
          <w:tcPr>
            <w:tcW w:w="116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Amended and Restated Bylaws</w:t>
              </w:r>
            </w:hyperlink>
          </w:p>
        </w:tc>
        <w:tc>
          <w:tcPr>
            <w:tcW w:w="3680" w:type="dxa"/>
            <w:vAlign w:val="bottom"/>
            <w:gridSpan w:val="18"/>
          </w:tcPr>
          <w:p>
            <w:pPr>
              <w:spacing w:after="0"/>
              <w:rPr>
                <w:sz w:val="21"/>
                <w:szCs w:val="2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6/24/2014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29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Form of Common Stock Certificate</w:t>
              </w:r>
            </w:hyperlink>
          </w:p>
        </w:tc>
        <w:tc>
          <w:tcPr>
            <w:tcW w:w="3380" w:type="dxa"/>
            <w:vAlign w:val="bottom"/>
            <w:gridSpan w:val="17"/>
          </w:tcPr>
          <w:p>
            <w:pPr>
              <w:spacing w:after="0"/>
              <w:rPr>
                <w:sz w:val="19"/>
                <w:szCs w:val="19"/>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6/18/2014</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Description of the Registrant’s Securities Registered Pursuant to Section 12 of</w:t>
              </w:r>
            </w:hyperlink>
          </w:p>
        </w:tc>
        <w:tc>
          <w:tcPr>
            <w:tcW w:w="300" w:type="dxa"/>
            <w:vAlign w:val="bottom"/>
            <w:gridSpan w:val="6"/>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Securities Exchange Act of 1934</w:t>
              </w:r>
            </w:hyperlink>
          </w:p>
        </w:tc>
        <w:tc>
          <w:tcPr>
            <w:tcW w:w="326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10.1(a)</w:t>
            </w: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Termination Agreement, dated June 2, 2015, by and between AstraZeneca AB</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8/12/2015</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and Ardelyx, Inc.</w:t>
              </w:r>
            </w:hyperlink>
          </w:p>
        </w:tc>
        <w:tc>
          <w:tcPr>
            <w:tcW w:w="4360" w:type="dxa"/>
            <w:vAlign w:val="bottom"/>
            <w:tcBorders>
              <w:top w:val="single" w:sz="8" w:color="0000FF"/>
            </w:tcBorders>
            <w:gridSpan w:val="12"/>
          </w:tcPr>
          <w:p>
            <w:pPr>
              <w:spacing w:after="0"/>
              <w:rPr>
                <w:sz w:val="17"/>
                <w:szCs w:val="17"/>
                <w:color w:val="auto"/>
              </w:rPr>
            </w:pPr>
          </w:p>
        </w:tc>
        <w:tc>
          <w:tcPr>
            <w:tcW w:w="3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10.1(b)</w:t>
            </w: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Amendment No. 1 to Termination Agreement and to Manufacturing and Supply</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10.1(d)</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Agreement, dated November 2, 2015 by and between AstraZeneca AB and</w:t>
              </w:r>
            </w:hyperlink>
          </w:p>
        </w:tc>
        <w:tc>
          <w:tcPr>
            <w:tcW w:w="340" w:type="dxa"/>
            <w:vAlign w:val="bottom"/>
            <w:tcBorders>
              <w:top w:val="single" w:sz="8" w:color="0000FF"/>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Ardelyx, Inc.</w:t>
              </w:r>
            </w:hyperlink>
          </w:p>
        </w:tc>
        <w:tc>
          <w:tcPr>
            <w:tcW w:w="498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21"/>
                <w:szCs w:val="21"/>
                <w:color w:val="auto"/>
              </w:rPr>
            </w:pPr>
          </w:p>
        </w:tc>
        <w:tc>
          <w:tcPr>
            <w:tcW w:w="57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Lease, dated August 8, 2008, by and between 34175 Ardenwood Venture, LLC</w:t>
              </w:r>
            </w:hyperlink>
          </w:p>
        </w:tc>
        <w:tc>
          <w:tcPr>
            <w:tcW w:w="240" w:type="dxa"/>
            <w:vAlign w:val="bottom"/>
            <w:gridSpan w:val="4"/>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10.4(a)</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and Ardelyx, Inc.</w:t>
              </w:r>
            </w:hyperlink>
          </w:p>
        </w:tc>
        <w:tc>
          <w:tcPr>
            <w:tcW w:w="468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Lease, dated December 20, 2012, by and between 34175</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10.4(b)</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Ardenwood Venture, LLC and Ardelyx, Inc.</w:t>
              </w:r>
            </w:hyperlink>
          </w:p>
        </w:tc>
        <w:tc>
          <w:tcPr>
            <w:tcW w:w="3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10.2(c)</w:t>
            </w:r>
          </w:p>
        </w:tc>
        <w:tc>
          <w:tcPr>
            <w:tcW w:w="20" w:type="dxa"/>
            <w:vAlign w:val="bottom"/>
          </w:tcPr>
          <w:p>
            <w:pPr>
              <w:spacing w:after="0"/>
              <w:rPr>
                <w:sz w:val="21"/>
                <w:szCs w:val="21"/>
                <w:color w:val="auto"/>
              </w:rPr>
            </w:pPr>
          </w:p>
        </w:tc>
        <w:tc>
          <w:tcPr>
            <w:tcW w:w="52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Second Amendment to Lease, dated September 5, 2014, by and between</w:t>
              </w:r>
            </w:hyperlink>
          </w:p>
        </w:tc>
        <w:tc>
          <w:tcPr>
            <w:tcW w:w="720" w:type="dxa"/>
            <w:vAlign w:val="bottom"/>
            <w:gridSpan w:val="10"/>
          </w:tcPr>
          <w:p>
            <w:pPr>
              <w:spacing w:after="0"/>
              <w:rPr>
                <w:sz w:val="21"/>
                <w:szCs w:val="21"/>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gridSpan w:val="22"/>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Ardelyx, Inc. and 34175 Ardenwood Venture, LLC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6"/>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10.2(d)</w:t>
            </w: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Third Amendment to Lease, dated April 28, 2016, by and between Ardelyx, Inc.</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and 34175 Ardenwood Venture, LLC</w:t>
              </w:r>
            </w:hyperlink>
          </w:p>
        </w:tc>
        <w:tc>
          <w:tcPr>
            <w:tcW w:w="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Borders>
              <w:right w:val="single" w:sz="8" w:color="0000FF"/>
            </w:tcBorders>
            <w:gridSpan w:val="6"/>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10.2(e)</w:t>
            </w:r>
          </w:p>
        </w:tc>
        <w:tc>
          <w:tcPr>
            <w:tcW w:w="20" w:type="dxa"/>
            <w:vAlign w:val="bottom"/>
          </w:tcPr>
          <w:p>
            <w:pPr>
              <w:spacing w:after="0"/>
              <w:rPr>
                <w:sz w:val="21"/>
                <w:szCs w:val="21"/>
                <w:color w:val="auto"/>
              </w:rPr>
            </w:pPr>
          </w:p>
        </w:tc>
        <w:tc>
          <w:tcPr>
            <w:tcW w:w="48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Fourth Amendment to Lease, dated May 25, 2021, by and between</w:t>
              </w:r>
            </w:hyperlink>
          </w:p>
        </w:tc>
        <w:tc>
          <w:tcPr>
            <w:tcW w:w="1120" w:type="dxa"/>
            <w:vAlign w:val="bottom"/>
            <w:gridSpan w:val="11"/>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10.2(e)</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40" w:type="dxa"/>
            <w:vAlign w:val="bottom"/>
            <w:gridSpan w:val="22"/>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Ardelyx, Inc. and 34175 Ardenwood Venture, LLC</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8"/>
            <w:shd w:val="clear" w:color="auto" w:fill="0000FF"/>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10.2(f)</w:t>
            </w:r>
          </w:p>
        </w:tc>
        <w:tc>
          <w:tcPr>
            <w:tcW w:w="20" w:type="dxa"/>
            <w:vAlign w:val="bottom"/>
          </w:tcPr>
          <w:p>
            <w:pPr>
              <w:spacing w:after="0"/>
              <w:rPr>
                <w:sz w:val="21"/>
                <w:szCs w:val="21"/>
                <w:color w:val="auto"/>
              </w:rPr>
            </w:pPr>
          </w:p>
        </w:tc>
        <w:tc>
          <w:tcPr>
            <w:tcW w:w="5940" w:type="dxa"/>
            <w:vAlign w:val="bottom"/>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Fifth Amendment to Lease, dated May 25, 2021, by and between Ardelyx, Inc.</w:t>
              </w:r>
            </w:hyperlink>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6/1/2021</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tcBorders>
              <w:top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 34175 Ardenwood Venture, LLC</w:t>
              </w:r>
            </w:hyperlink>
          </w:p>
        </w:tc>
        <w:tc>
          <w:tcPr>
            <w:tcW w:w="2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66040</wp:posOffset>
            </wp:positionV>
            <wp:extent cx="7029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6419" w:lineRule="exact"/>
        <w:rPr>
          <w:sz w:val="20"/>
          <w:szCs w:val="20"/>
          <w:color w:val="auto"/>
        </w:rPr>
      </w:pPr>
    </w:p>
    <w:p>
      <w:pPr>
        <w:sectPr>
          <w:pgSz w:w="11900" w:h="16838" w:orient="portrait"/>
          <w:cols w:equalWidth="0" w:num="2">
            <w:col w:w="10020" w:space="300"/>
            <w:col w:w="92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710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6"/>
        </w:trPr>
        <w:tc>
          <w:tcPr>
            <w:tcW w:w="1160" w:type="dxa"/>
            <w:vAlign w:val="bottom"/>
            <w:tcBorders>
              <w:top w:val="single" w:sz="8" w:color="0000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49"/>
        </w:trPr>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78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80" w:type="dxa"/>
            <w:vAlign w:val="bottom"/>
            <w:gridSpan w:val="33"/>
            <w:vMerge w:val="continue"/>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Lease Agreement, dated December 30, 2020, by and between Ardelyx, Inc. and</w:t>
              </w:r>
            </w:hyperlink>
          </w:p>
        </w:tc>
        <w:tc>
          <w:tcPr>
            <w:tcW w:w="200" w:type="dxa"/>
            <w:vAlign w:val="bottom"/>
            <w:gridSpan w:val="4"/>
          </w:tcPr>
          <w:p>
            <w:pPr>
              <w:spacing w:after="0"/>
              <w:rPr>
                <w:sz w:val="17"/>
                <w:szCs w:val="17"/>
                <w:color w:val="auto"/>
              </w:rPr>
            </w:pPr>
          </w:p>
        </w:tc>
        <w:tc>
          <w:tcPr>
            <w:tcW w:w="7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3/8/2021</w:t>
            </w:r>
          </w:p>
        </w:tc>
        <w:tc>
          <w:tcPr>
            <w:tcW w:w="10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10.31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5"/>
              </w:rPr>
            </w:pPr>
            <w:hyperlink r:id="rId173">
              <w:r>
                <w:rPr>
                  <w:rFonts w:ascii="Times New Roman" w:cs="Times New Roman" w:eastAsia="Times New Roman" w:hAnsi="Times New Roman"/>
                  <w:sz w:val="18"/>
                  <w:szCs w:val="18"/>
                  <w:color w:val="0000FF"/>
                  <w:w w:val="95"/>
                </w:rPr>
                <w:t>Prospect Fifth Ave, LLC.</w:t>
              </w:r>
            </w:hyperlink>
          </w:p>
        </w:tc>
        <w:tc>
          <w:tcPr>
            <w:tcW w:w="4120" w:type="dxa"/>
            <w:vAlign w:val="bottom"/>
            <w:gridSpan w:val="3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10.4(a)#</w:t>
            </w: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Ardelyx, Inc. 2008 Stock Incentive Plan, as amended</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10.5(a)</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10.4(b)#</w:t>
            </w:r>
          </w:p>
        </w:tc>
        <w:tc>
          <w:tcPr>
            <w:tcW w:w="20" w:type="dxa"/>
            <w:vAlign w:val="bottom"/>
          </w:tcPr>
          <w:p>
            <w:pPr>
              <w:spacing w:after="0"/>
              <w:rPr>
                <w:sz w:val="21"/>
                <w:szCs w:val="21"/>
                <w:color w:val="auto"/>
              </w:rPr>
            </w:pPr>
          </w:p>
        </w:tc>
        <w:tc>
          <w:tcPr>
            <w:tcW w:w="5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Form of Stock Option Grant Notice and Stock Option Agreement under the</w:t>
              </w:r>
            </w:hyperlink>
          </w:p>
        </w:tc>
        <w:tc>
          <w:tcPr>
            <w:tcW w:w="480" w:type="dxa"/>
            <w:vAlign w:val="bottom"/>
            <w:gridSpan w:val="10"/>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10.5(b)</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7"/>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2008 Stock Incentive Plan, as amended</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10.4(c)#</w:t>
            </w: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Restricted Stock Purchase Grant Notice and Restricted Stock Purchase</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10.5(c)</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top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Agreement under the 2008 Stock Incentive Plan, as amended</w:t>
              </w:r>
            </w:hyperlink>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10.5(a)#</w:t>
            </w:r>
          </w:p>
        </w:tc>
        <w:tc>
          <w:tcPr>
            <w:tcW w:w="20" w:type="dxa"/>
            <w:vAlign w:val="bottom"/>
          </w:tcPr>
          <w:p>
            <w:pPr>
              <w:spacing w:after="0"/>
              <w:rPr>
                <w:sz w:val="21"/>
                <w:szCs w:val="21"/>
                <w:color w:val="auto"/>
              </w:rPr>
            </w:pPr>
          </w:p>
        </w:tc>
        <w:tc>
          <w:tcPr>
            <w:tcW w:w="348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8"/>
                <w:szCs w:val="18"/>
                <w:color w:val="0000FF"/>
                <w:w w:val="98"/>
              </w:rPr>
            </w:pPr>
            <w:hyperlink r:id="rId177">
              <w:r>
                <w:rPr>
                  <w:rFonts w:ascii="Times New Roman" w:cs="Times New Roman" w:eastAsia="Times New Roman" w:hAnsi="Times New Roman"/>
                  <w:sz w:val="18"/>
                  <w:szCs w:val="18"/>
                  <w:color w:val="0000FF"/>
                  <w:w w:val="98"/>
                </w:rPr>
                <w:t>Ardelyx, Inc. 2014 Equity Incentive Award Plan</w:t>
              </w:r>
            </w:hyperlink>
          </w:p>
        </w:tc>
        <w:tc>
          <w:tcPr>
            <w:tcW w:w="900" w:type="dxa"/>
            <w:vAlign w:val="bottom"/>
            <w:tcBorders>
              <w:top w:val="single" w:sz="8" w:color="0000FF"/>
            </w:tcBorders>
            <w:gridSpan w:val="7"/>
          </w:tcPr>
          <w:p>
            <w:pPr>
              <w:spacing w:after="0"/>
              <w:rPr>
                <w:sz w:val="21"/>
                <w:szCs w:val="21"/>
                <w:color w:val="auto"/>
              </w:rPr>
            </w:pPr>
          </w:p>
        </w:tc>
        <w:tc>
          <w:tcPr>
            <w:tcW w:w="1540" w:type="dxa"/>
            <w:vAlign w:val="bottom"/>
            <w:gridSpan w:val="19"/>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10.5(b)#</w:t>
            </w:r>
          </w:p>
        </w:tc>
        <w:tc>
          <w:tcPr>
            <w:tcW w:w="20" w:type="dxa"/>
            <w:vAlign w:val="bottom"/>
          </w:tcPr>
          <w:p>
            <w:pPr>
              <w:spacing w:after="0"/>
              <w:rPr>
                <w:sz w:val="21"/>
                <w:szCs w:val="21"/>
                <w:color w:val="auto"/>
              </w:rPr>
            </w:pPr>
          </w:p>
        </w:tc>
        <w:tc>
          <w:tcPr>
            <w:tcW w:w="5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Form of Stock Option Grant Notice and Stock Option Agreement under the</w:t>
              </w:r>
            </w:hyperlink>
          </w:p>
        </w:tc>
        <w:tc>
          <w:tcPr>
            <w:tcW w:w="480" w:type="dxa"/>
            <w:vAlign w:val="bottom"/>
            <w:gridSpan w:val="10"/>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10.6(b)</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2014 Equity Incentive Award Plan</w:t>
              </w:r>
            </w:hyperlink>
          </w:p>
        </w:tc>
        <w:tc>
          <w:tcPr>
            <w:tcW w:w="3440" w:type="dxa"/>
            <w:vAlign w:val="bottom"/>
            <w:gridSpan w:val="3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10.5(c)#</w:t>
            </w:r>
          </w:p>
        </w:tc>
        <w:tc>
          <w:tcPr>
            <w:tcW w:w="20" w:type="dxa"/>
            <w:vAlign w:val="bottom"/>
          </w:tcPr>
          <w:p>
            <w:pPr>
              <w:spacing w:after="0"/>
              <w:rPr>
                <w:sz w:val="21"/>
                <w:szCs w:val="21"/>
                <w:color w:val="auto"/>
              </w:rPr>
            </w:pPr>
          </w:p>
        </w:tc>
        <w:tc>
          <w:tcPr>
            <w:tcW w:w="56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Form of Restricted Stock Award Agreement and Restricted Stock Unit Award</w:t>
              </w:r>
            </w:hyperlink>
          </w:p>
        </w:tc>
        <w:tc>
          <w:tcPr>
            <w:tcW w:w="320" w:type="dxa"/>
            <w:vAlign w:val="bottom"/>
            <w:gridSpan w:val="7"/>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10.6(c)</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Grant Notice under the 2014 Equity Incentive Award Plan</w:t>
              </w:r>
            </w:hyperlink>
          </w:p>
        </w:tc>
        <w:tc>
          <w:tcPr>
            <w:tcW w:w="174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Ardelyx, Inc. 2014 Employee Stock Purchase Plan</w:t>
              </w:r>
            </w:hyperlink>
          </w:p>
        </w:tc>
        <w:tc>
          <w:tcPr>
            <w:tcW w:w="2260" w:type="dxa"/>
            <w:vAlign w:val="bottom"/>
            <w:gridSpan w:val="24"/>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7/14/2014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rPr>
                <w:sz w:val="21"/>
                <w:szCs w:val="21"/>
                <w:color w:val="auto"/>
              </w:rPr>
            </w:pPr>
          </w:p>
        </w:tc>
        <w:tc>
          <w:tcPr>
            <w:tcW w:w="46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Ardelyx, Inc. 2016 Employment Commencement Incentive Plan</w:t>
            </w:r>
          </w:p>
        </w:tc>
        <w:tc>
          <w:tcPr>
            <w:tcW w:w="1280" w:type="dxa"/>
            <w:vAlign w:val="bottom"/>
            <w:gridSpan w:val="17"/>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21"/>
                <w:szCs w:val="21"/>
                <w:color w:val="auto"/>
              </w:rPr>
            </w:pPr>
          </w:p>
        </w:tc>
        <w:tc>
          <w:tcPr>
            <w:tcW w:w="54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Form of Stock Option Grant Notice and Stock Option Agreement under the</w:t>
              </w:r>
            </w:hyperlink>
          </w:p>
        </w:tc>
        <w:tc>
          <w:tcPr>
            <w:tcW w:w="480" w:type="dxa"/>
            <w:vAlign w:val="bottom"/>
            <w:gridSpan w:val="10"/>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2016 Employment Commencement Incentive Plan</w:t>
              </w:r>
            </w:hyperlink>
          </w:p>
        </w:tc>
        <w:tc>
          <w:tcPr>
            <w:tcW w:w="2280" w:type="dxa"/>
            <w:vAlign w:val="bottom"/>
            <w:gridSpan w:val="2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10.7(c)#</w:t>
            </w:r>
          </w:p>
        </w:tc>
        <w:tc>
          <w:tcPr>
            <w:tcW w:w="20" w:type="dxa"/>
            <w:vAlign w:val="bottom"/>
          </w:tcPr>
          <w:p>
            <w:pPr>
              <w:spacing w:after="0"/>
              <w:rPr>
                <w:sz w:val="21"/>
                <w:szCs w:val="21"/>
                <w:color w:val="auto"/>
              </w:rPr>
            </w:pPr>
          </w:p>
        </w:tc>
        <w:tc>
          <w:tcPr>
            <w:tcW w:w="55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Form of Restricted Stock Unit Award Grant Notice and Restricted Stock Unit</w:t>
              </w:r>
            </w:hyperlink>
          </w:p>
        </w:tc>
        <w:tc>
          <w:tcPr>
            <w:tcW w:w="340" w:type="dxa"/>
            <w:vAlign w:val="bottom"/>
            <w:gridSpan w:val="8"/>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Award Agreement under the 2016 Employment Commencement Incentive Plan</w:t>
              </w:r>
            </w:hyperlink>
          </w:p>
        </w:tc>
        <w:tc>
          <w:tcPr>
            <w:tcW w:w="2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10.7(d)#</w:t>
            </w:r>
          </w:p>
        </w:tc>
        <w:tc>
          <w:tcPr>
            <w:tcW w:w="20" w:type="dxa"/>
            <w:vAlign w:val="bottom"/>
          </w:tcPr>
          <w:p>
            <w:pPr>
              <w:spacing w:after="0"/>
              <w:rPr>
                <w:sz w:val="21"/>
                <w:szCs w:val="21"/>
                <w:color w:val="auto"/>
              </w:rPr>
            </w:pPr>
          </w:p>
        </w:tc>
        <w:tc>
          <w:tcPr>
            <w:tcW w:w="53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Form of Restricted Stock Award Grant Notice and Restricted Stock Award</w:t>
              </w:r>
            </w:hyperlink>
          </w:p>
        </w:tc>
        <w:tc>
          <w:tcPr>
            <w:tcW w:w="560" w:type="dxa"/>
            <w:vAlign w:val="bottom"/>
            <w:gridSpan w:val="12"/>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Agreement under the 2016 Employment Commencement Incentive Plan</w:t>
              </w:r>
            </w:hyperlink>
          </w:p>
        </w:tc>
        <w:tc>
          <w:tcPr>
            <w:tcW w:w="72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Registration Rights Agreement by and among Ardelyx, Inc. and the investors</w:t>
              </w:r>
            </w:hyperlink>
          </w:p>
        </w:tc>
        <w:tc>
          <w:tcPr>
            <w:tcW w:w="360" w:type="dxa"/>
            <w:vAlign w:val="bottom"/>
            <w:gridSpan w:val="9"/>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7/13/2015</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7"/>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signatory thereto, dated June 2, 2015</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Registration Rights Agreement by and among Ardelyx, Inc. and the investors</w:t>
              </w:r>
            </w:hyperlink>
          </w:p>
        </w:tc>
        <w:tc>
          <w:tcPr>
            <w:tcW w:w="360" w:type="dxa"/>
            <w:vAlign w:val="bottom"/>
            <w:gridSpan w:val="9"/>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8/8/2016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3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signatory thereto, dated July 14, 2016</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Indemnification Agreement for directors and officers</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Amended and Restated Executive Employment Agreement, dated June 6, 2014,</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by and between Ardelyx, Inc. and Michael Raab</w:t>
              </w:r>
            </w:hyperlink>
          </w:p>
        </w:tc>
        <w:tc>
          <w:tcPr>
            <w:tcW w:w="2240" w:type="dxa"/>
            <w:vAlign w:val="bottom"/>
            <w:tcBorders>
              <w:top w:val="single" w:sz="8" w:color="0000FF"/>
            </w:tcBorders>
            <w:gridSpan w:val="22"/>
          </w:tcPr>
          <w:p>
            <w:pPr>
              <w:spacing w:after="0"/>
              <w:rPr>
                <w:sz w:val="17"/>
                <w:szCs w:val="17"/>
                <w:color w:val="auto"/>
              </w:rPr>
            </w:pPr>
          </w:p>
        </w:tc>
        <w:tc>
          <w:tcPr>
            <w:tcW w:w="2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Offer Letter, dated December 28, 2009, by and between Ardelyx, Inc. and</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top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David Rosenbaum, Ph.D.</w:t>
              </w:r>
            </w:hyperlink>
          </w:p>
        </w:tc>
        <w:tc>
          <w:tcPr>
            <w:tcW w:w="62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10.13(a)#</w:t>
            </w: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Second Amended and Restated Change in Control and Severance Agreement by</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and between Ardelyx, Inc. and David P. Rosenbaum, Ph.D.</w:t>
              </w:r>
            </w:hyperlink>
          </w:p>
        </w:tc>
        <w:tc>
          <w:tcPr>
            <w:tcW w:w="1500" w:type="dxa"/>
            <w:vAlign w:val="bottom"/>
            <w:tcBorders>
              <w:top w:val="single" w:sz="8" w:color="0000FF"/>
            </w:tcBorders>
            <w:gridSpan w:val="17"/>
          </w:tcPr>
          <w:p>
            <w:pPr>
              <w:spacing w:after="0"/>
              <w:rPr>
                <w:sz w:val="17"/>
                <w:szCs w:val="17"/>
                <w:color w:val="auto"/>
              </w:rPr>
            </w:pP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10.13(b)#</w:t>
            </w: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Amendment Number One to Second Amended and Restated Change in Control</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Severance Agreement and Retention Agreement dated December 1, 2021</w:t>
              </w:r>
            </w:hyperlink>
          </w:p>
        </w:tc>
        <w:tc>
          <w:tcPr>
            <w:tcW w:w="420" w:type="dxa"/>
            <w:vAlign w:val="bottom"/>
            <w:tcBorders>
              <w:top w:val="single" w:sz="8" w:color="0000FF"/>
            </w:tcBorders>
            <w:gridSpan w:val="10"/>
          </w:tcPr>
          <w:p>
            <w:pPr>
              <w:spacing w:after="0"/>
              <w:rPr>
                <w:sz w:val="17"/>
                <w:szCs w:val="17"/>
                <w:color w:val="auto"/>
              </w:rPr>
            </w:pPr>
          </w:p>
        </w:tc>
        <w:tc>
          <w:tcPr>
            <w:tcW w:w="2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between Ardelyx, Inc. and David Rosenbaum</w:t>
              </w:r>
            </w:hyperlink>
          </w:p>
        </w:tc>
        <w:tc>
          <w:tcPr>
            <w:tcW w:w="2640" w:type="dxa"/>
            <w:vAlign w:val="bottom"/>
            <w:gridSpan w:val="2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Offer Letter, dated November 21, 2012, by and between Ardelyx, Inc. and</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6/9/2014</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Elizabeth Grammer, Esq.</w:t>
              </w:r>
            </w:hyperlink>
          </w:p>
        </w:tc>
        <w:tc>
          <w:tcPr>
            <w:tcW w:w="60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Second Amended and Restated Change in Control and Severance Agreement by</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5/8/2018</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and between Ardelyx, Inc. and Elizabeth Grammer.</w:t>
              </w:r>
            </w:hyperlink>
          </w:p>
        </w:tc>
        <w:tc>
          <w:tcPr>
            <w:tcW w:w="2060" w:type="dxa"/>
            <w:vAlign w:val="bottom"/>
            <w:tcBorders>
              <w:top w:val="single" w:sz="8" w:color="0000FF"/>
            </w:tcBorders>
            <w:gridSpan w:val="20"/>
          </w:tcPr>
          <w:p>
            <w:pPr>
              <w:spacing w:after="0"/>
              <w:rPr>
                <w:sz w:val="17"/>
                <w:szCs w:val="17"/>
                <w:color w:val="auto"/>
              </w:rPr>
            </w:pP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Offer Letter, dated April 27, 2020, by and between Ardelyx, Inc. and Susan</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top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Rodriguez</w:t>
              </w:r>
            </w:hyperlink>
          </w:p>
        </w:tc>
        <w:tc>
          <w:tcPr>
            <w:tcW w:w="50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4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Change in Control Severance Agreement dated June 2, 2020, by and between</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Ardelyx, Inc. and Susan Rodriguez</w:t>
              </w:r>
            </w:hyperlink>
          </w:p>
        </w:tc>
        <w:tc>
          <w:tcPr>
            <w:tcW w:w="36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80" w:type="dxa"/>
            <w:vAlign w:val="bottom"/>
            <w:gridSpan w:val="2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20" w:type="dxa"/>
            <w:vAlign w:val="bottom"/>
            <w:gridSpan w:val="37"/>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Offer Letter, dated June 2, 2020, by and between Ardelyx, Inc. and Justin Renz</w:t>
              </w:r>
            </w:hyperlink>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tcBorders>
              <w:top w:val="single" w:sz="8" w:color="0000FF"/>
            </w:tcBorders>
            <w:gridSpan w:val="3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Change in Control Severance Agreement, dated June 8, 2020, by and between</w:t>
              </w:r>
            </w:hyperlink>
          </w:p>
        </w:tc>
        <w:tc>
          <w:tcPr>
            <w:tcW w:w="240" w:type="dxa"/>
            <w:vAlign w:val="bottom"/>
            <w:gridSpan w:val="6"/>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Ardelyx, Inc. and Justin Renz</w:t>
              </w:r>
            </w:hyperlink>
          </w:p>
        </w:tc>
        <w:tc>
          <w:tcPr>
            <w:tcW w:w="3460" w:type="dxa"/>
            <w:vAlign w:val="bottom"/>
            <w:tcBorders>
              <w:top w:val="single" w:sz="8" w:color="0000FF"/>
            </w:tcBorders>
            <w:gridSpan w:val="26"/>
          </w:tcPr>
          <w:p>
            <w:pPr>
              <w:spacing w:after="0"/>
              <w:rPr>
                <w:sz w:val="17"/>
                <w:szCs w:val="17"/>
                <w:color w:val="auto"/>
              </w:rPr>
            </w:pPr>
          </w:p>
        </w:tc>
        <w:tc>
          <w:tcPr>
            <w:tcW w:w="32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10.20(a)#</w:t>
            </w:r>
          </w:p>
        </w:tc>
        <w:tc>
          <w:tcPr>
            <w:tcW w:w="20" w:type="dxa"/>
            <w:vAlign w:val="bottom"/>
          </w:tcPr>
          <w:p>
            <w:pPr>
              <w:spacing w:after="0"/>
              <w:rPr>
                <w:sz w:val="21"/>
                <w:szCs w:val="21"/>
                <w:color w:val="auto"/>
              </w:rPr>
            </w:pPr>
          </w:p>
        </w:tc>
        <w:tc>
          <w:tcPr>
            <w:tcW w:w="57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Second Amended and Restated Non-Employee Director Compensation Program</w:t>
              </w:r>
            </w:hyperlink>
          </w:p>
        </w:tc>
        <w:tc>
          <w:tcPr>
            <w:tcW w:w="140" w:type="dxa"/>
            <w:vAlign w:val="bottom"/>
            <w:gridSpan w:val="2"/>
          </w:tcPr>
          <w:p>
            <w:pPr>
              <w:spacing w:after="0"/>
              <w:rPr>
                <w:sz w:val="21"/>
                <w:szCs w:val="21"/>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66040</wp:posOffset>
            </wp:positionV>
            <wp:extent cx="7029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8030" w:lineRule="exact"/>
        <w:rPr>
          <w:sz w:val="20"/>
          <w:szCs w:val="20"/>
          <w:color w:val="auto"/>
        </w:rPr>
      </w:pPr>
    </w:p>
    <w:p>
      <w:pPr>
        <w:sectPr>
          <w:pgSz w:w="11900" w:h="16838" w:orient="portrait"/>
          <w:cols w:equalWidth="0" w:num="2">
            <w:col w:w="10020" w:space="300"/>
            <w:col w:w="720"/>
          </w:cols>
          <w:pgMar w:left="320" w:top="108" w:right="5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2"/>
        </w:trPr>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33"/>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0"/>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10.20(b)#</w:t>
            </w:r>
          </w:p>
        </w:tc>
        <w:tc>
          <w:tcPr>
            <w:tcW w:w="20" w:type="dxa"/>
            <w:vAlign w:val="bottom"/>
          </w:tcPr>
          <w:p>
            <w:pPr>
              <w:spacing w:after="0"/>
              <w:rPr>
                <w:sz w:val="17"/>
                <w:szCs w:val="17"/>
                <w:color w:val="auto"/>
              </w:rPr>
            </w:pPr>
          </w:p>
        </w:tc>
        <w:tc>
          <w:tcPr>
            <w:tcW w:w="58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Third Amended and Restated Non-Employee Director Compensation Program</w:t>
            </w: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10.21(a)††</w:t>
            </w:r>
          </w:p>
        </w:tc>
        <w:tc>
          <w:tcPr>
            <w:tcW w:w="20" w:type="dxa"/>
            <w:vAlign w:val="bottom"/>
          </w:tcPr>
          <w:p>
            <w:pPr>
              <w:spacing w:after="0"/>
              <w:rPr>
                <w:sz w:val="21"/>
                <w:szCs w:val="21"/>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License Agreement, dated November 27, 2017, by and between Kyowa Hakko</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Kirin Co., Ltd. and Ardelyx, Inc.</w:t>
              </w:r>
            </w:hyperlink>
          </w:p>
        </w:tc>
        <w:tc>
          <w:tcPr>
            <w:tcW w:w="160" w:type="dxa"/>
            <w:vAlign w:val="bottom"/>
            <w:gridSpan w:val="7"/>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10.21(b)</w:t>
            </w:r>
          </w:p>
        </w:tc>
        <w:tc>
          <w:tcPr>
            <w:tcW w:w="20" w:type="dxa"/>
            <w:vAlign w:val="bottom"/>
          </w:tcPr>
          <w:p>
            <w:pPr>
              <w:spacing w:after="0"/>
              <w:rPr>
                <w:sz w:val="21"/>
                <w:szCs w:val="21"/>
                <w:color w:val="auto"/>
              </w:rPr>
            </w:pPr>
          </w:p>
        </w:tc>
        <w:tc>
          <w:tcPr>
            <w:tcW w:w="56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Amendment Number 1 to License Agreement, dated as of November 27, 2017,</w:t>
              </w:r>
            </w:hyperlink>
          </w:p>
        </w:tc>
        <w:tc>
          <w:tcPr>
            <w:tcW w:w="140" w:type="dxa"/>
            <w:vAlign w:val="bottom"/>
            <w:gridSpan w:val="6"/>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by and among Ardelyx, Inc., and Kyowa Kirin Co., Ltd.</w:t>
              </w:r>
            </w:hyperlink>
          </w:p>
        </w:tc>
        <w:tc>
          <w:tcPr>
            <w:tcW w:w="1780" w:type="dxa"/>
            <w:vAlign w:val="bottom"/>
            <w:gridSpan w:val="25"/>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10.21(c)††</w:t>
            </w:r>
          </w:p>
        </w:tc>
        <w:tc>
          <w:tcPr>
            <w:tcW w:w="20" w:type="dxa"/>
            <w:vAlign w:val="bottom"/>
          </w:tcPr>
          <w:p>
            <w:pPr>
              <w:spacing w:after="0"/>
              <w:rPr>
                <w:sz w:val="21"/>
                <w:szCs w:val="21"/>
                <w:color w:val="auto"/>
              </w:rPr>
            </w:pPr>
          </w:p>
        </w:tc>
        <w:tc>
          <w:tcPr>
            <w:tcW w:w="5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Amendment Number 2 to License Agreement, dated as of April 11, 2022, by</w:t>
              </w:r>
            </w:hyperlink>
          </w:p>
        </w:tc>
        <w:tc>
          <w:tcPr>
            <w:tcW w:w="300" w:type="dxa"/>
            <w:vAlign w:val="bottom"/>
            <w:gridSpan w:val="11"/>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and among Ardelyx, Inc., and Kyowa Kirin Co., Ltd.</w:t>
              </w:r>
            </w:hyperlink>
          </w:p>
        </w:tc>
        <w:tc>
          <w:tcPr>
            <w:tcW w:w="2000" w:type="dxa"/>
            <w:vAlign w:val="bottom"/>
            <w:gridSpan w:val="27"/>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1"/>
                <w:szCs w:val="21"/>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License Agreement, dated December 11, 2017, by and between Shanghai Fosun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Pharmaceutical Industrial Development Co. Ltd. and Ardelyx, Inc.</w:t>
              </w:r>
            </w:hyperlink>
          </w:p>
        </w:tc>
        <w:tc>
          <w:tcPr>
            <w:tcW w:w="940" w:type="dxa"/>
            <w:vAlign w:val="bottom"/>
            <w:tcBorders>
              <w:top w:val="single" w:sz="8" w:color="0000FF"/>
            </w:tcBorders>
            <w:gridSpan w:val="1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3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0"/>
                <w:szCs w:val="20"/>
                <w:color w:val="auto"/>
              </w:rPr>
            </w:pPr>
          </w:p>
        </w:tc>
        <w:tc>
          <w:tcPr>
            <w:tcW w:w="54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Royalty and Sales Milestone Interest Acquisition Agreement dated June 29,</w:t>
              </w:r>
            </w:hyperlink>
          </w:p>
        </w:tc>
        <w:tc>
          <w:tcPr>
            <w:tcW w:w="360" w:type="dxa"/>
            <w:vAlign w:val="bottom"/>
            <w:gridSpan w:val="13"/>
          </w:tcPr>
          <w:p>
            <w:pPr>
              <w:spacing w:after="0"/>
              <w:rPr>
                <w:sz w:val="20"/>
                <w:szCs w:val="20"/>
                <w:color w:val="auto"/>
              </w:rPr>
            </w:pPr>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bottom w:val="single" w:sz="8" w:color="0000FF"/>
            </w:tcBorders>
            <w:gridSpan w:val="25"/>
          </w:tcPr>
          <w:p>
            <w:pPr>
              <w:spacing w:after="0" w:line="15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2022, by and between Ardelyx, Inc. and Healthcare Royalty Partners IV, L.P.</w:t>
              </w:r>
            </w:hyperlink>
          </w:p>
        </w:tc>
        <w:tc>
          <w:tcPr>
            <w:tcW w:w="280" w:type="dxa"/>
            <w:vAlign w:val="bottom"/>
            <w:gridSpan w:val="10"/>
          </w:tcPr>
          <w:p>
            <w:pPr>
              <w:spacing w:after="0"/>
              <w:rPr>
                <w:sz w:val="13"/>
                <w:szCs w:val="13"/>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10.24(a)</w:t>
            </w:r>
          </w:p>
        </w:tc>
        <w:tc>
          <w:tcPr>
            <w:tcW w:w="20" w:type="dxa"/>
            <w:vAlign w:val="bottom"/>
          </w:tcPr>
          <w:p>
            <w:pPr>
              <w:spacing w:after="0"/>
              <w:rPr>
                <w:sz w:val="19"/>
                <w:szCs w:val="19"/>
                <w:color w:val="auto"/>
              </w:rPr>
            </w:pPr>
          </w:p>
        </w:tc>
        <w:tc>
          <w:tcPr>
            <w:tcW w:w="5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Loan and Security Agreement dated February 23, 2022, by and between</w:t>
              </w:r>
            </w:hyperlink>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gridSpan w:val="17"/>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Ardelyx, Inc. and SLR Investment Corp.</w:t>
              </w:r>
            </w:hyperlink>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10.24(b)</w:t>
            </w:r>
          </w:p>
        </w:tc>
        <w:tc>
          <w:tcPr>
            <w:tcW w:w="20" w:type="dxa"/>
            <w:vAlign w:val="bottom"/>
          </w:tcPr>
          <w:p>
            <w:pPr>
              <w:spacing w:after="0"/>
              <w:rPr>
                <w:sz w:val="19"/>
                <w:szCs w:val="19"/>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Amendment to the Loan and Security Agreement dated August 1, 2022, by</w:t>
              </w:r>
            </w:hyperlink>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and between Ardelyx, Inc. and SLR Investment Corp.</w:t>
              </w:r>
            </w:hyperlink>
          </w:p>
        </w:tc>
        <w:tc>
          <w:tcPr>
            <w:tcW w:w="19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10.24(c)</w:t>
            </w:r>
          </w:p>
        </w:tc>
        <w:tc>
          <w:tcPr>
            <w:tcW w:w="20" w:type="dxa"/>
            <w:vAlign w:val="bottom"/>
          </w:tcPr>
          <w:p>
            <w:pPr>
              <w:spacing w:after="0"/>
              <w:rPr>
                <w:sz w:val="19"/>
                <w:szCs w:val="19"/>
                <w:color w:val="auto"/>
              </w:rPr>
            </w:pPr>
          </w:p>
        </w:tc>
        <w:tc>
          <w:tcPr>
            <w:tcW w:w="54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Second Amendment to the Loan and Security Agreement dated February 9,</w:t>
              </w:r>
            </w:hyperlink>
          </w:p>
        </w:tc>
        <w:tc>
          <w:tcPr>
            <w:tcW w:w="60" w:type="dxa"/>
            <w:vAlign w:val="bottom"/>
            <w:gridSpan w:val="2"/>
          </w:tcPr>
          <w:p>
            <w:pPr>
              <w:spacing w:after="0"/>
              <w:rPr>
                <w:sz w:val="19"/>
                <w:szCs w:val="19"/>
                <w:color w:val="auto"/>
              </w:rPr>
            </w:pPr>
          </w:p>
        </w:tc>
        <w:tc>
          <w:tcPr>
            <w:tcW w:w="8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21"/>
          </w:tcPr>
          <w:p>
            <w:pPr>
              <w:spacing w:after="0" w:line="15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2023, by and between Ardelyx, Inc. and SLR Investment Corp.</w:t>
              </w:r>
            </w:hyperlink>
          </w:p>
        </w:tc>
        <w:tc>
          <w:tcPr>
            <w:tcW w:w="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10.24(d)</w:t>
            </w:r>
          </w:p>
        </w:tc>
        <w:tc>
          <w:tcPr>
            <w:tcW w:w="20" w:type="dxa"/>
            <w:vAlign w:val="bottom"/>
          </w:tcPr>
          <w:p>
            <w:pPr>
              <w:spacing w:after="0"/>
              <w:rPr>
                <w:sz w:val="19"/>
                <w:szCs w:val="19"/>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Third Amendment to the Loan and Security Agreement dated October 17, 2023,</w:t>
              </w:r>
            </w:hyperlink>
          </w:p>
        </w:tc>
      </w:tr>
      <w:tr>
        <w:trPr>
          <w:trHeight w:val="156"/>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by and between Ardelyx, Inc. and SLR Investment Corp.</w:t>
              </w:r>
            </w:hyperlink>
          </w:p>
        </w:tc>
        <w:tc>
          <w:tcPr>
            <w:tcW w:w="16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Exit Fee Agreement dated February 23, 2022, by and between Ardelyx, Inc. and</w:t>
              </w:r>
            </w:hyperlink>
          </w:p>
        </w:tc>
      </w:tr>
      <w:tr>
        <w:trPr>
          <w:trHeight w:val="155"/>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09">
              <w:r>
                <w:rPr>
                  <w:rFonts w:ascii="Times New Roman" w:cs="Times New Roman" w:eastAsia="Times New Roman" w:hAnsi="Times New Roman"/>
                  <w:sz w:val="18"/>
                  <w:szCs w:val="18"/>
                  <w:color w:val="0000FF"/>
                  <w:w w:val="98"/>
                </w:rPr>
                <w:t>SLR Investment Corp.</w:t>
              </w:r>
            </w:hyperlink>
          </w:p>
        </w:tc>
        <w:tc>
          <w:tcPr>
            <w:tcW w:w="416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35"/>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Exit Fee Agreement, dated May 16, 2018, by and between the Company and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Solar Capital Ltd. and Western Alliance Bank.</w:t>
              </w:r>
            </w:hyperlink>
          </w:p>
        </w:tc>
        <w:tc>
          <w:tcPr>
            <w:tcW w:w="2080" w:type="dxa"/>
            <w:vAlign w:val="bottom"/>
            <w:tcBorders>
              <w:top w:val="single" w:sz="8" w:color="0000FF"/>
            </w:tcBorders>
            <w:gridSpan w:val="16"/>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10.27(a)††</w:t>
            </w:r>
          </w:p>
        </w:tc>
        <w:tc>
          <w:tcPr>
            <w:tcW w:w="20" w:type="dxa"/>
            <w:vAlign w:val="bottom"/>
          </w:tcPr>
          <w:p>
            <w:pPr>
              <w:spacing w:after="0"/>
              <w:rPr>
                <w:sz w:val="21"/>
                <w:szCs w:val="21"/>
                <w:color w:val="auto"/>
              </w:rPr>
            </w:pPr>
          </w:p>
        </w:tc>
        <w:tc>
          <w:tcPr>
            <w:tcW w:w="58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Manufacturing Services Agreement, dated May 18, 2020, between Ardelyx, Inc.</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20" w:type="dxa"/>
            <w:vAlign w:val="bottom"/>
            <w:gridSpan w:val="35"/>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Patheon Pharmaceuticals Inc.</w:t>
              </w:r>
            </w:hyperlink>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5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10.27(b)††</w:t>
            </w:r>
          </w:p>
        </w:tc>
        <w:tc>
          <w:tcPr>
            <w:tcW w:w="20" w:type="dxa"/>
            <w:vAlign w:val="bottom"/>
          </w:tcPr>
          <w:p>
            <w:pPr>
              <w:spacing w:after="0"/>
              <w:rPr>
                <w:sz w:val="21"/>
                <w:szCs w:val="21"/>
                <w:color w:val="auto"/>
              </w:rPr>
            </w:pPr>
          </w:p>
        </w:tc>
        <w:tc>
          <w:tcPr>
            <w:tcW w:w="57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First Amendment to the Manufacturing Services Agreement dated February 27,</w:t>
              </w:r>
            </w:hyperlink>
          </w:p>
        </w:tc>
        <w:tc>
          <w:tcPr>
            <w:tcW w:w="100" w:type="dxa"/>
            <w:vAlign w:val="bottom"/>
            <w:gridSpan w:val="5"/>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2023, between Ardelyx, Inc. and Patheon Pharmaceuticals Inc.</w:t>
              </w:r>
            </w:hyperlink>
          </w:p>
        </w:tc>
        <w:tc>
          <w:tcPr>
            <w:tcW w:w="1280" w:type="dxa"/>
            <w:vAlign w:val="bottom"/>
            <w:gridSpan w:val="21"/>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13">
              <w:r>
                <w:rPr>
                  <w:rFonts w:ascii="Times New Roman" w:cs="Times New Roman" w:eastAsia="Times New Roman" w:hAnsi="Times New Roman"/>
                  <w:sz w:val="18"/>
                  <w:szCs w:val="18"/>
                  <w:color w:val="0000FF"/>
                  <w:w w:val="99"/>
                </w:rPr>
                <w:t>Open Market Sales Agreement, dated August 31, 2021 between Ardelyx, Inc.</w:t>
              </w:r>
            </w:hyperlink>
          </w:p>
        </w:tc>
        <w:tc>
          <w:tcPr>
            <w:tcW w:w="240" w:type="dxa"/>
            <w:vAlign w:val="bottom"/>
            <w:gridSpan w:val="9"/>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3">
              <w:r>
                <w:rPr>
                  <w:rFonts w:ascii="Times New Roman" w:cs="Times New Roman" w:eastAsia="Times New Roman" w:hAnsi="Times New Roman"/>
                  <w:sz w:val="18"/>
                  <w:szCs w:val="18"/>
                  <w:color w:val="0000FF"/>
                  <w:w w:val="98"/>
                </w:rPr>
                <w:t>and Jefferies LLC.</w:t>
              </w:r>
            </w:hyperlink>
          </w:p>
        </w:tc>
        <w:tc>
          <w:tcPr>
            <w:tcW w:w="4480" w:type="dxa"/>
            <w:vAlign w:val="bottom"/>
            <w:gridSpan w:val="34"/>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Open Market Sales Agreement, dated January 18, 2023 between Ardelyx, Inc.</w:t>
              </w:r>
            </w:hyperlink>
          </w:p>
        </w:tc>
        <w:tc>
          <w:tcPr>
            <w:tcW w:w="180" w:type="dxa"/>
            <w:vAlign w:val="bottom"/>
            <w:gridSpan w:val="8"/>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14">
              <w:r>
                <w:rPr>
                  <w:rFonts w:ascii="Times New Roman" w:cs="Times New Roman" w:eastAsia="Times New Roman" w:hAnsi="Times New Roman"/>
                  <w:sz w:val="18"/>
                  <w:szCs w:val="18"/>
                  <w:color w:val="0000FF"/>
                  <w:w w:val="98"/>
                </w:rPr>
                <w:t>and Jefferies LLC.</w:t>
              </w:r>
            </w:hyperlink>
          </w:p>
        </w:tc>
        <w:tc>
          <w:tcPr>
            <w:tcW w:w="4480" w:type="dxa"/>
            <w:vAlign w:val="bottom"/>
            <w:gridSpan w:val="34"/>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500" w:type="dxa"/>
            <w:vAlign w:val="bottom"/>
            <w:gridSpan w:val="23"/>
          </w:tcPr>
          <w:p>
            <w:pPr>
              <w:spacing w:after="0"/>
              <w:rPr>
                <w:sz w:val="21"/>
                <w:szCs w:val="21"/>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of the Securities Exchange Act of 1934, as amended</w:t>
            </w:r>
          </w:p>
        </w:tc>
        <w:tc>
          <w:tcPr>
            <w:tcW w:w="580" w:type="dxa"/>
            <w:vAlign w:val="bottom"/>
            <w:gridSpan w:val="17"/>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Required Under Rule 13a-</w:t>
            </w:r>
          </w:p>
        </w:tc>
        <w:tc>
          <w:tcPr>
            <w:tcW w:w="760" w:type="dxa"/>
            <w:vAlign w:val="bottom"/>
            <w:gridSpan w:val="19"/>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14(a) and 15d-14(a) of the Securities Exchange Act of 1934, as amended</w:t>
            </w:r>
          </w:p>
        </w:tc>
        <w:tc>
          <w:tcPr>
            <w:tcW w:w="580" w:type="dxa"/>
            <w:vAlign w:val="bottom"/>
            <w:gridSpan w:val="17"/>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Required Under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14(b) of the Securities Exchange Act of 1934, as</w:t>
            </w:r>
          </w:p>
        </w:tc>
        <w:tc>
          <w:tcPr>
            <w:tcW w:w="20" w:type="dxa"/>
            <w:vAlign w:val="bottom"/>
            <w:tcBorders>
              <w:bottom w:val="single" w:sz="8" w:color="0000FF"/>
            </w:tcBorders>
          </w:tcPr>
          <w:p>
            <w:pPr>
              <w:spacing w:after="0"/>
              <w:rPr>
                <w:sz w:val="17"/>
                <w:szCs w:val="17"/>
                <w:color w:val="auto"/>
              </w:rPr>
            </w:pPr>
          </w:p>
        </w:tc>
        <w:tc>
          <w:tcPr>
            <w:tcW w:w="40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 and 18 U.S.C §1350</w:t>
            </w:r>
          </w:p>
        </w:tc>
        <w:tc>
          <w:tcPr>
            <w:tcW w:w="3620" w:type="dxa"/>
            <w:vAlign w:val="bottom"/>
            <w:gridSpan w:val="32"/>
          </w:tcPr>
          <w:p>
            <w:pPr>
              <w:spacing w:after="0"/>
              <w:rPr>
                <w:sz w:val="17"/>
                <w:szCs w:val="17"/>
                <w:color w:val="auto"/>
              </w:rPr>
            </w:pPr>
          </w:p>
        </w:tc>
      </w:tr>
      <w:tr>
        <w:trPr>
          <w:trHeight w:val="2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Policy for Recovery of Erroneously Awarded Compensation</w:t>
            </w:r>
          </w:p>
        </w:tc>
        <w:tc>
          <w:tcPr>
            <w:tcW w:w="1480" w:type="dxa"/>
            <w:vAlign w:val="bottom"/>
            <w:gridSpan w:val="22"/>
          </w:tcPr>
          <w:p>
            <w:pPr>
              <w:spacing w:after="0"/>
              <w:rPr>
                <w:sz w:val="21"/>
                <w:szCs w:val="21"/>
                <w:color w:val="auto"/>
              </w:rPr>
            </w:pPr>
          </w:p>
        </w:tc>
      </w:tr>
      <w:tr>
        <w:trPr>
          <w:trHeight w:val="29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582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87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16"/>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49"/>
        </w:trPr>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3/14/2018</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10.21(c)</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10.24(c)</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5/5/2022</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8/7/2018</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8/13/2021</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1/19/2023</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702"/>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980" w:space="120"/>
            <w:col w:w="4140"/>
          </w:cols>
          <w:pgMar w:left="320" w:top="121"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Confidential treatment granted as to portions of this Exhibit. The confidential portions of this Exhibit have been omitted and are marked by asterisks.</w:t>
      </w:r>
    </w:p>
    <w:p>
      <w:pPr>
        <w:spacing w:after="0" w:line="212" w:lineRule="exact"/>
        <w:rPr>
          <w:sz w:val="20"/>
          <w:szCs w:val="20"/>
          <w:color w:val="auto"/>
        </w:rPr>
      </w:pPr>
    </w:p>
    <w:p>
      <w:pPr>
        <w:ind w:left="340" w:hanging="332"/>
        <w:spacing w:after="0" w:line="266" w:lineRule="auto"/>
        <w:tabs>
          <w:tab w:leader="none" w:pos="4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 of Regulation S-K. A copy of the omitted portions will be furnished supplementally to the Securities and Exchange Commission upon request.</w:t>
      </w:r>
    </w:p>
    <w:p>
      <w:pPr>
        <w:spacing w:after="0" w:line="17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37" w:lineRule="exact"/>
        <w:rPr>
          <w:sz w:val="20"/>
          <w:szCs w:val="20"/>
          <w:color w:val="auto"/>
        </w:rPr>
      </w:pPr>
    </w:p>
    <w:p>
      <w:pPr>
        <w:ind w:left="20"/>
        <w:spacing w:after="0"/>
        <w:tabs>
          <w:tab w:leader="none" w:pos="5380" w:val="left"/>
          <w:tab w:leader="none" w:pos="59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34290</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Robert Felsch</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Accounting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Michael Raab, Justin Renz, and Robert Felsch,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8" w:lineRule="exact"/>
        <w:rPr>
          <w:sz w:val="20"/>
          <w:szCs w:val="20"/>
          <w:color w:val="auto"/>
        </w:rPr>
      </w:pPr>
    </w:p>
    <w:p>
      <w:pPr>
        <w:ind w:left="1640"/>
        <w:spacing w:after="0"/>
        <w:tabs>
          <w:tab w:leader="none" w:pos="6200" w:val="left"/>
          <w:tab w:leader="none" w:pos="98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062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Michael Raab</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Justin Renz</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Robert Felsch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Felsch</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David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David Mott</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Robert Bazemore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Robert Bazemore</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William 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William Bertrand, Jr., J.D.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Muna Bhanji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Muna Bhanji, R.Ph</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 Onaiza Cadoret-Manier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4517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Onaiza Cadoret-Manier</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Jan M. Lundberg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Jan M. Lundberg, Ph.D.</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6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7"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2024</w:t>
      </w:r>
    </w:p>
    <w:p>
      <w:pPr>
        <w:spacing w:after="0" w:line="495" w:lineRule="exact"/>
        <w:rPr>
          <w:sz w:val="20"/>
          <w:szCs w:val="20"/>
          <w:color w:val="auto"/>
        </w:rPr>
      </w:pPr>
    </w:p>
    <w:p>
      <w:pPr>
        <w:sectPr>
          <w:pgSz w:w="11900" w:h="16838" w:orient="portrait"/>
          <w:cols w:equalWidth="0" w:num="3">
            <w:col w:w="3920" w:space="720"/>
            <w:col w:w="4000" w:space="720"/>
            <w:col w:w="1880"/>
          </w:cols>
          <w:pgMar w:left="320" w:top="121" w:right="339" w:bottom="1440" w:gutter="0" w:footer="0" w:header="0"/>
          <w:type w:val="continuous"/>
        </w:sectPr>
      </w:pPr>
    </w:p>
    <w:p>
      <w:pPr>
        <w:spacing w:after="0" w:line="133"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/s/ Richard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517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57"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Richard Rodgers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22, 2024</w:t>
      </w:r>
    </w:p>
    <w:p>
      <w:pPr>
        <w:spacing w:after="0" w:line="495" w:lineRule="exact"/>
        <w:rPr>
          <w:sz w:val="20"/>
          <w:szCs w:val="20"/>
          <w:color w:val="auto"/>
        </w:rPr>
      </w:pPr>
    </w:p>
    <w:p>
      <w:pPr>
        <w:sectPr>
          <w:pgSz w:w="11900" w:h="16838" w:orient="portrait"/>
          <w:cols w:equalWidth="0" w:num="2">
            <w:col w:w="5340" w:space="720"/>
            <w:col w:w="5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1" w:right="33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jc w:val="center"/>
        <w:spacing w:after="0"/>
        <w:rPr>
          <w:sz w:val="20"/>
          <w:szCs w:val="20"/>
          <w:color w:val="auto"/>
        </w:rPr>
      </w:pPr>
      <w:r>
        <w:rPr>
          <w:rFonts w:ascii="Times New Roman" w:cs="Times New Roman" w:eastAsia="Times New Roman" w:hAnsi="Times New Roman"/>
          <w:sz w:val="18"/>
          <w:szCs w:val="18"/>
          <w:b w:val="1"/>
          <w:bCs w:val="1"/>
          <w:color w:val="auto"/>
        </w:rPr>
        <w:t>2016 EMPLOYMENT COMMENCEMENT INCENTIVE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purpose of the Ardelyx, Inc. 2016 Employment Commencement Incentive Plan (as it may be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success and enhance the value of Ardelyx,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by linking the individual interests of the Eligible Individuals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Employees upon whose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judgment, interest, and special effort the successful conduct of the Company’s operation is largely dependent. Only Eligible Individuals may receive awards under the Plan.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189"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12 hereof. With reference to the duties of the Administrator under the Plan which have been delegated to one or more persons pursuant to Section 12.6 hereof, or as to which the Board has assumed, the term “Administrator” shall refer to such person(s) unless the Committee or the Board has revoked such delegation or the Board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the assumption of such duties. For the avoidance of doubt, only the Committee or the Board may grant Awards under the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Parent or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Standards or such other accounting principles or standards as may apply to the Company’s financial statements under United States federal securities laws from time to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 (i) provisions of the Code, the Securities Act, the Exchange Act and any</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rules or regulations thereunder; (ii) corporate, securities, tax or other laws, statutes, rules, requirements or regulations, whether federal, state, local or foreign; and (iii) rules of any securities exchange or automated quotation system on which the Shares are listed, quoted or traded.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a Restricted Stock award, a Restricted Stock Unit award, a Performance Award, a Dividend Equivalents award, a</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Deferred Stock award, a Deferred Stock Unit award, a Stock Payment award or a Stock Appreciation Right, which may be awarded or granted under the Plan (collectively,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w:t>
      </w:r>
    </w:p>
    <w:p>
      <w:pPr>
        <w:spacing w:after="0" w:line="2" w:lineRule="exact"/>
        <w:rPr>
          <w:sz w:val="20"/>
          <w:szCs w:val="20"/>
          <w:color w:val="auto"/>
        </w:rPr>
      </w:pPr>
    </w:p>
    <w:p>
      <w:pPr>
        <w:ind w:right="660"/>
        <w:spacing w:after="0" w:line="226" w:lineRule="auto"/>
        <w:rPr>
          <w:sz w:val="20"/>
          <w:szCs w:val="20"/>
          <w:color w:val="auto"/>
        </w:rPr>
      </w:pPr>
      <w:r>
        <w:rPr>
          <w:rFonts w:ascii="Times New Roman" w:cs="Times New Roman" w:eastAsia="Times New Roman" w:hAnsi="Times New Roman"/>
          <w:sz w:val="18"/>
          <w:szCs w:val="18"/>
          <w:color w:val="auto"/>
        </w:rPr>
        <w:t>including through electronic medium, which shall contain such terms and conditions with respect to an Award as the Administrator shall determine consistent with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the occurrence, in a single transaction or in a series of related transactions, of any one or more of the following events:</w:t>
      </w:r>
    </w:p>
    <w:p>
      <w:pPr>
        <w:spacing w:after="0" w:line="185" w:lineRule="exact"/>
        <w:rPr>
          <w:sz w:val="20"/>
          <w:szCs w:val="20"/>
          <w:color w:val="auto"/>
        </w:rPr>
      </w:pPr>
    </w:p>
    <w:p>
      <w:pPr>
        <w:ind w:right="100" w:firstLine="8"/>
        <w:spacing w:after="0" w:line="220"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w:t>
      </w:r>
    </w:p>
    <w:p>
      <w:pPr>
        <w:sectPr>
          <w:pgSz w:w="11900" w:h="16838" w:orient="portrait"/>
          <w:cols w:equalWidth="0" w:num="1">
            <w:col w:w="11240"/>
          </w:cols>
          <w:pgMar w:left="320" w:top="104" w:right="339" w:bottom="1440" w:gutter="0" w:footer="0" w:header="0"/>
        </w:sectPr>
      </w:pPr>
    </w:p>
    <w:bookmarkStart w:id="123" w:name="page124"/>
    <w:bookmarkEnd w:id="123"/>
    <w:p>
      <w:pPr>
        <w:spacing w:after="0" w:line="180"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Exchange Act) of securities of the Company possessing more than 50% of the total combined voting power of the Company’s securities outstanding immediately after such acquisition; or</w:t>
      </w:r>
    </w:p>
    <w:p>
      <w:pPr>
        <w:spacing w:after="0" w:line="172" w:lineRule="exact"/>
        <w:rPr>
          <w:sz w:val="20"/>
          <w:szCs w:val="20"/>
          <w:color w:val="auto"/>
        </w:rPr>
      </w:pPr>
    </w:p>
    <w:p>
      <w:pPr>
        <w:ind w:right="20" w:firstLine="8"/>
        <w:spacing w:after="0" w:line="220"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2.9(a) or 2.9(c))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58" w:lineRule="exact"/>
        <w:rPr>
          <w:rFonts w:ascii="Times New Roman" w:cs="Times New Roman" w:eastAsia="Times New Roman" w:hAnsi="Times New Roman"/>
          <w:sz w:val="18"/>
          <w:szCs w:val="18"/>
          <w:color w:val="auto"/>
        </w:rPr>
      </w:pPr>
    </w:p>
    <w:p>
      <w:pPr>
        <w:jc w:val="both"/>
        <w:ind w:right="20" w:firstLine="8"/>
        <w:spacing w:after="0" w:line="231"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58" w:lineRule="exact"/>
        <w:rPr>
          <w:sz w:val="20"/>
          <w:szCs w:val="20"/>
          <w:color w:val="auto"/>
        </w:rPr>
      </w:pPr>
    </w:p>
    <w:p>
      <w:pPr>
        <w:ind w:right="80" w:firstLine="8"/>
        <w:spacing w:after="0" w:line="223"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58" w:lineRule="exact"/>
        <w:rPr>
          <w:rFonts w:ascii="Times New Roman" w:cs="Times New Roman" w:eastAsia="Times New Roman" w:hAnsi="Times New Roman"/>
          <w:sz w:val="18"/>
          <w:szCs w:val="18"/>
          <w:color w:val="auto"/>
        </w:rPr>
      </w:pPr>
    </w:p>
    <w:p>
      <w:pPr>
        <w:ind w:right="300" w:firstLine="8"/>
        <w:spacing w:after="0" w:line="231"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no person or group beneficially owns voting securities representing 50% or more of the combined voting power of the Successor Entity; provided, however, that no person or group shall be treated for purposes of this Section 2.9(c)(ii) as beneficially owning 50% or more of the combined voting power of the Successor Entity solely as a result of the voting power held in the Company prior to the consummation of the transaction; 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Company’s stockholders approve a liquidation or dissolution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portion of an Award that provides for the deferral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compensation and is subject to Section 409A of the Code, the transaction or event described in subsection (a), (b), (c) or (d) with respect to such Award (or portion thereof) must also constitute a “change in control event,” as defined in Treasury Regulation Section 1.409A-3(i)(5) to the extent required by Section 409A.</w:t>
      </w:r>
    </w:p>
    <w:p>
      <w:pPr>
        <w:spacing w:after="0" w:line="172"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is in conjunction with a determination of whether a Change in Control is a “change in control event”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Treasury Regulation Section 1.409A-3(i)(5) shall be consistent with such regulation.</w:t>
      </w:r>
    </w:p>
    <w:p>
      <w:pPr>
        <w:spacing w:after="0" w:line="165"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par value $0.0001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 hereof.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shall mean a right to receive Shares awarded under Section 9.4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 Unit</w:t>
      </w:r>
      <w:r>
        <w:rPr>
          <w:rFonts w:ascii="Times New Roman" w:cs="Times New Roman" w:eastAsia="Times New Roman" w:hAnsi="Times New Roman"/>
          <w:sz w:val="18"/>
          <w:szCs w:val="18"/>
          <w:color w:val="auto"/>
        </w:rPr>
        <w:t>” shall mean a right to receive Shares awarded under Section 9.5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18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 hereof.</w:t>
      </w:r>
    </w:p>
    <w:p>
      <w:pPr>
        <w:sectPr>
          <w:pgSz w:w="11900" w:h="16838" w:orient="portrait"/>
          <w:cols w:equalWidth="0" w:num="1">
            <w:col w:w="11240"/>
          </w:cols>
          <w:pgMar w:left="320" w:top="1440" w:right="339" w:bottom="1440" w:gutter="0" w:footer="0" w:header="0"/>
        </w:sectPr>
      </w:pPr>
    </w:p>
    <w:bookmarkStart w:id="124" w:name="page125"/>
    <w:bookmarkEnd w:id="124"/>
    <w:p>
      <w:pPr>
        <w:ind w:right="600"/>
        <w:spacing w:after="0" w:line="237"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from time to time, or the rules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on which the Board has adopted the Plan.</w:t>
      </w:r>
    </w:p>
    <w:p>
      <w:pPr>
        <w:spacing w:after="0" w:line="18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2.19 “</w:t>
      </w:r>
      <w:r>
        <w:rPr>
          <w:rFonts w:ascii="Times New Roman" w:cs="Times New Roman" w:eastAsia="Times New Roman" w:hAnsi="Times New Roman"/>
          <w:sz w:val="17"/>
          <w:szCs w:val="17"/>
          <w:u w:val="single" w:color="auto"/>
          <w:color w:val="auto"/>
        </w:rPr>
        <w:t>Eligible Individual</w:t>
      </w:r>
      <w:r>
        <w:rPr>
          <w:rFonts w:ascii="Times New Roman" w:cs="Times New Roman" w:eastAsia="Times New Roman" w:hAnsi="Times New Roman"/>
          <w:sz w:val="17"/>
          <w:szCs w:val="17"/>
          <w:color w:val="auto"/>
        </w:rPr>
        <w:t>” shall mean any Employee who has not previously been an Employee or Director of the Company or a Subsidiary, or is commencing employment with the Company or a Subsidiary following a bona fide period of non-employment by the Company or a Subsidiary, if he or she</w:t>
      </w:r>
    </w:p>
    <w:p>
      <w:pPr>
        <w:ind w:right="180"/>
        <w:spacing w:after="0" w:line="208" w:lineRule="auto"/>
        <w:rPr>
          <w:sz w:val="20"/>
          <w:szCs w:val="20"/>
          <w:color w:val="auto"/>
        </w:rPr>
      </w:pPr>
      <w:r>
        <w:rPr>
          <w:rFonts w:ascii="Times New Roman" w:cs="Times New Roman" w:eastAsia="Times New Roman" w:hAnsi="Times New Roman"/>
          <w:sz w:val="18"/>
          <w:szCs w:val="18"/>
          <w:color w:val="auto"/>
        </w:rPr>
        <w:t>is granted an Award in connection with his or her commencement of employment with the Company or a Subsidiary and such grant is an inducement material to his or her entering into employment with the Company or a Subsidiary. The Board may in its discretion adopt procedures from time to time to ensure that an Employee is eligible to participate in the Plan prior to the granting of any Awards to such Employee under the Plan (including, without</w:t>
      </w:r>
    </w:p>
    <w:p>
      <w:pPr>
        <w:spacing w:after="0" w:line="2" w:lineRule="exact"/>
        <w:rPr>
          <w:sz w:val="20"/>
          <w:szCs w:val="20"/>
          <w:color w:val="auto"/>
        </w:rPr>
      </w:pPr>
    </w:p>
    <w:p>
      <w:pPr>
        <w:ind w:right="400"/>
        <w:spacing w:after="0" w:line="218" w:lineRule="auto"/>
        <w:rPr>
          <w:sz w:val="20"/>
          <w:szCs w:val="20"/>
          <w:color w:val="auto"/>
        </w:rPr>
      </w:pPr>
      <w:r>
        <w:rPr>
          <w:rFonts w:ascii="Times New Roman" w:cs="Times New Roman" w:eastAsia="Times New Roman" w:hAnsi="Times New Roman"/>
          <w:sz w:val="18"/>
          <w:szCs w:val="18"/>
          <w:color w:val="auto"/>
        </w:rPr>
        <w:t>limitation, a requirement, that each such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w:t>
      </w:r>
    </w:p>
    <w:p>
      <w:pPr>
        <w:spacing w:after="0" w:line="172"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officer or other employee (as determined in accordance with Section 3401(c) of the Code and the Treasury Regulations thereunder) of the Company or any Affiliate.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stockholders, such as a stock dividend, stock split, spin-</w:t>
      </w:r>
    </w:p>
    <w:p>
      <w:pPr>
        <w:spacing w:after="0" w:line="2" w:lineRule="exact"/>
        <w:rPr>
          <w:sz w:val="20"/>
          <w:szCs w:val="20"/>
          <w:color w:val="auto"/>
        </w:rPr>
      </w:pPr>
    </w:p>
    <w:p>
      <w:pPr>
        <w:ind w:right="480"/>
        <w:spacing w:after="0" w:line="218" w:lineRule="auto"/>
        <w:rPr>
          <w:sz w:val="20"/>
          <w:szCs w:val="20"/>
          <w:color w:val="auto"/>
        </w:rPr>
      </w:pPr>
      <w:r>
        <w:rPr>
          <w:rFonts w:ascii="Times New Roman" w:cs="Times New Roman" w:eastAsia="Times New Roman" w:hAnsi="Times New Roman"/>
          <w:sz w:val="18"/>
          <w:szCs w:val="18"/>
          <w:color w:val="auto"/>
        </w:rPr>
        <w:t>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given date, the value of a Share determined as follows:</w:t>
      </w:r>
    </w:p>
    <w:p>
      <w:pPr>
        <w:spacing w:after="0" w:line="185" w:lineRule="exact"/>
        <w:rPr>
          <w:sz w:val="20"/>
          <w:szCs w:val="20"/>
          <w:color w:val="auto"/>
        </w:rPr>
      </w:pPr>
    </w:p>
    <w:p>
      <w:pPr>
        <w:ind w:right="20" w:firstLine="8"/>
        <w:spacing w:after="0" w:line="223" w:lineRule="auto"/>
        <w:tabs>
          <w:tab w:leader="none" w:pos="2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(i) listed on any established securities exchange (such as the New York Stock Exchange, the NASDAQ Global Market and the NASDAQ Global Select Market),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158" w:lineRule="exact"/>
        <w:rPr>
          <w:rFonts w:ascii="Times New Roman" w:cs="Times New Roman" w:eastAsia="Times New Roman" w:hAnsi="Times New Roman"/>
          <w:sz w:val="18"/>
          <w:szCs w:val="18"/>
          <w:color w:val="auto"/>
        </w:rPr>
      </w:pPr>
    </w:p>
    <w:p>
      <w:pPr>
        <w:ind w:right="20" w:firstLine="8"/>
        <w:spacing w:after="0" w:line="224" w:lineRule="auto"/>
        <w:tabs>
          <w:tab w:leader="none" w:pos="2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158" w:lineRule="exact"/>
        <w:rPr>
          <w:rFonts w:ascii="Times New Roman" w:cs="Times New Roman" w:eastAsia="Times New Roman" w:hAnsi="Times New Roman"/>
          <w:sz w:val="18"/>
          <w:szCs w:val="18"/>
          <w:color w:val="auto"/>
        </w:rPr>
      </w:pPr>
    </w:p>
    <w:p>
      <w:pPr>
        <w:ind w:firstLine="8"/>
        <w:spacing w:after="0" w:line="250" w:lineRule="auto"/>
        <w:tabs>
          <w:tab w:leader="none" w:pos="2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an Eligible Individual who has been granted an Award.</w:t>
      </w:r>
    </w:p>
    <w:p>
      <w:pPr>
        <w:spacing w:after="0" w:line="185"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 Incentive Stock Options may not be granted under the Plan.</w:t>
      </w:r>
    </w:p>
    <w:p>
      <w:pPr>
        <w:spacing w:after="0" w:line="149"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 of the Company and who qualifies as “independent” within the meaning of Nasdaq Stock Market Rule 5605(a)(2), or any successor rule, if the Company’s securities are traded on the Nasdaq Stock Market, or if the requirements of any other established stock exchange on which the Company’s securities are traded, as such rules or requirements may be amended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shall mean an Option that is not an Incentive Stock Option.</w:t>
      </w:r>
    </w:p>
    <w:p>
      <w:pPr>
        <w:sectPr>
          <w:pgSz w:w="11900" w:h="16838" w:orient="portrait"/>
          <w:cols w:equalWidth="0" w:num="1">
            <w:col w:w="11220"/>
          </w:cols>
          <w:pgMar w:left="320" w:top="1404" w:right="359" w:bottom="1440" w:gutter="0" w:footer="0" w:header="0"/>
        </w:sectPr>
      </w:pPr>
    </w:p>
    <w:bookmarkStart w:id="125" w:name="page126"/>
    <w:bookmarkEnd w:id="125"/>
    <w:p>
      <w:pPr>
        <w:spacing w:after="0" w:line="18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right to purchase Shares at a specified exercise price, granted under Article 5 hereof. Any Option granted under this Plan shall be a Non-Qualified Stock 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 hereof.</w:t>
      </w:r>
    </w:p>
    <w:p>
      <w:pPr>
        <w:spacing w:after="0" w:line="185"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of the total combined voting power of all classes of securities or interests in one of the other entities in such chain.</w:t>
      </w:r>
    </w:p>
    <w:p>
      <w:pPr>
        <w:spacing w:after="0" w:line="165"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shall mean a cash bonus award, stock bonus award, performance award or incentive award that is paid in cash, Shares or a combination of both, awarded under Section 9.1 hereof.</w:t>
      </w:r>
    </w:p>
    <w:p>
      <w:pPr>
        <w:spacing w:after="0" w:line="17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Stock Unit</w:t>
      </w:r>
      <w:r>
        <w:rPr>
          <w:rFonts w:ascii="Times New Roman" w:cs="Times New Roman" w:eastAsia="Times New Roman" w:hAnsi="Times New Roman"/>
          <w:sz w:val="18"/>
          <w:szCs w:val="18"/>
          <w:color w:val="auto"/>
        </w:rPr>
        <w:t>” shall mean a Performance Award awarded under Section 9.1 hereof which is denominated in units of value including dollar value of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under the General Instructions to Form S-</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8 Registration Statement under the Securities Act or any successor Form thereto, or any other transferee specifically approved by the Administrator, after taking into account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 hereof.</w:t>
      </w:r>
    </w:p>
    <w:p>
      <w:pPr>
        <w:spacing w:after="0" w:line="198"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58"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an award of Shares made under Article 7 hereof that is subject to certain restrictions and may be subject to risk of forfeiture or repurchase.</w:t>
      </w:r>
    </w:p>
    <w:p>
      <w:pPr>
        <w:spacing w:after="0" w:line="149"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shall mean a contractual right awarded under Article 8 hereof to receive in the future a Share or the Fair Market Value of a Share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Share Limit</w:t>
      </w:r>
      <w:r>
        <w:rPr>
          <w:rFonts w:ascii="Times New Roman" w:cs="Times New Roman" w:eastAsia="Times New Roman" w:hAnsi="Times New Roman"/>
          <w:sz w:val="18"/>
          <w:szCs w:val="18"/>
          <w:color w:val="auto"/>
        </w:rPr>
        <w:t>” shall have the meaning set forth in Section 3.1(a) hereof.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 stock appreciation right granted under Article 10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Stock Appreciation Right Term</w:t>
      </w:r>
      <w:r>
        <w:rPr>
          <w:rFonts w:ascii="Times New Roman" w:cs="Times New Roman" w:eastAsia="Times New Roman" w:hAnsi="Times New Roman"/>
          <w:sz w:val="18"/>
          <w:szCs w:val="18"/>
          <w:color w:val="auto"/>
        </w:rPr>
        <w:t>” shall have the meaning set forth in Section 10.4 hereof.</w:t>
      </w:r>
    </w:p>
    <w:p>
      <w:pPr>
        <w:spacing w:after="0" w:line="185"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Stock Payment</w:t>
      </w:r>
      <w:r>
        <w:rPr>
          <w:rFonts w:ascii="Times New Roman" w:cs="Times New Roman" w:eastAsia="Times New Roman" w:hAnsi="Times New Roman"/>
          <w:sz w:val="18"/>
          <w:szCs w:val="18"/>
          <w:color w:val="auto"/>
        </w:rPr>
        <w:t>” shall mean (a) a payment in the form of Shares, or (b) an option or other right to purchase Shares, as part of a bonus, deferred compensation or other arrangement, awarded under Section 9.3 hereof.</w:t>
      </w:r>
    </w:p>
    <w:p>
      <w:pPr>
        <w:spacing w:after="0" w:line="149" w:lineRule="exact"/>
        <w:rPr>
          <w:sz w:val="20"/>
          <w:szCs w:val="20"/>
          <w:color w:val="auto"/>
        </w:rPr>
      </w:pPr>
    </w:p>
    <w:p>
      <w:pPr>
        <w:ind w:right="280"/>
        <w:spacing w:after="0" w:line="222"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representing more than fifty percent (50%) of the total combined voting power of all classes of securities or interests in one of the other entities in such chain.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shall mean an Award granted under the Plan upon the assumption of, or in substitution for, outstanding equity awards previously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granted by a company or other entity in connection with a corporate transaction, such as a merger, combination, consolidation or acquisition of property or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 the time when the employee-employer relationship between a Holder and the Company or any Affiliate is</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80"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w:t>
      </w: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constitute a Termination of Service.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firstLine="8"/>
        <w:spacing w:after="0" w:line="220"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13.1, 13.2 and 3.1(b) hereof, the aggregate number of Shares which may be issued or transferred pursuant to Awards under the Plan shall be 12,207,767 Shares (the “</w:t>
      </w:r>
      <w:r>
        <w:rPr>
          <w:rFonts w:ascii="Times New Roman" w:cs="Times New Roman" w:eastAsia="Times New Roman" w:hAnsi="Times New Roman"/>
          <w:sz w:val="18"/>
          <w:szCs w:val="18"/>
          <w:u w:val="single" w:color="auto"/>
          <w:color w:val="auto"/>
        </w:rPr>
        <w:t>Share Limit</w:t>
      </w:r>
      <w:r>
        <w:rPr>
          <w:rFonts w:ascii="Times New Roman" w:cs="Times New Roman" w:eastAsia="Times New Roman" w:hAnsi="Times New Roman"/>
          <w:sz w:val="18"/>
          <w:szCs w:val="18"/>
          <w:color w:val="auto"/>
        </w:rPr>
        <w:t>”). Notwithstanding the foregoing, to the extent permitted under Applicable Law, Awards that provide for the delivery of Shares subsequent to the applicable grant date may be granted in excess of the Share Limit if such Awards provide for the forfeiture or cash settlement of such Awards to the extent that insufficient Shares remain under the Share Limit in this Section 3.1 at the time that Shares would otherwise be issued in respect of such Award.</w:t>
      </w:r>
    </w:p>
    <w:p>
      <w:pPr>
        <w:spacing w:after="0" w:line="158" w:lineRule="exact"/>
        <w:rPr>
          <w:rFonts w:ascii="Times New Roman" w:cs="Times New Roman" w:eastAsia="Times New Roman" w:hAnsi="Times New Roman"/>
          <w:sz w:val="18"/>
          <w:szCs w:val="18"/>
          <w:color w:val="auto"/>
        </w:rPr>
      </w:pPr>
    </w:p>
    <w:p>
      <w:pPr>
        <w:ind w:firstLine="8"/>
        <w:spacing w:after="0" w:line="21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and shall be added back to the Share Limit. In addition, the following Shares shall be available for future grants of Awards under the Plan and shall be added back to the Share Limit: (i) Shares tendered by a Holder or withheld by the Company in payment of the exercise price of an Option; (ii) Shares tendered by the Holder or withheld by the Company to satisfy any tax withholding obligation with respect to an Award; and (iii) Shares subject to Stock Appreciation Rights that are not issued in connection with the stock settlement of the Stock Appreciation Rights on exercise thereof. Any Shares repurchased by the Company under Section 7.4 hereof at the same price paid by the Holder or a lower price so that such Shares are returned to the Company will again be available for Awards. The payment of Dividend Equivalents in cash in conjunction with any outstanding Awards shall not be counted against the Shares available for issuance under the Plan.</w:t>
      </w:r>
    </w:p>
    <w:p>
      <w:pPr>
        <w:spacing w:after="0" w:line="186" w:lineRule="exact"/>
        <w:rPr>
          <w:rFonts w:ascii="Times New Roman" w:cs="Times New Roman" w:eastAsia="Times New Roman" w:hAnsi="Times New Roman"/>
          <w:sz w:val="18"/>
          <w:szCs w:val="18"/>
          <w:color w:val="auto"/>
        </w:rPr>
      </w:pPr>
    </w:p>
    <w:p>
      <w:pPr>
        <w:ind w:right="20" w:firstLine="8"/>
        <w:spacing w:after="0" w:line="217" w:lineRule="auto"/>
        <w:tabs>
          <w:tab w:leader="none" w:pos="2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6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Stock Distributed</w:t>
      </w:r>
      <w:r>
        <w:rPr>
          <w:rFonts w:ascii="Times New Roman" w:cs="Times New Roman" w:eastAsia="Times New Roman" w:hAnsi="Times New Roman"/>
          <w:sz w:val="18"/>
          <w:szCs w:val="18"/>
          <w:color w:val="auto"/>
        </w:rPr>
        <w:t>. Any Shares distributed pursuant to an Award may consist, in whole or in part, of authorized and unissued Common Stock, treasury Common Stock or Common Stock purchased on the open market.</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The Committee and the Board may, from time to time, select from among all Eligible Individuals, those to whom an Award shall be granted and shall determine the nature and amount of each Award, which shall not be inconsistent with the requirements of the Plan. No Eligible Individual</w:t>
      </w:r>
    </w:p>
    <w:p>
      <w:pPr>
        <w:spacing w:after="0"/>
        <w:rPr>
          <w:sz w:val="20"/>
          <w:szCs w:val="20"/>
          <w:color w:val="auto"/>
        </w:rPr>
      </w:pPr>
      <w:r>
        <w:rPr>
          <w:rFonts w:ascii="Times New Roman" w:cs="Times New Roman" w:eastAsia="Times New Roman" w:hAnsi="Times New Roman"/>
          <w:sz w:val="18"/>
          <w:szCs w:val="18"/>
          <w:color w:val="auto"/>
        </w:rPr>
        <w:t>shall have any right to be granted an Award pursuant to the Plan.</w:t>
      </w:r>
    </w:p>
    <w:p>
      <w:pPr>
        <w:spacing w:after="0" w:line="165"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Award Agreement that sets forth the terms, conditions and limitations for such Award, which may include the term of the Award, the provisions applicable in the event of</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Termination of Service, and the Company’s authority to unilaterally or bilaterally amend, modify, suspend, cancel or rescind an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conform to such applicable exemptive rule.</w:t>
      </w:r>
    </w:p>
    <w:p>
      <w:pPr>
        <w:spacing w:after="0" w:line="16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At-Will Employment; Voluntary Participation</w:t>
      </w:r>
      <w:r>
        <w:rPr>
          <w:rFonts w:ascii="Times New Roman" w:cs="Times New Roman" w:eastAsia="Times New Roman" w:hAnsi="Times New Roman"/>
          <w:sz w:val="17"/>
          <w:szCs w:val="17"/>
          <w:color w:val="auto"/>
        </w:rPr>
        <w:t>. Nothing in the Plan or in any Program or Award Agreement hereunder shall confer upon any Holder any right to continue in the employ of the Company or any Affiliate, or shall interfere with or restrict in any way the rights of the Company and any Affiliate,</w:t>
      </w:r>
    </w:p>
    <w:p>
      <w:pPr>
        <w:ind w:right="260"/>
        <w:spacing w:after="0" w:line="208" w:lineRule="auto"/>
        <w:rPr>
          <w:sz w:val="20"/>
          <w:szCs w:val="20"/>
          <w:color w:val="auto"/>
        </w:rPr>
      </w:pPr>
      <w:r>
        <w:rPr>
          <w:rFonts w:ascii="Times New Roman" w:cs="Times New Roman" w:eastAsia="Times New Roman" w:hAnsi="Times New Roman"/>
          <w:sz w:val="18"/>
          <w:szCs w:val="18"/>
          <w:color w:val="auto"/>
        </w:rPr>
        <w:t>which rights are hereby expressly reserved, to discharge any Holder at any time for any reason whatsoever, with or without cause, and with or without notice, or to terminate or change all other terms and conditions of employment, except to the extent expressly provided otherwise in a written agreement between the Holder and the Company or any Affiliate. Participation by each Holder in the Plan shall be voluntary and nothing in the Plan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construed as mandating that any Eligible Individual shall participate in the Plan.</w:t>
      </w:r>
    </w:p>
    <w:p>
      <w:pPr>
        <w:spacing w:after="0" w:line="165"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Notwithstanding any provision of the Plan to the contrary, in order to comply with the laws in countries other than the United States in which the Company and its Affiliates operate or have Employees, or in order to comply with the requirements of any foreign securities exchange,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 xml:space="preserve">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subplans and/or modifications shall increase the share limitations contained in Section 3.1 hereof; and (e) take any action, before or after an Award is made, that it deems advisable to obtain approval or comply</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any other securities law or governing statute, the rules of the securities exchange or automated quotation system on</w:t>
      </w:r>
    </w:p>
    <w:p>
      <w:pPr>
        <w:spacing w:after="0" w:line="2" w:lineRule="exact"/>
        <w:rPr>
          <w:sz w:val="20"/>
          <w:szCs w:val="20"/>
          <w:color w:val="auto"/>
        </w:rPr>
      </w:pPr>
    </w:p>
    <w:p>
      <w:pPr>
        <w:ind w:right="380"/>
        <w:spacing w:after="0" w:line="218" w:lineRule="auto"/>
        <w:rPr>
          <w:sz w:val="20"/>
          <w:szCs w:val="20"/>
          <w:color w:val="auto"/>
        </w:rPr>
      </w:pPr>
      <w:r>
        <w:rPr>
          <w:rFonts w:ascii="Times New Roman" w:cs="Times New Roman" w:eastAsia="Times New Roman" w:hAnsi="Times New Roman"/>
          <w:sz w:val="18"/>
          <w:szCs w:val="18"/>
          <w:color w:val="auto"/>
        </w:rPr>
        <w:t>which the Shares are listed, quoted or traded or any other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17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Stand-Alone and Tandem Awards</w:t>
      </w:r>
      <w:r>
        <w:rPr>
          <w:rFonts w:ascii="Times New Roman" w:cs="Times New Roman" w:eastAsia="Times New Roman" w:hAnsi="Times New Roman"/>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GRANTING OF OPTIONS</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Granting of Options to Eligible Individuals</w:t>
      </w:r>
      <w:r>
        <w:rPr>
          <w:rFonts w:ascii="Times New Roman" w:cs="Times New Roman" w:eastAsia="Times New Roman" w:hAnsi="Times New Roman"/>
          <w:sz w:val="18"/>
          <w:szCs w:val="18"/>
          <w:color w:val="auto"/>
        </w:rPr>
        <w:t>. Each of the Committee and the Board is authorized to grant Options to Eligible Individuals from time to time, in its sole discretion, on such terms and conditions as it may determine which shall not be inconsistent with the Plan.</w:t>
      </w:r>
    </w:p>
    <w:p>
      <w:pPr>
        <w:spacing w:after="0" w:line="17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Except as provided in Article 13 hereof, the exercise price per Share subject to each Option shall be set by the Committee or the Board, but shall not be less than one hundred percent (100%) of the Fair Market Value of a Share on the date the Option is granted.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Term shall not be more than ten (10) years from the date the Option is granted.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of the Code or the first sentence of this Section 5.3, the Administrator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Option Term of any outstanding Option, may</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8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extend the time period during which vested Options may be exercised following any Termination of Service of the Holder, and may amend any other term or condition of such Option relating to such a Termination of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Option Vesting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00" w:firstLine="8"/>
        <w:spacing w:after="0" w:line="220"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71" w:lineRule="exact"/>
        <w:rPr>
          <w:rFonts w:ascii="Times New Roman" w:cs="Times New Roman" w:eastAsia="Times New Roman" w:hAnsi="Times New Roman"/>
          <w:sz w:val="18"/>
          <w:szCs w:val="18"/>
          <w:color w:val="auto"/>
        </w:rPr>
      </w:pPr>
    </w:p>
    <w:p>
      <w:pPr>
        <w:ind w:right="240" w:firstLine="8"/>
        <w:spacing w:after="0" w:line="263" w:lineRule="auto"/>
        <w:tabs>
          <w:tab w:leader="none" w:pos="25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Notwithstanding the foregoing provisions of this Article 5 to the contrary, in the case of an Option that is a Substitute Award, the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 xml:space="preserve">price per share of the shares subject to such Option may be less than the Fair Market Value per share on the date of grant;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Substitution of Stock Appreciation Rights</w:t>
      </w:r>
      <w:r>
        <w:rPr>
          <w:rFonts w:ascii="Times New Roman" w:cs="Times New Roman" w:eastAsia="Times New Roman" w:hAnsi="Times New Roman"/>
          <w:sz w:val="18"/>
          <w:szCs w:val="18"/>
          <w:color w:val="auto"/>
        </w:rPr>
        <w:t>. The Administrator may provide in the applicable Program or the Award Agreement evidencing the grant of</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 xml:space="preserve">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OF OPTIONS</w:t>
      </w:r>
    </w:p>
    <w:p>
      <w:pPr>
        <w:spacing w:after="0" w:line="202"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Partial Exercise</w:t>
      </w:r>
      <w:r>
        <w:rPr>
          <w:rFonts w:ascii="Times New Roman" w:cs="Times New Roman" w:eastAsia="Times New Roman" w:hAnsi="Times New Roman"/>
          <w:sz w:val="17"/>
          <w:szCs w:val="17"/>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Option shall be deemed exercised upon delivery of all of the following to the Secretary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such other person or entity designated by the Administrator, or his, her or its office, as applicable:</w:t>
      </w:r>
    </w:p>
    <w:p>
      <w:pPr>
        <w:spacing w:after="0" w:line="165" w:lineRule="exact"/>
        <w:rPr>
          <w:sz w:val="20"/>
          <w:szCs w:val="20"/>
          <w:color w:val="auto"/>
        </w:rPr>
      </w:pPr>
    </w:p>
    <w:p>
      <w:pPr>
        <w:ind w:right="520" w:firstLine="8"/>
        <w:spacing w:after="0" w:line="237"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71" w:lineRule="exact"/>
        <w:rPr>
          <w:rFonts w:ascii="Times New Roman" w:cs="Times New Roman" w:eastAsia="Times New Roman" w:hAnsi="Times New Roman"/>
          <w:sz w:val="18"/>
          <w:szCs w:val="18"/>
          <w:color w:val="auto"/>
        </w:rPr>
      </w:pPr>
    </w:p>
    <w:p>
      <w:pPr>
        <w:jc w:val="both"/>
        <w:ind w:right="120" w:firstLine="8"/>
        <w:spacing w:after="0" w:line="226"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representations and documents as the Administrator, in its sole discretion, deems necessary or advisable to effect compliance with all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71" w:lineRule="exact"/>
        <w:rPr>
          <w:rFonts w:ascii="Times New Roman" w:cs="Times New Roman" w:eastAsia="Times New Roman" w:hAnsi="Times New Roman"/>
          <w:sz w:val="18"/>
          <w:szCs w:val="18"/>
          <w:color w:val="auto"/>
        </w:rPr>
      </w:pPr>
    </w:p>
    <w:p>
      <w:pPr>
        <w:ind w:right="180" w:firstLine="8"/>
        <w:spacing w:after="0" w:line="237" w:lineRule="auto"/>
        <w:tabs>
          <w:tab w:leader="none" w:pos="2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shall be exercised pursuant to Section 11.3 hereof by any person or persons other than the Holder, appropriate proof of the right of such person or persons to exercise the Option, as determined in the sole discretion of the Administrator; and</w:t>
      </w:r>
    </w:p>
    <w:p>
      <w:pPr>
        <w:spacing w:after="0" w:line="158" w:lineRule="exact"/>
        <w:rPr>
          <w:rFonts w:ascii="Times New Roman" w:cs="Times New Roman" w:eastAsia="Times New Roman" w:hAnsi="Times New Roman"/>
          <w:sz w:val="18"/>
          <w:szCs w:val="18"/>
          <w:color w:val="auto"/>
        </w:rPr>
      </w:pPr>
    </w:p>
    <w:p>
      <w:pPr>
        <w:ind w:right="160" w:firstLine="8"/>
        <w:spacing w:after="0" w:line="237"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exercise price and applicable withholding taxes to the stock administrator of the Company for the shares with respect to which the Option, or portion thereof, is exercised, in a manner permitted by Section 11.1 and 11.2 hereof.</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8"/>
        <w:spacing w:after="0" w:line="231" w:lineRule="auto"/>
        <w:tabs>
          <w:tab w:leader="none" w:pos="2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Committee and the Board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58" w:lineRule="exact"/>
        <w:rPr>
          <w:rFonts w:ascii="Times New Roman" w:cs="Times New Roman" w:eastAsia="Times New Roman" w:hAnsi="Times New Roman"/>
          <w:sz w:val="18"/>
          <w:szCs w:val="18"/>
          <w:color w:val="auto"/>
        </w:rPr>
      </w:pPr>
    </w:p>
    <w:p>
      <w:pPr>
        <w:ind w:right="60" w:firstLine="8"/>
        <w:spacing w:after="0" w:line="231"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shall establish the purchase price, if any, and form of payment for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5"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Rights as Stockholders</w:t>
      </w:r>
      <w:r>
        <w:rPr>
          <w:rFonts w:ascii="Times New Roman" w:cs="Times New Roman" w:eastAsia="Times New Roman" w:hAnsi="Times New Roman"/>
          <w:sz w:val="17"/>
          <w:szCs w:val="17"/>
          <w:color w:val="auto"/>
        </w:rPr>
        <w:t>. Subject to Section 7.4 hereof, upon issuance of Restricted Stock, the Holder shall have, unless otherwise provided by the Administrator, all the rights of a stockholder with respect to said Shares, subject to the restrictions in the applicable Program or in each individual Award</w:t>
      </w:r>
    </w:p>
    <w:p>
      <w:pPr>
        <w:jc w:val="both"/>
        <w:ind w:right="80"/>
        <w:spacing w:after="0" w:line="226" w:lineRule="auto"/>
        <w:rPr>
          <w:sz w:val="20"/>
          <w:szCs w:val="20"/>
          <w:color w:val="auto"/>
        </w:rPr>
      </w:pPr>
      <w:r>
        <w:rPr>
          <w:rFonts w:ascii="Times New Roman" w:cs="Times New Roman" w:eastAsia="Times New Roman" w:hAnsi="Times New Roman"/>
          <w:sz w:val="18"/>
          <w:szCs w:val="18"/>
          <w:color w:val="auto"/>
        </w:rPr>
        <w:t xml:space="preserve">Agreement, including the right to receive all dividends and other distributions paid or made with respect to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distributions with respect to the Shares shall be subject to the restrictions set forth in Section 7.3 hereof.</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(including any shares received by Holders thereof with respect to shares of Restricted Stock as a result of</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or based on such criteria as selected by the Administrator, including, without limitation, criteria based on the Holder’s duration of employment with the Company, Company or Affiliate performance, individual performance or other criteria selected by the Administrator. By action taken after the Restricted Stock is issued, the Administrator may, on such terms and conditions as it may determine to be appropriate, accelerate the vesting of such Restricted Stock</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by removing any or all of the restrictions imposed by the terms of the Program and/or the Award Agreement. Restricted Stock may not be sold or encumbered until all restrictions are terminated or expire.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Repurchase or Forfeiture of Restricted Stock</w:t>
      </w:r>
      <w:r>
        <w:rPr>
          <w:rFonts w:ascii="Times New Roman" w:cs="Times New Roman" w:eastAsia="Times New Roman" w:hAnsi="Times New Roman"/>
          <w:sz w:val="17"/>
          <w:szCs w:val="17"/>
          <w:color w:val="auto"/>
        </w:rPr>
        <w:t>. Except as otherwise determined by the Administrator at the time of the grant of the Award or thereafter, if</w:t>
      </w:r>
    </w:p>
    <w:p>
      <w:pPr>
        <w:spacing w:after="0" w:line="14" w:lineRule="exact"/>
        <w:rPr>
          <w:sz w:val="20"/>
          <w:szCs w:val="20"/>
          <w:color w:val="auto"/>
        </w:rPr>
      </w:pPr>
    </w:p>
    <w:p>
      <w:pPr>
        <w:jc w:val="both"/>
        <w:ind w:right="320"/>
        <w:spacing w:after="0" w:line="208" w:lineRule="auto"/>
        <w:rPr>
          <w:sz w:val="20"/>
          <w:szCs w:val="20"/>
          <w:color w:val="auto"/>
        </w:rPr>
      </w:pPr>
      <w:r>
        <w:rPr>
          <w:rFonts w:ascii="Times New Roman" w:cs="Times New Roman" w:eastAsia="Times New Roman" w:hAnsi="Times New Roman"/>
          <w:sz w:val="18"/>
          <w:szCs w:val="18"/>
          <w:color w:val="auto"/>
        </w:rPr>
        <w:t>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Certificates for Restricted Stock</w:t>
      </w:r>
      <w:r>
        <w:rPr>
          <w:rFonts w:ascii="Times New Roman" w:cs="Times New Roman" w:eastAsia="Times New Roman" w:hAnsi="Times New Roman"/>
          <w:sz w:val="18"/>
          <w:szCs w:val="18"/>
          <w:color w:val="auto"/>
        </w:rPr>
        <w:t>. Restricted Stock granted pursuant to the Plan may be evidenced in such manner as the Administrator shall determine.</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Certificates or book entries evidencing shares of Restricted Stock must include an appropriate legend referring to the terms, conditions, and restrictions applicable to such Restricted Stock. The Company may, in its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stock power, endorsed in blank, relating to such Restricted Stock.</w:t>
      </w:r>
    </w:p>
    <w:p>
      <w:pPr>
        <w:spacing w:after="0" w:line="165"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shall be required to deliver a copy of such election to the Company promptly after filing such election with the Internal Revenue Service.</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178" w:lineRule="exact"/>
        <w:rPr>
          <w:sz w:val="20"/>
          <w:szCs w:val="20"/>
          <w:color w:val="auto"/>
        </w:rPr>
      </w:pPr>
    </w:p>
    <w:p>
      <w:pPr>
        <w:ind w:right="740"/>
        <w:spacing w:after="0" w:line="23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Each of the Committee and the Board is authorized to grant Awards of Restricted Stock Units to any Eligible Individual selected by the Administrator in such amounts and subject to such terms and conditions as determined by the Administrator.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 Restricted Stock Unit award shall be set by the Administrator in its sole discretion.</w:t>
      </w:r>
    </w:p>
    <w:p>
      <w:pPr>
        <w:spacing w:after="0" w:line="198"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 par value of a Share, unless otherwise permitted by Applicable Law.</w:t>
      </w:r>
    </w:p>
    <w:p>
      <w:pPr>
        <w:spacing w:after="0" w:line="171" w:lineRule="exact"/>
        <w:rPr>
          <w:sz w:val="20"/>
          <w:szCs w:val="20"/>
          <w:color w:val="auto"/>
        </w:rPr>
      </w:pPr>
    </w:p>
    <w:p>
      <w:pPr>
        <w:ind w:right="280"/>
        <w:spacing w:after="0" w:line="21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Company performance, individual performance or other specific criteria, in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on a specified date or dates or over any period or periods, as determined by the Administrator.</w:t>
      </w:r>
    </w:p>
    <w:p>
      <w:pPr>
        <w:spacing w:after="0" w:line="165"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Maturity and Payment</w:t>
      </w:r>
      <w:r>
        <w:rPr>
          <w:rFonts w:ascii="Times New Roman" w:cs="Times New Roman" w:eastAsia="Times New Roman" w:hAnsi="Times New Roman"/>
          <w:sz w:val="18"/>
          <w:szCs w:val="18"/>
          <w:color w:val="auto"/>
        </w:rPr>
        <w:t>.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 xml:space="preserve">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fifteenth (15th) day of the third (3rd) month following the end of calendar year in which the Restricted Stock Unit vests; or (b) the fifteenth (15th) day of the third (3rd)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month following the end of the Company’s fiscal year in which the Restricted Stock Unit vests. On the maturity date, the Company shall, subject to Section 11.4(e) hereof,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combination of cash and Common Stock as determined by the Administrator.</w:t>
      </w:r>
    </w:p>
    <w:p>
      <w:pPr>
        <w:spacing w:after="0" w:line="16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Payment upon Termination of Service</w:t>
      </w:r>
      <w:r>
        <w:rPr>
          <w:rFonts w:ascii="Times New Roman" w:cs="Times New Roman" w:eastAsia="Times New Roman" w:hAnsi="Times New Roman"/>
          <w:sz w:val="17"/>
          <w:szCs w:val="17"/>
          <w:color w:val="auto"/>
        </w:rPr>
        <w:t xml:space="preserve">. An Award of Restricted Stock Units shall only be payable while the Holder is an Employee;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Administrator, in its sole and absolute discretion may provide (in an Award Agreement or otherwise) that a Restricted Stock Unit award may be</w:t>
      </w:r>
    </w:p>
    <w:p>
      <w:pPr>
        <w:ind w:right="480"/>
        <w:spacing w:after="0" w:line="226" w:lineRule="auto"/>
        <w:rPr>
          <w:sz w:val="20"/>
          <w:szCs w:val="20"/>
          <w:color w:val="auto"/>
        </w:rPr>
      </w:pPr>
      <w:r>
        <w:rPr>
          <w:rFonts w:ascii="Times New Roman" w:cs="Times New Roman" w:eastAsia="Times New Roman" w:hAnsi="Times New Roman"/>
          <w:sz w:val="18"/>
          <w:szCs w:val="18"/>
          <w:color w:val="auto"/>
        </w:rPr>
        <w:t>paid subsequent to a Termination of Service in certain events, including a Change in Control, the Holder’s death, retirement or disability or any other specified Termination of Service.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Unless otherwise determined by the Administrator, a Holder who is awarded Restricted Stock Units shall possess no</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incidents of ownership with respect to the Shares represented by such Restricted Stock Units, unless and until the same are transferred to the Holder pursuant to the terms of this Plan and the Award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Subject to Section 9.2 hereof, the Administrator may, in its sole discretion, provide that Dividend Equivalents shall be earned by</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a Holder of Restricted Stock Units based on dividends declared on the Common Stock, to be credited as of dividend payment dates during the period between the date an Award of Restricted Stock Units is granted to a Holder and the maturity date of such Award.</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39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8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AWARD OF PERFORMANCE AWARDS, DIVIDEND EQUIVALENTS, STOCK</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PAYMENTS, DEFERRED STOCK, DEFERRED STOCK UNITS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firstLine="8"/>
        <w:spacing w:after="0" w:line="237" w:lineRule="auto"/>
        <w:tabs>
          <w:tab w:leader="none" w:pos="24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Board and the Committee is authorized to grant Performance Awards, including Awards of Performance Stock Units, to any Eligible Individual. The value of Performance Awards, including Performance Stock Units, may be linked to any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72" w:lineRule="exact"/>
        <w:rPr>
          <w:rFonts w:ascii="Times New Roman" w:cs="Times New Roman" w:eastAsia="Times New Roman" w:hAnsi="Times New Roman"/>
          <w:sz w:val="17"/>
          <w:szCs w:val="17"/>
          <w:color w:val="auto"/>
        </w:rPr>
      </w:pPr>
    </w:p>
    <w:p>
      <w:pPr>
        <w:ind w:right="60" w:firstLine="8"/>
        <w:spacing w:after="0" w:line="226" w:lineRule="auto"/>
        <w:tabs>
          <w:tab w:leader="none" w:pos="2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 9.1(a) hereof, each of the Board and the Committee may grant Performance Awards to any Eligible Individual in the form of a cash bonus payable upon the attainment of objective performance criteria, or such other criteria, whether or not objective, which are established by the Administrator, in each case on a specified date or dates or over any period or periods determined by the Administrator.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8"/>
        <w:spacing w:after="0" w:line="224"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may be granted by each of the Board and the Committee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w:t>
      </w:r>
    </w:p>
    <w:p>
      <w:pPr>
        <w:spacing w:after="0" w:line="15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Dividend Equivalents shall be payable with respect to Options or Stock Appreciation Rights.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Stock Payments</w:t>
      </w:r>
      <w:r>
        <w:rPr>
          <w:rFonts w:ascii="Times New Roman" w:cs="Times New Roman" w:eastAsia="Times New Roman" w:hAnsi="Times New Roman"/>
          <w:sz w:val="18"/>
          <w:szCs w:val="18"/>
          <w:color w:val="auto"/>
        </w:rPr>
        <w:t>. Each of the Board and the Committee is authorized to make Stock Payments to any Eligible Individual. The number or value of Shares of any Stock Payment shall be determined by the Administrator and may be based upon performance criteria or any other specific criteria, including service to the Company or any Affiliate, determined by the Administrator. Shares underlying a Stock Payment which is subject to a vesting schedule or other</w:t>
      </w:r>
    </w:p>
    <w:p>
      <w:pPr>
        <w:spacing w:after="0" w:line="1"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bonus, fees or other cash compensation otherwise payable to such Eligible Individual.</w:t>
      </w:r>
    </w:p>
    <w:p>
      <w:pPr>
        <w:spacing w:after="0" w:line="165" w:lineRule="exact"/>
        <w:rPr>
          <w:sz w:val="20"/>
          <w:szCs w:val="20"/>
          <w:color w:val="auto"/>
        </w:rPr>
      </w:pPr>
    </w:p>
    <w:p>
      <w:pPr>
        <w:jc w:val="both"/>
        <w:ind w:right="600"/>
        <w:spacing w:after="0" w:line="22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Each of the Board and the Committee is authorized to grant Deferred Stock to any Eligible Individual. The number of shares of Deferred Stock shall be determined by the Administrator and may (but is not required to) be based on performance criteria or other specific criteria,</w:t>
      </w:r>
    </w:p>
    <w:p>
      <w:pPr>
        <w:spacing w:after="0" w:line="205" w:lineRule="auto"/>
        <w:rPr>
          <w:sz w:val="20"/>
          <w:szCs w:val="20"/>
          <w:color w:val="auto"/>
        </w:rPr>
      </w:pPr>
      <w:r>
        <w:rPr>
          <w:rFonts w:ascii="Times New Roman" w:cs="Times New Roman" w:eastAsia="Times New Roman" w:hAnsi="Times New Roman"/>
          <w:sz w:val="18"/>
          <w:szCs w:val="18"/>
          <w:color w:val="auto"/>
        </w:rPr>
        <w:t>including service to the Company or any Affiliate, as the Administrator determines, in each case on a specified date or dates or over any period or periods</w:t>
      </w:r>
    </w:p>
    <w:p>
      <w:pPr>
        <w:spacing w:after="0" w:line="203" w:lineRule="auto"/>
        <w:rPr>
          <w:sz w:val="20"/>
          <w:szCs w:val="20"/>
          <w:color w:val="auto"/>
        </w:rPr>
      </w:pPr>
      <w:r>
        <w:rPr>
          <w:rFonts w:ascii="Times New Roman" w:cs="Times New Roman" w:eastAsia="Times New Roman" w:hAnsi="Times New Roman"/>
          <w:sz w:val="18"/>
          <w:szCs w:val="18"/>
          <w:color w:val="auto"/>
        </w:rPr>
        <w:t>determined by the Administrator. Shares underlying a Deferred Stock award which is subject to a vesting schedule or other conditions or criteria set by the</w:t>
      </w:r>
    </w:p>
    <w:p>
      <w:pPr>
        <w:spacing w:after="0" w:line="219" w:lineRule="auto"/>
        <w:rPr>
          <w:sz w:val="20"/>
          <w:szCs w:val="20"/>
          <w:color w:val="auto"/>
        </w:rPr>
      </w:pPr>
      <w:r>
        <w:rPr>
          <w:rFonts w:ascii="Times New Roman" w:cs="Times New Roman" w:eastAsia="Times New Roman" w:hAnsi="Times New Roman"/>
          <w:sz w:val="18"/>
          <w:szCs w:val="18"/>
          <w:color w:val="auto"/>
        </w:rPr>
        <w:t>Administrator will be issued on the vesting date(s) or date(s) that those conditions and criteria have been satisfied, as applicable. Unless otherwise provided</w:t>
      </w:r>
    </w:p>
    <w:p>
      <w:pPr>
        <w:spacing w:after="0" w:line="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72"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Deferred Stock Units</w:t>
      </w:r>
      <w:r>
        <w:rPr>
          <w:rFonts w:ascii="Times New Roman" w:cs="Times New Roman" w:eastAsia="Times New Roman" w:hAnsi="Times New Roman"/>
          <w:sz w:val="17"/>
          <w:szCs w:val="17"/>
          <w:color w:val="auto"/>
        </w:rPr>
        <w:t>. Each of the Board and the Committee is authorized to grant Deferred Stock Units to any Eligible Individual. The number of Deferred Stock Units shall be determined by the Administrator and may (but is not required to) be based on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of Common Stock on the date the Deferred</w:t>
      </w:r>
    </w:p>
    <w:p>
      <w:pPr>
        <w:spacing w:after="0" w:line="2" w:lineRule="exact"/>
        <w:rPr>
          <w:sz w:val="20"/>
          <w:szCs w:val="20"/>
          <w:color w:val="auto"/>
        </w:rPr>
      </w:pPr>
    </w:p>
    <w:p>
      <w:pPr>
        <w:jc w:val="both"/>
        <w:ind w:right="340"/>
        <w:spacing w:after="0" w:line="208" w:lineRule="auto"/>
        <w:rPr>
          <w:sz w:val="20"/>
          <w:szCs w:val="20"/>
          <w:color w:val="auto"/>
        </w:rPr>
      </w:pPr>
      <w:r>
        <w:rPr>
          <w:rFonts w:ascii="Times New Roman" w:cs="Times New Roman" w:eastAsia="Times New Roman" w:hAnsi="Times New Roman"/>
          <w:sz w:val="18"/>
          <w:szCs w:val="18"/>
          <w:color w:val="auto"/>
        </w:rPr>
        <w:t>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Administrator, a Holder of Deferred Stock Units shall have no rights as a Company stockholder with respect to such Deferred Stock Units until such time as the Award has vested and any</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applicable conditions and/or criteria have been satisfied and the Shares underlying the Award have been issued to the Holder.</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a Performance Award, Dividend Equivalent award, Stock Payment award, Deferred Stock award and/or Deferred Stock Unit award shall be set by the Administrator in its sole discretion.</w:t>
      </w:r>
    </w:p>
    <w:p>
      <w:pPr>
        <w:spacing w:after="0" w:line="149"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 value of a Share, unless otherwise permitted by Applicable Law.</w:t>
      </w:r>
    </w:p>
    <w:p>
      <w:pPr>
        <w:spacing w:after="0" w:line="165"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7"/>
          <w:szCs w:val="17"/>
          <w:color w:val="auto"/>
        </w:rPr>
        <w:t xml:space="preserve">9.8 </w:t>
      </w: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A Performance Award, Stock Payment award, Dividend Equivalent award, Deferred Stock award and/or Deferred Stock Unit award is distributable only while the Holder is an Employee. The Administrator, however, in its sole discretion may provide that the Performance Award,</w:t>
      </w:r>
    </w:p>
    <w:p>
      <w:pPr>
        <w:ind w:right="160"/>
        <w:spacing w:after="0" w:line="218" w:lineRule="auto"/>
        <w:rPr>
          <w:sz w:val="20"/>
          <w:szCs w:val="20"/>
          <w:color w:val="auto"/>
        </w:rPr>
      </w:pPr>
      <w:r>
        <w:rPr>
          <w:rFonts w:ascii="Times New Roman" w:cs="Times New Roman" w:eastAsia="Times New Roman" w:hAnsi="Times New Roman"/>
          <w:sz w:val="18"/>
          <w:szCs w:val="18"/>
          <w:color w:val="auto"/>
        </w:rPr>
        <w:t>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AWARD OF STOCK APPRECIATION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160" w:firstLine="8"/>
        <w:spacing w:after="0" w:line="237" w:lineRule="auto"/>
        <w:tabs>
          <w:tab w:leader="none" w:pos="2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Board and the Committee is authorized to grant Stock Appreciation Rights to Eligible Individuals from time to time, in its sole discretion, on such terms and conditions as it may determine consistent with the Plan.</w:t>
      </w:r>
    </w:p>
    <w:p>
      <w:pPr>
        <w:spacing w:after="0" w:line="158" w:lineRule="exact"/>
        <w:rPr>
          <w:rFonts w:ascii="Times New Roman" w:cs="Times New Roman" w:eastAsia="Times New Roman" w:hAnsi="Times New Roman"/>
          <w:sz w:val="18"/>
          <w:szCs w:val="18"/>
          <w:color w:val="auto"/>
        </w:rPr>
      </w:pPr>
    </w:p>
    <w:p>
      <w:pPr>
        <w:ind w:right="20" w:firstLine="8"/>
        <w:spacing w:after="0" w:line="217"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or in Section 13.2 hereof, the exercise price per Share subject to each Stock Appreciation Right shall be set by the Administrator, but shall not be less than one hundred percent (100%) of the Fair Market Value on the date the Stock Appreciation Right is granted.</w:t>
      </w:r>
    </w:p>
    <w:p>
      <w:pPr>
        <w:spacing w:after="0" w:line="174" w:lineRule="exact"/>
        <w:rPr>
          <w:rFonts w:ascii="Times New Roman" w:cs="Times New Roman" w:eastAsia="Times New Roman" w:hAnsi="Times New Roman"/>
          <w:sz w:val="18"/>
          <w:szCs w:val="18"/>
          <w:color w:val="auto"/>
        </w:rPr>
      </w:pPr>
    </w:p>
    <w:p>
      <w:pPr>
        <w:ind w:firstLine="8"/>
        <w:spacing w:after="0" w:line="230" w:lineRule="auto"/>
        <w:tabs>
          <w:tab w:leader="none" w:pos="24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Section 10.1(b) hereof to the contrary, in the case of a Stock Appreciation Right that is a Substitute Award, the price per Share of the Shares subject to such Stock Appreciation Right may be less than one hundred percent (100%) of the Fair Market Value per share on the date of grant;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Stock Appreciation Right Vesting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20" w:firstLine="8"/>
        <w:spacing w:after="0" w:line="220" w:lineRule="auto"/>
        <w:tabs>
          <w:tab w:leader="none" w:pos="2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any performance criteria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58" w:lineRule="exact"/>
        <w:rPr>
          <w:rFonts w:ascii="Times New Roman" w:cs="Times New Roman" w:eastAsia="Times New Roman" w:hAnsi="Times New Roman"/>
          <w:sz w:val="18"/>
          <w:szCs w:val="18"/>
          <w:color w:val="auto"/>
        </w:rPr>
      </w:pPr>
    </w:p>
    <w:p>
      <w:pPr>
        <w:ind w:right="60" w:firstLine="8"/>
        <w:spacing w:after="0" w:line="224"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including following a Termination of Service; provided, that in no event shall a Stock Appreciation Right become exercisable following its expiration, termination or forfeiture.</w:t>
      </w:r>
    </w:p>
    <w:p>
      <w:pPr>
        <w:sectPr>
          <w:pgSz w:w="11900" w:h="16838" w:orient="portrait"/>
          <w:cols w:equalWidth="0" w:num="1">
            <w:col w:w="11200"/>
          </w:cols>
          <w:pgMar w:left="320" w:top="1440" w:right="379" w:bottom="1440" w:gutter="0" w:footer="0" w:header="0"/>
        </w:sectPr>
      </w:pPr>
    </w:p>
    <w:bookmarkStart w:id="133" w:name="page134"/>
    <w:bookmarkEnd w:id="133"/>
    <w:p>
      <w:pPr>
        <w:spacing w:after="0" w:line="18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72" w:lineRule="exact"/>
        <w:rPr>
          <w:sz w:val="20"/>
          <w:szCs w:val="20"/>
          <w:color w:val="auto"/>
        </w:rPr>
      </w:pPr>
    </w:p>
    <w:p>
      <w:pPr>
        <w:ind w:right="40" w:firstLine="8"/>
        <w:spacing w:after="0" w:line="226"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71" w:lineRule="exact"/>
        <w:rPr>
          <w:rFonts w:ascii="Times New Roman" w:cs="Times New Roman" w:eastAsia="Times New Roman" w:hAnsi="Times New Roman"/>
          <w:sz w:val="18"/>
          <w:szCs w:val="18"/>
          <w:color w:val="auto"/>
        </w:rPr>
      </w:pPr>
    </w:p>
    <w:p>
      <w:pPr>
        <w:ind w:right="60" w:firstLine="8"/>
        <w:spacing w:after="0" w:line="226"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 and</w:t>
      </w:r>
    </w:p>
    <w:p>
      <w:pPr>
        <w:spacing w:after="0" w:line="171" w:lineRule="exact"/>
        <w:rPr>
          <w:rFonts w:ascii="Times New Roman" w:cs="Times New Roman" w:eastAsia="Times New Roman" w:hAnsi="Times New Roman"/>
          <w:sz w:val="18"/>
          <w:szCs w:val="18"/>
          <w:color w:val="auto"/>
        </w:rPr>
      </w:pPr>
    </w:p>
    <w:p>
      <w:pPr>
        <w:ind w:right="280" w:firstLine="8"/>
        <w:spacing w:after="0" w:line="237" w:lineRule="auto"/>
        <w:tabs>
          <w:tab w:leader="none" w:pos="2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Stock Appreciation Right shall be exercised pursuant to this Section 10.3 hereof by any person or persons other than the Holder, appropriate proof of the right of such person or persons to exercise the Stock Appreciation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Stock Appreciation Right Term</w:t>
      </w:r>
      <w:r>
        <w:rPr>
          <w:rFonts w:ascii="Times New Roman" w:cs="Times New Roman" w:eastAsia="Times New Roman" w:hAnsi="Times New Roman"/>
          <w:sz w:val="18"/>
          <w:szCs w:val="18"/>
          <w:color w:val="auto"/>
        </w:rPr>
        <w:t>. The term of each Stock Appreciation Right (the “</w:t>
      </w:r>
      <w:r>
        <w:rPr>
          <w:rFonts w:ascii="Times New Roman" w:cs="Times New Roman" w:eastAsia="Times New Roman" w:hAnsi="Times New Roman"/>
          <w:sz w:val="18"/>
          <w:szCs w:val="18"/>
          <w:u w:val="single" w:color="auto"/>
          <w:color w:val="auto"/>
        </w:rPr>
        <w:t>Stock Appreciation Right Term</w:t>
      </w:r>
      <w:r>
        <w:rPr>
          <w:rFonts w:ascii="Times New Roman" w:cs="Times New Roman" w:eastAsia="Times New Roman" w:hAnsi="Times New Roman"/>
          <w:sz w:val="18"/>
          <w:szCs w:val="18"/>
          <w:color w:val="auto"/>
        </w:rPr>
        <w:t>”) shall be set by the Administrator</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 xml:space="preserve">in its sole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w:t>
      </w:r>
    </w:p>
    <w:p>
      <w:pPr>
        <w:spacing w:after="0" w:line="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7"/>
          <w:szCs w:val="17"/>
          <w:color w:val="auto"/>
        </w:rPr>
        <w:t>as limited by the requirements of Section 409A of the Code and regulations and rulings thereunder or the first sentence of this Section 10.4, the Administrator may extend the Stock Appreciation Right Term of any outstanding Stock Appreciation Right, may extend the time period during which vested Stock Appreciation Rights may be exercised following any Termination of Service of the Holder, and may amend any other term or condition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Stock Appreciation Right relating to such a Termination of Service.</w:t>
      </w:r>
    </w:p>
    <w:p>
      <w:pPr>
        <w:spacing w:after="0" w:line="165"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8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The Administrator shall determine the methods by which payments by any Holder with respect to any Awards granted under the Plan shall</w:t>
      </w:r>
    </w:p>
    <w:p>
      <w:pPr>
        <w:spacing w:after="0" w:line="14"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 xml:space="preserve">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 or (d) other form of legal consideration</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w:t>
      </w:r>
    </w:p>
    <w:p>
      <w:pPr>
        <w:spacing w:after="0" w:line="2"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extension of credit with respect to such payment, with a loan from the Company or a loan arranged by the Company in violation of Section 13(k) of the Exchange Act.</w:t>
      </w:r>
    </w:p>
    <w:p>
      <w:pPr>
        <w:spacing w:after="0" w:line="18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by law</w:t>
      </w:r>
    </w:p>
    <w:p>
      <w:pPr>
        <w:ind w:right="280"/>
        <w:spacing w:after="0" w:line="220" w:lineRule="auto"/>
        <w:rPr>
          <w:sz w:val="20"/>
          <w:szCs w:val="20"/>
          <w:color w:val="auto"/>
        </w:rPr>
      </w:pPr>
      <w:r>
        <w:rPr>
          <w:rFonts w:ascii="Times New Roman" w:cs="Times New Roman" w:eastAsia="Times New Roman" w:hAnsi="Times New Roman"/>
          <w:sz w:val="17"/>
          <w:szCs w:val="17"/>
          <w:color w:val="auto"/>
        </w:rPr>
        <w:t>to be withheld with respect to any taxable event concerning a Holder arising as a result of the Plan. The Administrator may in its sole discretion and in satisfaction of the foregoing requirement allow a Holder to satisfy such obligations by any payment means described in Section 11.1 hereof, including without limitation, by allowing such Holder to elect to have the Company withhold Shares otherwise issuable under an Award (or allow the surrender of</w:t>
      </w:r>
    </w:p>
    <w:p>
      <w:pPr>
        <w:spacing w:after="0" w:line="2"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Shares). The number of Shares which may be so withheld or surrendered shall be limited to the number of Shares which have a Fair Market Value on the date of withholding or repurchase equal to the aggregate amount of such liabilities based on the minimum statutory withholding rates for federal, state, local and foreign income tax and payroll tax purposes that are applicable to such</w:t>
      </w:r>
    </w:p>
    <w:p>
      <w:pPr>
        <w:sectPr>
          <w:pgSz w:w="11900" w:h="16838" w:orient="portrait"/>
          <w:cols w:equalWidth="0" w:num="1">
            <w:col w:w="11240"/>
          </w:cols>
          <w:pgMar w:left="320" w:top="1440" w:right="339" w:bottom="1440" w:gutter="0" w:footer="0" w:header="0"/>
        </w:sectPr>
      </w:pPr>
    </w:p>
    <w:bookmarkStart w:id="134" w:name="page135"/>
    <w:bookmarkEnd w:id="134"/>
    <w:p>
      <w:pPr>
        <w:ind w:right="80"/>
        <w:spacing w:after="0" w:line="222" w:lineRule="auto"/>
        <w:rPr>
          <w:sz w:val="20"/>
          <w:szCs w:val="20"/>
          <w:color w:val="auto"/>
        </w:rPr>
      </w:pPr>
      <w:r>
        <w:rPr>
          <w:rFonts w:ascii="Times New Roman" w:cs="Times New Roman" w:eastAsia="Times New Roman" w:hAnsi="Times New Roman"/>
          <w:sz w:val="18"/>
          <w:szCs w:val="18"/>
          <w:color w:val="auto"/>
        </w:rPr>
        <w:t>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the Option or Stock Appreciation Right exercise price or any tax withholding obligation.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Except as otherwise provided in Sections 11.3(b) and 11.3(c) hereof:</w:t>
      </w:r>
    </w:p>
    <w:p>
      <w:pPr>
        <w:spacing w:after="0" w:line="198" w:lineRule="exact"/>
        <w:rPr>
          <w:sz w:val="20"/>
          <w:szCs w:val="20"/>
          <w:color w:val="auto"/>
        </w:rPr>
      </w:pPr>
    </w:p>
    <w:p>
      <w:pPr>
        <w:ind w:right="60" w:firstLine="8"/>
        <w:spacing w:after="0" w:line="226"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71" w:lineRule="exact"/>
        <w:rPr>
          <w:rFonts w:ascii="Times New Roman" w:cs="Times New Roman" w:eastAsia="Times New Roman" w:hAnsi="Times New Roman"/>
          <w:sz w:val="18"/>
          <w:szCs w:val="18"/>
          <w:color w:val="auto"/>
        </w:rPr>
      </w:pPr>
    </w:p>
    <w:p>
      <w:pPr>
        <w:ind w:right="40" w:firstLine="8"/>
        <w:spacing w:after="0" w:line="217"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73" w:lineRule="exact"/>
        <w:rPr>
          <w:rFonts w:ascii="Times New Roman" w:cs="Times New Roman" w:eastAsia="Times New Roman" w:hAnsi="Times New Roman"/>
          <w:sz w:val="18"/>
          <w:szCs w:val="18"/>
          <w:color w:val="auto"/>
        </w:rPr>
      </w:pPr>
    </w:p>
    <w:p>
      <w:pPr>
        <w:jc w:val="both"/>
        <w:ind w:right="100" w:firstLine="8"/>
        <w:spacing w:after="0" w:line="224" w:lineRule="auto"/>
        <w:tabs>
          <w:tab w:leader="none" w:pos="3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59" w:lineRule="exact"/>
        <w:rPr>
          <w:sz w:val="20"/>
          <w:szCs w:val="20"/>
          <w:color w:val="auto"/>
        </w:rPr>
      </w:pPr>
    </w:p>
    <w:p>
      <w:pPr>
        <w:ind w:right="120" w:firstLine="8"/>
        <w:spacing w:after="0" w:line="215"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11.3(a) hereof, the Administrator, in its sole discretion, may determine to permit a Holder or a Permitted Transferee of such Holder to transfer an Award to any one or more Permitted Transferees, subject to the following terms and conditions: (i) an Award transferred to a Permitted Transferee shall not be assignable or transferable by the Permitted Transferee (other than to another Permitted Transferee of the applicable Holder)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77" w:lineRule="exact"/>
        <w:rPr>
          <w:rFonts w:ascii="Times New Roman" w:cs="Times New Roman" w:eastAsia="Times New Roman" w:hAnsi="Times New Roman"/>
          <w:sz w:val="18"/>
          <w:szCs w:val="18"/>
          <w:color w:val="auto"/>
        </w:rPr>
      </w:pPr>
    </w:p>
    <w:p>
      <w:pPr>
        <w:ind w:firstLine="8"/>
        <w:spacing w:after="0" w:line="213"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Section 11.3(a) hereof,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fifty percent (50%) of the Holder’s interest in the Award shall not be effective without the prior written or electronic consent of the Holder’s spouse or domestic partner, as applicable.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change or revocation is filed with the Administrator prior to the Holder’s death.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8"/>
        <w:spacing w:after="0" w:line="224" w:lineRule="auto"/>
        <w:tabs>
          <w:tab w:leader="none" w:pos="24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all Applicable Law, and the Shares are covered by an effective registration statement or applicable exemption from registration. In addition to the terms and conditions provided herein, the Board or the Committee may require</w:t>
      </w:r>
    </w:p>
    <w:p>
      <w:pPr>
        <w:sectPr>
          <w:pgSz w:w="11900" w:h="16838" w:orient="portrait"/>
          <w:cols w:equalWidth="0" w:num="1">
            <w:col w:w="11220"/>
          </w:cols>
          <w:pgMar w:left="320" w:top="1404" w:right="359" w:bottom="1440" w:gutter="0" w:footer="0" w:header="0"/>
        </w:sectPr>
      </w:pPr>
    </w:p>
    <w:bookmarkStart w:id="135" w:name="page136"/>
    <w:bookmarkEnd w:id="135"/>
    <w:p>
      <w:pPr>
        <w:spacing w:after="0" w:line="180"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that a Holder make such reasonable covenants, agreements, and representations as the Board or the Committee, in its discretion, deems advisable in order to comply with Applicable Law.</w:t>
      </w:r>
    </w:p>
    <w:p>
      <w:pPr>
        <w:spacing w:after="0" w:line="199" w:lineRule="exact"/>
        <w:rPr>
          <w:sz w:val="20"/>
          <w:szCs w:val="20"/>
          <w:color w:val="auto"/>
        </w:rPr>
      </w:pPr>
    </w:p>
    <w:p>
      <w:pPr>
        <w:ind w:right="120" w:firstLine="8"/>
        <w:spacing w:after="0" w:line="226"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71" w:lineRule="exact"/>
        <w:rPr>
          <w:rFonts w:ascii="Times New Roman" w:cs="Times New Roman" w:eastAsia="Times New Roman" w:hAnsi="Times New Roman"/>
          <w:sz w:val="18"/>
          <w:szCs w:val="18"/>
          <w:color w:val="auto"/>
        </w:rPr>
      </w:pPr>
    </w:p>
    <w:p>
      <w:pPr>
        <w:ind w:right="140" w:firstLine="8"/>
        <w:spacing w:after="0" w:line="237" w:lineRule="auto"/>
        <w:tabs>
          <w:tab w:leader="none" w:pos="2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8" w:lineRule="exact"/>
        <w:rPr>
          <w:rFonts w:ascii="Times New Roman" w:cs="Times New Roman" w:eastAsia="Times New Roman" w:hAnsi="Times New Roman"/>
          <w:sz w:val="18"/>
          <w:szCs w:val="18"/>
          <w:color w:val="auto"/>
        </w:rPr>
      </w:pPr>
    </w:p>
    <w:p>
      <w:pPr>
        <w:ind w:right="40" w:firstLine="8"/>
        <w:spacing w:after="0" w:line="250"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49" w:lineRule="exact"/>
        <w:rPr>
          <w:rFonts w:ascii="Times New Roman" w:cs="Times New Roman" w:eastAsia="Times New Roman" w:hAnsi="Times New Roman"/>
          <w:sz w:val="18"/>
          <w:szCs w:val="18"/>
          <w:color w:val="auto"/>
        </w:rPr>
      </w:pPr>
    </w:p>
    <w:p>
      <w:pPr>
        <w:jc w:val="both"/>
        <w:ind w:right="160" w:firstLine="8"/>
        <w:spacing w:after="0" w:line="231" w:lineRule="auto"/>
        <w:tabs>
          <w:tab w:leader="none" w:pos="2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unless otherwise determined by the Administrator or required by any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58"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Forfeiture and Claw-Back Provisions</w:t>
      </w:r>
      <w:r>
        <w:rPr>
          <w:rFonts w:ascii="Times New Roman" w:cs="Times New Roman" w:eastAsia="Times New Roman" w:hAnsi="Times New Roman"/>
          <w:sz w:val="18"/>
          <w:szCs w:val="18"/>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that:</w:t>
      </w:r>
    </w:p>
    <w:p>
      <w:pPr>
        <w:spacing w:after="0" w:line="165" w:lineRule="exact"/>
        <w:rPr>
          <w:sz w:val="20"/>
          <w:szCs w:val="20"/>
          <w:color w:val="auto"/>
        </w:rPr>
      </w:pPr>
    </w:p>
    <w:p>
      <w:pPr>
        <w:ind w:firstLine="8"/>
        <w:spacing w:after="0" w:line="217" w:lineRule="auto"/>
        <w:tabs>
          <w:tab w:leader="none" w:pos="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61" w:lineRule="exact"/>
        <w:rPr>
          <w:rFonts w:ascii="Times New Roman" w:cs="Times New Roman" w:eastAsia="Times New Roman" w:hAnsi="Times New Roman"/>
          <w:sz w:val="18"/>
          <w:szCs w:val="18"/>
          <w:color w:val="auto"/>
        </w:rPr>
      </w:pPr>
    </w:p>
    <w:p>
      <w:pPr>
        <w:ind w:right="20" w:firstLine="8"/>
        <w:spacing w:after="0" w:line="223" w:lineRule="auto"/>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86" w:lineRule="exact"/>
        <w:rPr>
          <w:sz w:val="20"/>
          <w:szCs w:val="20"/>
          <w:color w:val="auto"/>
        </w:rPr>
      </w:pPr>
    </w:p>
    <w:p>
      <w:pPr>
        <w:ind w:right="340"/>
        <w:spacing w:after="0" w:line="22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Prohibition on Repricing</w:t>
      </w:r>
      <w:r>
        <w:rPr>
          <w:rFonts w:ascii="Times New Roman" w:cs="Times New Roman" w:eastAsia="Times New Roman" w:hAnsi="Times New Roman"/>
          <w:sz w:val="18"/>
          <w:szCs w:val="18"/>
          <w:color w:val="auto"/>
        </w:rPr>
        <w:t>. Subject to Section 13.2 hereof, the Administrator shall not, without the approval of the stockholders of the Company, (i) authorize the amendment of any outstanding Option or Stock Appreciation Right to reduce its price per Share, or (ii) cancel any Option or Stock</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Appreciation Right in exchange for cash or another Award when the Option or Stock Appreciation Right price per Share exceeds the Fair Market Value of the underlying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Unless the Administrator provides otherwise, vesting of Awards granted hereunder shall be suspended during any unpaid leave of</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absence. A Holder shall not cease to be considered an Employee in the case of any (a) leave of absence approved by the Company or (b) transfer between locations of the Company or between the Company and any of its Affiliates or any successor thereof.</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2" w:lineRule="exact"/>
        <w:rPr>
          <w:sz w:val="20"/>
          <w:szCs w:val="20"/>
          <w:color w:val="auto"/>
        </w:rPr>
      </w:pPr>
    </w:p>
    <w:p>
      <w:pPr>
        <w:ind w:right="180"/>
        <w:spacing w:after="0" w:line="21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Committee and the Board shall administer the Plan (except as otherwise permitted herein). Any action taken by the Board in connection with the administration of the Plan shall not be deemed approved by the Board unless such actions are approved by a majority of the Non-Employee Directors. Except as may otherwise be provided in any charter of the Committee or the Board, appointment of Committee and Board members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effective upon acceptance of appointment. Committee and Board members may resign at any time by delivering</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or electronic notice to the Board. Vacancies in the Committee and the Board may only be filled by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Duties and Powers of Administrator</w:t>
      </w:r>
      <w:r>
        <w:rPr>
          <w:rFonts w:ascii="Times New Roman" w:cs="Times New Roman" w:eastAsia="Times New Roman" w:hAnsi="Times New Roman"/>
          <w:sz w:val="18"/>
          <w:szCs w:val="18"/>
          <w:color w:val="auto"/>
        </w:rPr>
        <w:t>. It shall be the duty of the Administrator to conduct the general administration of the Plan in accordance with its</w:t>
      </w:r>
    </w:p>
    <w:p>
      <w:pPr>
        <w:spacing w:after="0" w:line="2" w:lineRule="exact"/>
        <w:rPr>
          <w:sz w:val="20"/>
          <w:szCs w:val="20"/>
          <w:color w:val="auto"/>
        </w:rPr>
      </w:pPr>
    </w:p>
    <w:p>
      <w:pPr>
        <w:ind w:right="200"/>
        <w:spacing w:after="0" w:line="208" w:lineRule="auto"/>
        <w:rPr>
          <w:sz w:val="20"/>
          <w:szCs w:val="20"/>
          <w:color w:val="auto"/>
        </w:rPr>
      </w:pPr>
      <w:r>
        <w:rPr>
          <w:rFonts w:ascii="Times New Roman" w:cs="Times New Roman" w:eastAsia="Times New Roman" w:hAnsi="Times New Roman"/>
          <w:sz w:val="18"/>
          <w:szCs w:val="18"/>
          <w:color w:val="auto"/>
        </w:rPr>
        <w:t xml:space="preserve">provisions. The Administrator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Agreement are not affected materially and adversely by such amendment, unless the consent of the Holder is obtained or such amendment is otherwise permitted under Section 13.10 hereof. Any such grant or award under the Plan need not be the same with respect to each Holder. In its sole discretion, the Board may at any time and from time to time exercise any and all rights and duties of the Committee under the Plan except as described in Section 12.1</w:t>
      </w:r>
    </w:p>
    <w:p>
      <w:pPr>
        <w:spacing w:after="0" w:line="2" w:lineRule="exact"/>
        <w:rPr>
          <w:sz w:val="20"/>
          <w:szCs w:val="20"/>
          <w:color w:val="auto"/>
        </w:rPr>
      </w:pPr>
    </w:p>
    <w:p>
      <w:pPr>
        <w:jc w:val="both"/>
        <w:ind w:right="620"/>
        <w:spacing w:after="0" w:line="226" w:lineRule="auto"/>
        <w:rPr>
          <w:sz w:val="20"/>
          <w:szCs w:val="20"/>
          <w:color w:val="auto"/>
        </w:rPr>
      </w:pPr>
      <w:r>
        <w:rPr>
          <w:rFonts w:ascii="Times New Roman" w:cs="Times New Roman" w:eastAsia="Times New Roman" w:hAnsi="Times New Roman"/>
          <w:sz w:val="18"/>
          <w:szCs w:val="18"/>
          <w:color w:val="auto"/>
        </w:rPr>
        <w:t>above and with respect to matters which under Rule 16b-3 under the Exchange Act or any successor rule, or the rules of any securities exchange or automated quotation system on which the Shares are listed, quoted or traded are required to be determined in the sole discretion of the Committee.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Unless otherwise established by the Board or in any charter of the Committee, a majority of the Committee shall constitute</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certified public accountants, or any executive compensation consultant or other professional retained by the Company to assist in the administration of the Plan.</w:t>
      </w:r>
    </w:p>
    <w:p>
      <w:pPr>
        <w:spacing w:after="0" w:line="15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Subject to the Company’s Bylaws, the Committee’s Charter and any specific designation in the Plan, the Administrator has the exclusive power, authority and sole discretion to:</w:t>
      </w:r>
    </w:p>
    <w:p>
      <w:pPr>
        <w:spacing w:after="0" w:line="149" w:lineRule="exact"/>
        <w:rPr>
          <w:sz w:val="20"/>
          <w:szCs w:val="20"/>
          <w:color w:val="auto"/>
        </w:rPr>
      </w:pPr>
    </w:p>
    <w:p>
      <w:pPr>
        <w:ind w:right="60" w:firstLine="8"/>
        <w:spacing w:after="0" w:line="220"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procedures from time to time in the Administrator’s discretion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Eligible Individuals to receive Awards;</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Eligible Individual;</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198" w:lineRule="exact"/>
        <w:rPr>
          <w:rFonts w:ascii="Times New Roman" w:cs="Times New Roman" w:eastAsia="Times New Roman" w:hAnsi="Times New Roman"/>
          <w:sz w:val="18"/>
          <w:szCs w:val="18"/>
          <w:color w:val="auto"/>
        </w:rPr>
      </w:pPr>
    </w:p>
    <w:p>
      <w:pPr>
        <w:ind w:right="20" w:firstLine="8"/>
        <w:spacing w:after="0" w:line="224" w:lineRule="auto"/>
        <w:tabs>
          <w:tab w:leader="none" w:pos="2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58" w:lineRule="exact"/>
        <w:rPr>
          <w:rFonts w:ascii="Times New Roman" w:cs="Times New Roman" w:eastAsia="Times New Roman" w:hAnsi="Times New Roman"/>
          <w:sz w:val="18"/>
          <w:szCs w:val="18"/>
          <w:color w:val="auto"/>
        </w:rPr>
      </w:pPr>
    </w:p>
    <w:p>
      <w:pPr>
        <w:ind w:right="260" w:firstLine="8"/>
        <w:spacing w:after="0" w:line="237" w:lineRule="auto"/>
        <w:tabs>
          <w:tab w:leader="none" w:pos="2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Holder;</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84"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as it may deem necessary or advisable to administer the Plan;</w:t>
      </w:r>
    </w:p>
    <w:p>
      <w:pPr>
        <w:spacing w:after="0" w:line="21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any Program or any Award Agreement;</w:t>
      </w:r>
    </w:p>
    <w:p>
      <w:pPr>
        <w:spacing w:after="0" w:line="198" w:lineRule="exact"/>
        <w:rPr>
          <w:rFonts w:ascii="Times New Roman" w:cs="Times New Roman" w:eastAsia="Times New Roman" w:hAnsi="Times New Roman"/>
          <w:sz w:val="18"/>
          <w:szCs w:val="18"/>
          <w:color w:val="auto"/>
        </w:rPr>
      </w:pPr>
    </w:p>
    <w:p>
      <w:pPr>
        <w:ind w:right="700" w:firstLine="8"/>
        <w:spacing w:after="0" w:line="237"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Administrator deems necessary or advisable to administer the Plan; and</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80" w:lineRule="exact"/>
        <w:rPr>
          <w:sz w:val="20"/>
          <w:szCs w:val="20"/>
          <w:color w:val="auto"/>
        </w:rPr>
      </w:pPr>
    </w:p>
    <w:p>
      <w:pPr>
        <w:ind w:right="420" w:firstLine="8"/>
        <w:spacing w:after="0" w:line="237"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wholly or partially the vesting or lapse of restrictions of any Award or portion thereof at any time after the grant of an Award, subject to whatever terms and conditions it selects and Sections 3.4 and 13.2(d) hereof.</w:t>
      </w:r>
    </w:p>
    <w:p>
      <w:pPr>
        <w:spacing w:after="0" w:line="17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To the extent permitted by Applicable Law, the Board or Committee may from time to time delegate to a committee of one or</w:t>
      </w:r>
    </w:p>
    <w:p>
      <w:pPr>
        <w:spacing w:after="0" w:line="14"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more Non-Employee Directors or officers of the Company the authority to amend Awards or to take other administrative actions pursuant to Article 12. Notwithstanding the foregoing, only the Committee and the Board, acting in accordance with this Article 12, may grant Awards hereunder. Any delegation hereunder shall be subject to the restrictions and limits that the Board or Committee specifies at the time of such delegation, and the Board may at any time</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rescind the authority so delegated or appoint a new delegatee. At all times, the delegatee appointed under this Section 12.6 shall serve in such capacity at the pleasure of the Board and the Committee.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189"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Amendment, Suspension or Termination of the Plan</w:t>
      </w:r>
      <w:r>
        <w:rPr>
          <w:rFonts w:ascii="Times New Roman" w:cs="Times New Roman" w:eastAsia="Times New Roman" w:hAnsi="Times New Roman"/>
          <w:sz w:val="17"/>
          <w:szCs w:val="17"/>
          <w:color w:val="auto"/>
        </w:rPr>
        <w:t>. Except as otherwise provided in this Section 13.1, the Plan may be wholly or partially amended or otherwise modified, suspended or terminated at any time or from time to time by the Board or the Committee. However, without approval of the</w:t>
      </w:r>
    </w:p>
    <w:p>
      <w:pPr>
        <w:ind w:right="120"/>
        <w:spacing w:after="0" w:line="208" w:lineRule="auto"/>
        <w:rPr>
          <w:sz w:val="20"/>
          <w:szCs w:val="20"/>
          <w:color w:val="auto"/>
        </w:rPr>
      </w:pPr>
      <w:r>
        <w:rPr>
          <w:rFonts w:ascii="Times New Roman" w:cs="Times New Roman" w:eastAsia="Times New Roman" w:hAnsi="Times New Roman"/>
          <w:sz w:val="18"/>
          <w:szCs w:val="18"/>
          <w:color w:val="auto"/>
        </w:rPr>
        <w:t>Company’s stockholders given within twelve (12) months before or after the action by the Administrator, no action of the Administrator may, except as provided in Section 13.2 hereof (a) reduce the price per share of any outstanding Option or Stock Appreciation Right granted under the Plan, or (b) cancel any Option or Stock Appreciation Right in exchange for cash or another Award when the Option or Stock Appreciation Right price per share exceeds the</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Fair Market Value of the underlying Shares. Except as provided in Section 13.10 hereof,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Changes in Common Stock or Assets of the Company, Acquisition or Liquidation of the Company and Other Corporate Events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firstLine="8"/>
        <w:spacing w:after="0" w:line="217"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hereof on the maximum number and kind of shares which may be issued under the Plan);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w:t>
      </w:r>
    </w:p>
    <w:p>
      <w:pPr>
        <w:spacing w:after="0" w:line="161" w:lineRule="exact"/>
        <w:rPr>
          <w:rFonts w:ascii="Times New Roman" w:cs="Times New Roman" w:eastAsia="Times New Roman" w:hAnsi="Times New Roman"/>
          <w:sz w:val="18"/>
          <w:szCs w:val="18"/>
          <w:color w:val="auto"/>
        </w:rPr>
      </w:pPr>
    </w:p>
    <w:p>
      <w:pPr>
        <w:ind w:right="140" w:firstLine="8"/>
        <w:spacing w:after="0" w:line="217"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transaction or event described in Section 13.2(a) hereof or any unusual or nonrecurring transactions or events affecting the Company, any Affiliate of the Company, or the financial statements of the Company or any Affiliate, or of changes in Applicable Law,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61" w:lineRule="exact"/>
        <w:rPr>
          <w:sz w:val="20"/>
          <w:szCs w:val="20"/>
          <w:color w:val="auto"/>
        </w:rPr>
      </w:pPr>
    </w:p>
    <w:p>
      <w:pPr>
        <w:ind w:right="40" w:firstLine="8"/>
        <w:spacing w:after="0" w:line="220" w:lineRule="auto"/>
        <w:tabs>
          <w:tab w:leader="none" w:pos="2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(A) termination of any such Award in exchange for an amount of cash and/or other property, if any,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w:t>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attained upon the exercise of such Award or realization of the Holder’s rights had such Award been currently exercisable or payable or fully vested;</w:t>
      </w:r>
    </w:p>
    <w:p>
      <w:pPr>
        <w:spacing w:after="0" w:line="185" w:lineRule="exact"/>
        <w:rPr>
          <w:sz w:val="20"/>
          <w:szCs w:val="20"/>
          <w:color w:val="auto"/>
        </w:rPr>
      </w:pPr>
    </w:p>
    <w:p>
      <w:pPr>
        <w:ind w:right="80" w:firstLine="8"/>
        <w:spacing w:after="0" w:line="231"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5" w:lineRule="exact"/>
        <w:rPr>
          <w:rFonts w:ascii="Times New Roman" w:cs="Times New Roman" w:eastAsia="Times New Roman" w:hAnsi="Times New Roman"/>
          <w:sz w:val="18"/>
          <w:szCs w:val="18"/>
          <w:color w:val="auto"/>
        </w:rPr>
      </w:pPr>
    </w:p>
    <w:p>
      <w:pPr>
        <w:ind w:right="40" w:firstLine="8"/>
        <w:spacing w:after="0" w:line="231" w:lineRule="auto"/>
        <w:tabs>
          <w:tab w:leader="none" w:pos="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58" w:lineRule="exact"/>
        <w:rPr>
          <w:rFonts w:ascii="Times New Roman" w:cs="Times New Roman" w:eastAsia="Times New Roman" w:hAnsi="Times New Roman"/>
          <w:sz w:val="18"/>
          <w:szCs w:val="18"/>
          <w:color w:val="auto"/>
        </w:rPr>
      </w:pPr>
    </w:p>
    <w:p>
      <w:pPr>
        <w:ind w:right="220" w:firstLine="8"/>
        <w:spacing w:after="0" w:line="250" w:lineRule="auto"/>
        <w:tabs>
          <w:tab w:leader="none" w:pos="3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4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cannot vest, be exercised or become payable after such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In connection with the occurrence of any Equity Restructuring, and notwithstanding anything to the contrary in Sections 13.2(a) and 13.2(b) hereof:</w:t>
      </w:r>
    </w:p>
    <w:p>
      <w:pPr>
        <w:spacing w:after="0" w:line="198" w:lineRule="exact"/>
        <w:rPr>
          <w:sz w:val="20"/>
          <w:szCs w:val="20"/>
          <w:color w:val="auto"/>
        </w:rPr>
      </w:pPr>
    </w:p>
    <w:p>
      <w:pPr>
        <w:ind w:right="520" w:firstLine="8"/>
        <w:spacing w:after="0" w:line="237" w:lineRule="auto"/>
        <w:tabs>
          <w:tab w:leader="none" w:pos="2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subject to each outstanding Award and the exercise price or grant price thereof, if applicable, shall be equitably adjusted; and/or</w:t>
      </w:r>
    </w:p>
    <w:p>
      <w:pPr>
        <w:spacing w:after="0" w:line="158" w:lineRule="exact"/>
        <w:rPr>
          <w:rFonts w:ascii="Times New Roman" w:cs="Times New Roman" w:eastAsia="Times New Roman" w:hAnsi="Times New Roman"/>
          <w:sz w:val="18"/>
          <w:szCs w:val="18"/>
          <w:color w:val="auto"/>
        </w:rPr>
      </w:pPr>
    </w:p>
    <w:p>
      <w:pPr>
        <w:ind w:right="200" w:firstLine="8"/>
        <w:spacing w:after="0" w:line="231" w:lineRule="auto"/>
        <w:tabs>
          <w:tab w:leader="none" w:pos="2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hereof on the maximum number and kind of shares which may be issued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provided under this Section 13.2(c) shall be nondiscretionary and shall be final and binding on the affected Holder and the Company.</w:t>
      </w:r>
    </w:p>
    <w:p>
      <w:pPr>
        <w:spacing w:after="0" w:line="198"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20" w:firstLine="8"/>
        <w:spacing w:after="0" w:line="237" w:lineRule="auto"/>
        <w:tabs>
          <w:tab w:leader="none" w:pos="2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w:t>
      </w:r>
    </w:p>
    <w:p>
      <w:pPr>
        <w:spacing w:after="0" w:line="171" w:lineRule="exact"/>
        <w:rPr>
          <w:rFonts w:ascii="Times New Roman" w:cs="Times New Roman" w:eastAsia="Times New Roman" w:hAnsi="Times New Roman"/>
          <w:sz w:val="18"/>
          <w:szCs w:val="18"/>
          <w:color w:val="auto"/>
        </w:rPr>
      </w:pPr>
    </w:p>
    <w:p>
      <w:pPr>
        <w:ind w:firstLine="8"/>
        <w:spacing w:after="0" w:line="215" w:lineRule="auto"/>
        <w:tabs>
          <w:tab w:leader="none" w:pos="2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in a Change in Control and its parents and subsidiaries refuse to assume or substitute for any Award in accordance with Section 13.2(d)(i) hereof, each such non-assumed/substituted Award, except for any Performance Awards, shall become fully vested and, as applicable, exercisable and shall be deemed exercised, immediately prior to the consummation of such transaction, and all forfeiture restrictions on any or all such Awards shall lapse at such time. For the avoidance of doubt, the vesting of any Performance Awards not assumed in a Change in Control will not be automatically accelerated pursuant to this Section 13.2(d)(ii) and will instead vest pursuant to the terms and conditions of the applicable Award Agreement upon a Change in Control where the successor corporation and its parents and subsidiaries refuse to assume or substitute for any Award in accordance with Section 13.2(d)(i) hereof. If an Award vests and, as applicable, is exercised in lieu of assumption or substitution in connection with a Change in Control, the Administrator shall notify the Holder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spacing w:after="0" w:line="157" w:lineRule="exact"/>
        <w:rPr>
          <w:sz w:val="20"/>
          <w:szCs w:val="20"/>
          <w:color w:val="auto"/>
        </w:rPr>
      </w:pPr>
    </w:p>
    <w:p>
      <w:pPr>
        <w:ind w:right="360" w:firstLine="8"/>
        <w:spacing w:after="0" w:line="237" w:lineRule="auto"/>
        <w:tabs>
          <w:tab w:leader="none" w:pos="2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71" w:lineRule="exact"/>
        <w:rPr>
          <w:rFonts w:ascii="Times New Roman" w:cs="Times New Roman" w:eastAsia="Times New Roman" w:hAnsi="Times New Roman"/>
          <w:sz w:val="18"/>
          <w:szCs w:val="18"/>
          <w:color w:val="auto"/>
        </w:rPr>
      </w:pPr>
    </w:p>
    <w:p>
      <w:pPr>
        <w:ind w:right="20" w:firstLine="8"/>
        <w:spacing w:after="0" w:line="220" w:lineRule="auto"/>
        <w:tabs>
          <w:tab w:leader="none" w:pos="2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0"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18"/>
          <w:szCs w:val="18"/>
          <w:color w:val="auto"/>
        </w:rPr>
        <w:t>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2" w:lineRule="exact"/>
        <w:rPr>
          <w:sz w:val="20"/>
          <w:szCs w:val="20"/>
          <w:color w:val="auto"/>
        </w:rPr>
      </w:pPr>
    </w:p>
    <w:p>
      <w:pPr>
        <w:ind w:right="60" w:firstLine="8"/>
        <w:spacing w:after="0" w:line="224"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59"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Stockholder Approval of the Plan not Required.</w:t>
      </w:r>
      <w:r>
        <w:rPr>
          <w:rFonts w:ascii="Times New Roman" w:cs="Times New Roman" w:eastAsia="Times New Roman" w:hAnsi="Times New Roman"/>
          <w:sz w:val="18"/>
          <w:szCs w:val="18"/>
          <w:color w:val="auto"/>
        </w:rPr>
        <w:t xml:space="preserve"> It is expressly intended that approval of the Company’s stockholders not be required as a condition of the effectiveness of the Plan, and the Plan’s provisions shall be interpreted in a manner consistent with such intent for all purposes. Specifically, Nasdaq</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Plan may only be made to Employees who have not previously been an Employee or Director of the Company or a Subsidiary, or following a bona fide period of non-employment by the Company or a Subsidiary, as an inducement material to the Employee’s entering into employment with the Company or a Subsidiary. Awards under the Plan will be approved by (i) the Company’s Compensation Committee comprised of a majority of the Company’s Non-</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Employee Directors or (ii) a majority of the Company’s Non-Employee Directors. Accordingly, pursuant to Nasdaq Stock Market Rule 5635(c)(4), the issuance of Awards and the Shares issuable upon exercise or vesting of such Awards pursuant to the Plan are not subject to the approval of the Company’s stockholders.</w:t>
      </w:r>
    </w:p>
    <w:p>
      <w:pPr>
        <w:spacing w:after="0" w:line="172"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No Stockholders Rights</w:t>
      </w:r>
      <w:r>
        <w:rPr>
          <w:rFonts w:ascii="Times New Roman" w:cs="Times New Roman" w:eastAsia="Times New Roman" w:hAnsi="Times New Roman"/>
          <w:sz w:val="18"/>
          <w:szCs w:val="18"/>
          <w:color w:val="auto"/>
        </w:rPr>
        <w:t>. Except as otherwise provided herein, a Holder shall have none of the rights of a stockholder with respect to Shares covered by any Award until the Holder becomes the record owner of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Company or any Affiliate. Nothing in the Plan shall be construed to limit the right of the Company or any Affiliate: (a) to establish any other forms of incentives or compensation for Employees or other service providers of the Company or any Affiliate, or (b) to grant or assume options or other rights or awards otherwise than under the Plan in connection with any proper corporate purpose including without limitation, the grant or assumption of options in</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connection with the acquisition by purchase, lease, merger, consolidation or otherwise, of the business, stock or assets of any corporation, partnership, limited liability company, firm or association.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Plan, the granting and vesting of Awards under the Plan and the issuance and delivery of Shares and the payment of</w:t>
      </w:r>
    </w:p>
    <w:p>
      <w:pPr>
        <w:spacing w:after="0" w:line="2"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money under the Plan or under Awards granted or awarded hereunder are subject to compliance with all Applicable Law,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extent permitted by Applicable Law, the Plan and Awards granted or awarded hereunder shall be deemed amended to the extent necessary to conform to such Applicable Law.</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Titles and Headings, References to Sections of the Code or Exchange Act</w:t>
      </w:r>
      <w:r>
        <w:rPr>
          <w:rFonts w:ascii="Times New Roman" w:cs="Times New Roman" w:eastAsia="Times New Roman" w:hAnsi="Times New Roman"/>
          <w:sz w:val="18"/>
          <w:szCs w:val="18"/>
          <w:color w:val="auto"/>
        </w:rPr>
        <w:t>. The titles and headings of the Sections in the Plan are for convenience of</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reference only and, in the event of any conflict, the text of the Plan, rather than such titles or headings, shall control. References to sections of the Code or the Exchange Act shall include any amendment or successor thereto.</w:t>
      </w:r>
    </w:p>
    <w:p>
      <w:pPr>
        <w:spacing w:after="0" w:line="157"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 xml:space="preserve">13.9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 State of Delaware without regard to conflicts of laws thereof or of any other jurisdiction.</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207"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 xml:space="preserve">13.10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w:t>
      </w:r>
    </w:p>
    <w:p>
      <w:pPr>
        <w:jc w:val="both"/>
        <w:spacing w:after="0" w:line="220" w:lineRule="auto"/>
        <w:rPr>
          <w:sz w:val="20"/>
          <w:szCs w:val="20"/>
          <w:color w:val="auto"/>
        </w:rPr>
      </w:pPr>
      <w:r>
        <w:rPr>
          <w:rFonts w:ascii="Times New Roman" w:cs="Times New Roman" w:eastAsia="Times New Roman" w:hAnsi="Times New Roman"/>
          <w:sz w:val="17"/>
          <w:szCs w:val="17"/>
          <w:color w:val="auto"/>
        </w:rPr>
        <w:t>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72" w:lineRule="exact"/>
        <w:rPr>
          <w:sz w:val="20"/>
          <w:szCs w:val="20"/>
          <w:color w:val="auto"/>
        </w:rPr>
      </w:pPr>
    </w:p>
    <w:p>
      <w:pPr>
        <w:ind w:right="480"/>
        <w:spacing w:after="0" w:line="237"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to a Holder pursuant to an Award, nothing contained in the Plan or any Program or Award Agreement shall give the Holder any rights that are greater than those of a general creditor of the Company or any Affiliate.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 each member of the Committee or of the Board and any officer or other</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 xml:space="preserve">against and from any and all amounts paid by him or her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pursuant to the Company’s Certificate of Incorporation or Bylaws, as a matter of law, or otherwise, or any power that the Company may have to indemnify them or hold them harmless.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retirement, savings, profit sharing, group insurance, welfare or other benefit plan of the Company or any Affiliate except to the extent otherwise expressly provided in writing in such other plan or an agreement thereunder.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Affiliates.</w:t>
      </w:r>
    </w:p>
    <w:p>
      <w:pPr>
        <w:sectPr>
          <w:pgSz w:w="11900" w:h="16838" w:orient="portrait"/>
          <w:cols w:equalWidth="0" w:num="1">
            <w:col w:w="11240"/>
          </w:cols>
          <w:pgMar w:left="320" w:top="144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10.20(b)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ARDELYX, INC.</w:t>
      </w:r>
    </w:p>
    <w:p>
      <w:pPr>
        <w:ind w:left="3980"/>
        <w:spacing w:after="0" w:line="197" w:lineRule="auto"/>
        <w:rPr>
          <w:sz w:val="20"/>
          <w:szCs w:val="20"/>
          <w:color w:val="auto"/>
        </w:rPr>
      </w:pPr>
      <w:r>
        <w:rPr>
          <w:rFonts w:ascii="Times New Roman" w:cs="Times New Roman" w:eastAsia="Times New Roman" w:hAnsi="Times New Roman"/>
          <w:sz w:val="20"/>
          <w:szCs w:val="20"/>
          <w:b w:val="1"/>
          <w:bCs w:val="1"/>
          <w:color w:val="auto"/>
        </w:rPr>
        <w:t>THIRD AMENDED AND RESTATED</w:t>
      </w: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PROGRAM</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Ardelyx,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 receive cash</w:t>
      </w:r>
    </w:p>
    <w:p>
      <w:pPr>
        <w:jc w:val="both"/>
        <w:spacing w:after="0" w:line="215" w:lineRule="auto"/>
        <w:rPr>
          <w:sz w:val="20"/>
          <w:szCs w:val="20"/>
          <w:color w:val="auto"/>
        </w:rPr>
      </w:pPr>
      <w:r>
        <w:rPr>
          <w:rFonts w:ascii="Times New Roman" w:cs="Times New Roman" w:eastAsia="Times New Roman" w:hAnsi="Times New Roman"/>
          <w:sz w:val="19"/>
          <w:szCs w:val="19"/>
          <w:color w:val="auto"/>
        </w:rPr>
        <w:t>and equity compensation as set forth in this Non-Employee Director Compensation Program (this “</w:t>
      </w:r>
      <w:r>
        <w:rPr>
          <w:rFonts w:ascii="Times New Roman" w:cs="Times New Roman" w:eastAsia="Times New Roman" w:hAnsi="Times New Roman"/>
          <w:sz w:val="19"/>
          <w:szCs w:val="19"/>
          <w:b w:val="1"/>
          <w:bCs w:val="1"/>
          <w:i w:val="1"/>
          <w:iCs w:val="1"/>
          <w:color w:val="auto"/>
        </w:rPr>
        <w:t>Program</w:t>
      </w:r>
      <w:r>
        <w:rPr>
          <w:rFonts w:ascii="Times New Roman" w:cs="Times New Roman" w:eastAsia="Times New Roman" w:hAnsi="Times New Roman"/>
          <w:sz w:val="19"/>
          <w:szCs w:val="19"/>
          <w:color w:val="auto"/>
        </w:rPr>
        <w:t>”), which was adopted pursuant to the Board’s resolutions on May 23, 2014, and amended pursuant to the Board’s resolutions on March 3, 2017, March 14, 2019, March 11,</w:t>
      </w:r>
    </w:p>
    <w:p>
      <w:pPr>
        <w:spacing w:after="0" w:line="211" w:lineRule="auto"/>
        <w:rPr>
          <w:sz w:val="20"/>
          <w:szCs w:val="20"/>
          <w:color w:val="auto"/>
        </w:rPr>
      </w:pPr>
      <w:r>
        <w:rPr>
          <w:rFonts w:ascii="Times New Roman" w:cs="Times New Roman" w:eastAsia="Times New Roman" w:hAnsi="Times New Roman"/>
          <w:sz w:val="20"/>
          <w:szCs w:val="20"/>
          <w:color w:val="auto"/>
        </w:rPr>
        <w:t>2021, June 15, 2022, and December 5, 2023. The cash and equity compensation described in this Program shall be paid or be made, as</w:t>
      </w:r>
    </w:p>
    <w:p>
      <w:pPr>
        <w:spacing w:after="0" w:line="204" w:lineRule="auto"/>
        <w:rPr>
          <w:sz w:val="20"/>
          <w:szCs w:val="20"/>
          <w:color w:val="auto"/>
        </w:rPr>
      </w:pPr>
      <w:r>
        <w:rPr>
          <w:rFonts w:ascii="Times New Roman" w:cs="Times New Roman" w:eastAsia="Times New Roman" w:hAnsi="Times New Roman"/>
          <w:sz w:val="20"/>
          <w:szCs w:val="20"/>
          <w:color w:val="auto"/>
        </w:rPr>
        <w:t>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0"/>
          <w:szCs w:val="20"/>
          <w:b w:val="1"/>
          <w:bCs w:val="1"/>
          <w:i w:val="1"/>
          <w:iCs w:val="1"/>
          <w:color w:val="auto"/>
        </w:rPr>
        <w:t>Non-Employee Director</w:t>
      </w:r>
      <w:r>
        <w:rPr>
          <w:rFonts w:ascii="Times New Roman" w:cs="Times New Roman" w:eastAsia="Times New Roman" w:hAnsi="Times New Roman"/>
          <w:sz w:val="20"/>
          <w:szCs w:val="20"/>
          <w:color w:val="auto"/>
        </w:rPr>
        <w:t>”) who may be eligible to receive such cash or equity</w:t>
      </w:r>
    </w:p>
    <w:p>
      <w:pPr>
        <w:spacing w:after="0" w:line="211" w:lineRule="auto"/>
        <w:rPr>
          <w:sz w:val="20"/>
          <w:szCs w:val="20"/>
          <w:color w:val="auto"/>
        </w:rPr>
      </w:pPr>
      <w:r>
        <w:rPr>
          <w:rFonts w:ascii="Times New Roman" w:cs="Times New Roman" w:eastAsia="Times New Roman" w:hAnsi="Times New Roman"/>
          <w:sz w:val="20"/>
          <w:szCs w:val="20"/>
          <w:color w:val="auto"/>
        </w:rPr>
        <w:t>compensation, unless such Non-Employee Director declines the receipt of such cash or equity compensation by written notice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This Program shall remain in effect until it is revised or rescinded by further action of the Board. This Program may be amended, modified or terminated by the Board at any time in its sole discretion. The terms and conditions of this Program shall supersede any prior</w:t>
      </w:r>
    </w:p>
    <w:p>
      <w:pPr>
        <w:spacing w:after="0" w:line="211" w:lineRule="auto"/>
        <w:rPr>
          <w:sz w:val="20"/>
          <w:szCs w:val="20"/>
          <w:color w:val="auto"/>
        </w:rPr>
      </w:pPr>
      <w:r>
        <w:rPr>
          <w:rFonts w:ascii="Times New Roman" w:cs="Times New Roman" w:eastAsia="Times New Roman" w:hAnsi="Times New Roman"/>
          <w:sz w:val="20"/>
          <w:szCs w:val="20"/>
          <w:color w:val="auto"/>
        </w:rPr>
        <w:t>cash and/or equity compensation arrangements for service as a member of the Board between the Company and any of its Non-Employee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Directors. This Program shall become effective on the date of the closing of the initial public offering of Company common stock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000" w:hanging="344"/>
        <w:spacing w:after="0"/>
        <w:tabs>
          <w:tab w:leader="none" w:pos="10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Retainers</w:t>
      </w:r>
      <w:r>
        <w:rPr>
          <w:rFonts w:ascii="Times New Roman" w:cs="Times New Roman" w:eastAsia="Times New Roman" w:hAnsi="Times New Roman"/>
          <w:sz w:val="19"/>
          <w:szCs w:val="19"/>
          <w:color w:val="auto"/>
        </w:rPr>
        <w:t>. Each Non-Employee Director shall be eligible to receive an annual retainer of $50,000 for service on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Board.</w:t>
      </w:r>
    </w:p>
    <w:p>
      <w:pPr>
        <w:spacing w:after="0" w:line="166"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a Non-Employee Director shall receive the following annual retainers:</w:t>
      </w:r>
    </w:p>
    <w:p>
      <w:pPr>
        <w:spacing w:after="0" w:line="175" w:lineRule="exact"/>
        <w:rPr>
          <w:rFonts w:ascii="Times New Roman" w:cs="Times New Roman" w:eastAsia="Times New Roman" w:hAnsi="Times New Roman"/>
          <w:sz w:val="20"/>
          <w:szCs w:val="20"/>
          <w:color w:val="auto"/>
        </w:rPr>
      </w:pPr>
    </w:p>
    <w:p>
      <w:pPr>
        <w:ind w:firstLine="1952"/>
        <w:spacing w:after="0"/>
        <w:tabs>
          <w:tab w:leader="none" w:pos="2329"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A Non-Employee Director serving as Chairman of the Board shall receive an additional annual retainer of $35,000 for such service.</w:t>
      </w:r>
    </w:p>
    <w:p>
      <w:pPr>
        <w:spacing w:after="0" w:line="161" w:lineRule="exact"/>
        <w:rPr>
          <w:rFonts w:ascii="Times New Roman" w:cs="Times New Roman" w:eastAsia="Times New Roman" w:hAnsi="Times New Roman"/>
          <w:sz w:val="20"/>
          <w:szCs w:val="20"/>
          <w:color w:val="auto"/>
        </w:rPr>
      </w:pPr>
    </w:p>
    <w:p>
      <w:pPr>
        <w:jc w:val="both"/>
        <w:ind w:firstLine="1952"/>
        <w:spacing w:after="0" w:line="226" w:lineRule="auto"/>
        <w:tabs>
          <w:tab w:leader="none" w:pos="2424"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60" w:lineRule="exact"/>
        <w:rPr>
          <w:rFonts w:ascii="Times New Roman" w:cs="Times New Roman" w:eastAsia="Times New Roman" w:hAnsi="Times New Roman"/>
          <w:sz w:val="20"/>
          <w:szCs w:val="20"/>
          <w:color w:val="auto"/>
        </w:rPr>
      </w:pPr>
    </w:p>
    <w:p>
      <w:pPr>
        <w:jc w:val="both"/>
        <w:ind w:right="20" w:firstLine="1952"/>
        <w:spacing w:after="0" w:line="226" w:lineRule="auto"/>
        <w:tabs>
          <w:tab w:leader="none" w:pos="2438"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60" w:lineRule="exact"/>
        <w:rPr>
          <w:sz w:val="20"/>
          <w:szCs w:val="20"/>
          <w:color w:val="auto"/>
        </w:rPr>
      </w:pPr>
    </w:p>
    <w:p>
      <w:pPr>
        <w:jc w:val="both"/>
        <w:ind w:firstLine="1952"/>
        <w:spacing w:after="0" w:line="222" w:lineRule="auto"/>
        <w:tabs>
          <w:tab w:leader="none" w:pos="250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144" w:lineRule="exact"/>
        <w:rPr>
          <w:rFonts w:ascii="Times New Roman" w:cs="Times New Roman" w:eastAsia="Times New Roman" w:hAnsi="Times New Roman"/>
          <w:sz w:val="20"/>
          <w:szCs w:val="20"/>
          <w:color w:val="auto"/>
        </w:rPr>
      </w:pPr>
    </w:p>
    <w:p>
      <w:pPr>
        <w:jc w:val="both"/>
        <w:ind w:firstLine="530"/>
        <w:spacing w:after="0" w:line="219" w:lineRule="auto"/>
        <w:tabs>
          <w:tab w:leader="none" w:pos="100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(the “</w:t>
      </w:r>
      <w:r>
        <w:rPr>
          <w:rFonts w:ascii="Times New Roman" w:cs="Times New Roman" w:eastAsia="Times New Roman" w:hAnsi="Times New Roman"/>
          <w:sz w:val="20"/>
          <w:szCs w:val="20"/>
          <w:b w:val="1"/>
          <w:bCs w:val="1"/>
          <w:i w:val="1"/>
          <w:iCs w:val="1"/>
          <w:color w:val="auto"/>
        </w:rPr>
        <w:t>Annual Retainers</w:t>
      </w:r>
      <w:r>
        <w:rPr>
          <w:rFonts w:ascii="Times New Roman" w:cs="Times New Roman" w:eastAsia="Times New Roman" w:hAnsi="Times New Roman"/>
          <w:sz w:val="20"/>
          <w:szCs w:val="20"/>
          <w:color w:val="auto"/>
        </w:rPr>
        <w:t>”) shall be paid by the Company in a single cash lump sum immediately following the Effective Date and on the date of each annual meeting of the Company’s stockholders after the Effective Date. In the event a Non-Employee Director is initially elected or appointed to the Board or a committee thereunder on a date other than the date of an annual meeting of the Company’s stockholders, the Annual Retainers paid to such Non-Employee Director shall be paid on the date of election or appointment, prorated to reflect the number of months (rounded up to the next whole month) remaining until the next annual meeting of the Company’s stockholders.</w:t>
      </w:r>
    </w:p>
    <w:p>
      <w:pPr>
        <w:sectPr>
          <w:pgSz w:w="11900" w:h="16838" w:orient="portrait"/>
          <w:cols w:equalWidth="0" w:num="1">
            <w:col w:w="11240"/>
          </w:cols>
          <w:pgMar w:left="320" w:top="104" w:right="339" w:bottom="1440" w:gutter="0" w:footer="0" w:header="0"/>
        </w:sectPr>
      </w:pPr>
    </w:p>
    <w:bookmarkStart w:id="142" w:name="page143"/>
    <w:bookmarkEnd w:id="142"/>
    <w:p>
      <w:pPr>
        <w:jc w:val="both"/>
        <w:ind w:firstLine="570"/>
        <w:spacing w:after="0" w:line="212" w:lineRule="auto"/>
        <w:tabs>
          <w:tab w:leader="none" w:pos="11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Election to Receive Stock in Lieu of Cash</w:t>
      </w:r>
      <w:r>
        <w:rPr>
          <w:rFonts w:ascii="Times New Roman" w:cs="Times New Roman" w:eastAsia="Times New Roman" w:hAnsi="Times New Roman"/>
          <w:sz w:val="20"/>
          <w:szCs w:val="20"/>
          <w:color w:val="auto"/>
        </w:rPr>
        <w:t>. After the first payment of Annual Retainers following the Effective Date, Non-Employee Directors shall have the ability to elect to receive the Annual Retainers in an award of stock in lieu of cash pursuant to an election form provided by the Company for such purpose. Non-Employee Directors must complete and deliver the election form to the Company no later than 15 days prior to the next annual meeting of the Company’s stockholders. In the event that a Non-Employee Director makes an election to receive the Annual Retainers in an award of stock in lieu of cash, on the annual meeting of the Company’s stockholders, he or she will automatically be granted that number of shares of fully vested Company common stock calculated by dividing the aggregate amount of the Annual Retainers by the Fair Market Value (as defined in the Equity Plan (as defined below)) of a share of Company common stock on the date of grant, rounded down to the nearest whole share. The stock awards shall be granted under and shall be subject to the terms and provisions of the Company’s 2014 Equity Incentive Award Plan or any other applicable Company equity incentive plan then-maintained by the Company (the “</w:t>
      </w:r>
      <w:r>
        <w:rPr>
          <w:rFonts w:ascii="Times New Roman" w:cs="Times New Roman" w:eastAsia="Times New Roman" w:hAnsi="Times New Roman"/>
          <w:sz w:val="20"/>
          <w:szCs w:val="20"/>
          <w:b w:val="1"/>
          <w:bCs w:val="1"/>
          <w:i w:val="1"/>
          <w:iCs w:val="1"/>
          <w:color w:val="auto"/>
        </w:rPr>
        <w:t>Equity Plan</w:t>
      </w:r>
      <w:r>
        <w:rPr>
          <w:rFonts w:ascii="Times New Roman" w:cs="Times New Roman" w:eastAsia="Times New Roman" w:hAnsi="Times New Roman"/>
          <w:sz w:val="20"/>
          <w:szCs w:val="20"/>
          <w:color w:val="auto"/>
        </w:rPr>
        <w:t>”). In the event of any inconsistency between the Equity Plan and this Program, the terms of this Program shall control.</w:t>
      </w:r>
    </w:p>
    <w:p>
      <w:pPr>
        <w:spacing w:after="0" w:line="181" w:lineRule="exact"/>
        <w:rPr>
          <w:rFonts w:ascii="Times New Roman" w:cs="Times New Roman" w:eastAsia="Times New Roman" w:hAnsi="Times New Roman"/>
          <w:sz w:val="20"/>
          <w:szCs w:val="20"/>
          <w:color w:val="auto"/>
        </w:rPr>
      </w:pPr>
    </w:p>
    <w:p>
      <w:pPr>
        <w:jc w:val="both"/>
        <w:ind w:firstLine="656"/>
        <w:spacing w:after="0" w:line="218" w:lineRule="auto"/>
        <w:tabs>
          <w:tab w:leader="none" w:pos="110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Non-Employee Directors shall be granted the equity awards described below. The awards described below shall be granted under and shall be subject to the terms and provisions of the Equity Plan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In the event of any inconsistency between the Equity Plan and this Program, the terms of this Program shall control.</w:t>
      </w:r>
    </w:p>
    <w:p>
      <w:pPr>
        <w:spacing w:after="0" w:line="150" w:lineRule="exact"/>
        <w:rPr>
          <w:rFonts w:ascii="Times New Roman" w:cs="Times New Roman" w:eastAsia="Times New Roman" w:hAnsi="Times New Roman"/>
          <w:sz w:val="20"/>
          <w:szCs w:val="20"/>
          <w:color w:val="auto"/>
        </w:rPr>
      </w:pPr>
    </w:p>
    <w:p>
      <w:pPr>
        <w:jc w:val="both"/>
        <w:ind w:firstLine="874"/>
        <w:spacing w:after="0" w:line="221" w:lineRule="auto"/>
        <w:tabs>
          <w:tab w:leader="none" w:pos="1304"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xml:space="preserve">. Each Non-Employee Director who is initially elected or appointed to the Board after the Effective Date shall be eligible to receive, on the date of such initial election or appointment, an option to purchase </w:t>
      </w:r>
      <w:r>
        <w:rPr>
          <w:rFonts w:ascii="Times New Roman" w:cs="Times New Roman" w:eastAsia="Times New Roman" w:hAnsi="Times New Roman"/>
          <w:sz w:val="21"/>
          <w:szCs w:val="21"/>
          <w:color w:val="auto"/>
        </w:rPr>
        <w:t>shares of the Company’s common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with a grant date fair value of $300,000, but with a maximum number of shares of 200,000 shares </w:t>
      </w:r>
      <w:r>
        <w:rPr>
          <w:rFonts w:ascii="Times New Roman" w:cs="Times New Roman" w:eastAsia="Times New Roman" w:hAnsi="Times New Roman"/>
          <w:sz w:val="19"/>
          <w:szCs w:val="19"/>
          <w:color w:val="auto"/>
        </w:rPr>
        <w:t>of the Company’s common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awards described in this Section 2(a) shall be referred to as “</w:t>
      </w:r>
      <w:r>
        <w:rPr>
          <w:rFonts w:ascii="Times New Roman" w:cs="Times New Roman" w:eastAsia="Times New Roman" w:hAnsi="Times New Roman"/>
          <w:sz w:val="19"/>
          <w:szCs w:val="19"/>
          <w:b w:val="1"/>
          <w:bCs w:val="1"/>
          <w:i w:val="1"/>
          <w:iCs w:val="1"/>
          <w:color w:val="auto"/>
        </w:rPr>
        <w:t>Initial Awards</w:t>
      </w:r>
      <w:r>
        <w:rPr>
          <w:rFonts w:ascii="Times New Roman" w:cs="Times New Roman" w:eastAsia="Times New Roman" w:hAnsi="Times New Roman"/>
          <w:sz w:val="19"/>
          <w:szCs w:val="19"/>
          <w:color w:val="auto"/>
        </w:rPr>
        <w:t>.” No Non-Employee Director shall be granted more than one Initial Award.</w:t>
      </w:r>
    </w:p>
    <w:p>
      <w:pPr>
        <w:spacing w:after="0" w:line="161" w:lineRule="exact"/>
        <w:rPr>
          <w:rFonts w:ascii="Times New Roman" w:cs="Times New Roman" w:eastAsia="Times New Roman" w:hAnsi="Times New Roman"/>
          <w:sz w:val="20"/>
          <w:szCs w:val="20"/>
          <w:color w:val="auto"/>
        </w:rPr>
      </w:pPr>
    </w:p>
    <w:p>
      <w:pPr>
        <w:jc w:val="both"/>
        <w:ind w:firstLine="854"/>
        <w:spacing w:after="0" w:line="220" w:lineRule="auto"/>
        <w:tabs>
          <w:tab w:leader="none" w:pos="1274"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Awards</w:t>
      </w:r>
      <w:r>
        <w:rPr>
          <w:rFonts w:ascii="Times New Roman" w:cs="Times New Roman" w:eastAsia="Times New Roman" w:hAnsi="Times New Roman"/>
          <w:sz w:val="20"/>
          <w:szCs w:val="20"/>
          <w:color w:val="auto"/>
        </w:rPr>
        <w:t xml:space="preserve">.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w:t>
      </w:r>
      <w:r>
        <w:rPr>
          <w:rFonts w:ascii="Times New Roman" w:cs="Times New Roman" w:eastAsia="Times New Roman" w:hAnsi="Times New Roman"/>
          <w:sz w:val="21"/>
          <w:szCs w:val="21"/>
          <w:color w:val="auto"/>
        </w:rPr>
        <w:t>shares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Company’s common stock with a grant date fair value of $200,000, but with a maximum number of shares of 100,000 shares </w:t>
      </w:r>
      <w:r>
        <w:rPr>
          <w:rFonts w:ascii="Times New Roman" w:cs="Times New Roman" w:eastAsia="Times New Roman" w:hAnsi="Times New Roman"/>
          <w:sz w:val="19"/>
          <w:szCs w:val="19"/>
          <w:color w:val="auto"/>
        </w:rPr>
        <w:t>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Company’s common stock. The awards described in this Section 2(b) shall be referred to as “</w:t>
      </w:r>
      <w:r>
        <w:rPr>
          <w:rFonts w:ascii="Times New Roman" w:cs="Times New Roman" w:eastAsia="Times New Roman" w:hAnsi="Times New Roman"/>
          <w:sz w:val="19"/>
          <w:szCs w:val="19"/>
          <w:b w:val="1"/>
          <w:bCs w:val="1"/>
          <w:i w:val="1"/>
          <w:iCs w:val="1"/>
          <w:color w:val="auto"/>
        </w:rPr>
        <w:t>Subsequent Awards</w:t>
      </w:r>
      <w:r>
        <w:rPr>
          <w:rFonts w:ascii="Times New Roman" w:cs="Times New Roman" w:eastAsia="Times New Roman" w:hAnsi="Times New Roman"/>
          <w:sz w:val="19"/>
          <w:szCs w:val="19"/>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33" w:lineRule="exact"/>
        <w:rPr>
          <w:rFonts w:ascii="Times New Roman" w:cs="Times New Roman" w:eastAsia="Times New Roman" w:hAnsi="Times New Roman"/>
          <w:sz w:val="20"/>
          <w:szCs w:val="20"/>
          <w:color w:val="auto"/>
        </w:rPr>
      </w:pPr>
    </w:p>
    <w:p>
      <w:pPr>
        <w:jc w:val="both"/>
        <w:ind w:firstLine="1304"/>
        <w:spacing w:after="0" w:line="220" w:lineRule="auto"/>
        <w:tabs>
          <w:tab w:leader="none" w:pos="1808" w:val="left"/>
        </w:tabs>
        <w:numPr>
          <w:ilvl w:val="4"/>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Service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4"/>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Awards Granted to Non-Employee Directors</w:t>
      </w:r>
    </w:p>
    <w:p>
      <w:pPr>
        <w:spacing w:after="0" w:line="188" w:lineRule="exact"/>
        <w:rPr>
          <w:rFonts w:ascii="Times New Roman" w:cs="Times New Roman" w:eastAsia="Times New Roman" w:hAnsi="Times New Roman"/>
          <w:sz w:val="20"/>
          <w:szCs w:val="20"/>
          <w:color w:val="auto"/>
        </w:rPr>
      </w:pPr>
    </w:p>
    <w:p>
      <w:pPr>
        <w:ind w:firstLine="1196"/>
        <w:spacing w:after="0"/>
        <w:tabs>
          <w:tab w:leader="none" w:pos="1707" w:val="left"/>
        </w:tabs>
        <w:numPr>
          <w:ilvl w:val="3"/>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The per share exercise price of each option granted to a Non-Employee Director shall equal the Fair Market Value (as defined in the Equity Plan) of a share of common stock on the date the option is granted.</w:t>
      </w:r>
    </w:p>
    <w:p>
      <w:pPr>
        <w:spacing w:after="0" w:line="147" w:lineRule="exact"/>
        <w:rPr>
          <w:rFonts w:ascii="Times New Roman" w:cs="Times New Roman" w:eastAsia="Times New Roman" w:hAnsi="Times New Roman"/>
          <w:sz w:val="20"/>
          <w:szCs w:val="20"/>
          <w:color w:val="auto"/>
        </w:rPr>
      </w:pPr>
    </w:p>
    <w:p>
      <w:pPr>
        <w:jc w:val="both"/>
        <w:ind w:firstLine="1151"/>
        <w:spacing w:after="0" w:line="230" w:lineRule="auto"/>
        <w:tabs>
          <w:tab w:leader="none" w:pos="1632" w:val="left"/>
        </w:tabs>
        <w:numPr>
          <w:ilvl w:val="3"/>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Each Initial Award shall vest and become exercisable with respect to 1/36th of the shares subject to the Initial Award on each monthly anniversary of the date of grant, subject to the Non-Employee Director continuing in service on the Board through each such vesting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9"/>
          <w:szCs w:val="19"/>
          <w:color w:val="auto"/>
        </w:rPr>
        <w:t>date. Each Subsequent Award shall vest and become exercisable with respect to 1/12th of the shares subject to the Subsequent Award on each</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monthly anniversary of the date of grant, which vesting will accelerate in full immediately prior to the next annual meeting of the Company’s stockholders after the date of grant to the extent unvested as of such date, subject to the Non-Employee Director continuing in service on the</w:t>
      </w:r>
    </w:p>
    <w:p>
      <w:pPr>
        <w:spacing w:after="0" w:line="211" w:lineRule="auto"/>
        <w:rPr>
          <w:sz w:val="20"/>
          <w:szCs w:val="20"/>
          <w:color w:val="auto"/>
        </w:rPr>
      </w:pPr>
      <w:r>
        <w:rPr>
          <w:rFonts w:ascii="Times New Roman" w:cs="Times New Roman" w:eastAsia="Times New Roman" w:hAnsi="Times New Roman"/>
          <w:sz w:val="20"/>
          <w:szCs w:val="20"/>
          <w:color w:val="auto"/>
        </w:rPr>
        <w:t>Board through each such vesting date. Unless as otherwise specified herein, no portion of an Initial Award or Subsequent Award which is</w:t>
      </w:r>
    </w:p>
    <w:p>
      <w:pPr>
        <w:spacing w:after="0" w:line="215" w:lineRule="auto"/>
        <w:rPr>
          <w:sz w:val="20"/>
          <w:szCs w:val="20"/>
          <w:color w:val="auto"/>
        </w:rPr>
      </w:pPr>
      <w:r>
        <w:rPr>
          <w:rFonts w:ascii="Times New Roman" w:cs="Times New Roman" w:eastAsia="Times New Roman" w:hAnsi="Times New Roman"/>
          <w:sz w:val="19"/>
          <w:szCs w:val="19"/>
          <w:color w:val="auto"/>
        </w:rPr>
        <w:t>unvested or unexercisable at the time of a Non-Employee Director’s termination of service on the Board shall become vested and exercisable thereafter. All of a Non-Employee Director’s Initial Awards and Subsequent Awards, and any other stock options or other equity-based</w:t>
      </w:r>
    </w:p>
    <w:p>
      <w:pPr>
        <w:ind w:right="20"/>
        <w:spacing w:after="0" w:line="228" w:lineRule="auto"/>
        <w:rPr>
          <w:sz w:val="20"/>
          <w:szCs w:val="20"/>
          <w:color w:val="auto"/>
        </w:rPr>
      </w:pPr>
      <w:r>
        <w:rPr>
          <w:rFonts w:ascii="Times New Roman" w:cs="Times New Roman" w:eastAsia="Times New Roman" w:hAnsi="Times New Roman"/>
          <w:sz w:val="20"/>
          <w:szCs w:val="20"/>
          <w:color w:val="auto"/>
        </w:rPr>
        <w:t>awards outstanding and held by the Non-Employee Director, shall vest in full immediately prior to the occurrence of a Change in Control (as defined in the Equity Plan), to the extent outstanding at such time.</w:t>
      </w:r>
    </w:p>
    <w:p>
      <w:pPr>
        <w:spacing w:after="0" w:line="143" w:lineRule="exact"/>
        <w:rPr>
          <w:sz w:val="20"/>
          <w:szCs w:val="20"/>
          <w:color w:val="auto"/>
        </w:rPr>
      </w:pPr>
    </w:p>
    <w:p>
      <w:pPr>
        <w:ind w:left="1960"/>
        <w:spacing w:after="0"/>
        <w:tabs>
          <w:tab w:leader="none" w:pos="242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of each stock option granted to a Non-Employee Director shall be ten (10) years from the date</w:t>
      </w:r>
    </w:p>
    <w:p>
      <w:pPr>
        <w:spacing w:after="0"/>
        <w:rPr>
          <w:sz w:val="20"/>
          <w:szCs w:val="20"/>
          <w:color w:val="auto"/>
        </w:rPr>
      </w:pPr>
      <w:r>
        <w:rPr>
          <w:rFonts w:ascii="Times New Roman" w:cs="Times New Roman" w:eastAsia="Times New Roman" w:hAnsi="Times New Roman"/>
          <w:sz w:val="20"/>
          <w:szCs w:val="20"/>
          <w:color w:val="auto"/>
        </w:rPr>
        <w:t>the option is granted.</w:t>
      </w:r>
    </w:p>
    <w:p>
      <w:pPr>
        <w:spacing w:after="0" w:line="167" w:lineRule="exact"/>
        <w:rPr>
          <w:sz w:val="20"/>
          <w:szCs w:val="20"/>
          <w:color w:val="auto"/>
        </w:rPr>
      </w:pPr>
    </w:p>
    <w:p>
      <w:pPr>
        <w:jc w:val="both"/>
        <w:ind w:right="20" w:firstLine="656"/>
        <w:spacing w:after="0" w:line="226" w:lineRule="auto"/>
        <w:tabs>
          <w:tab w:leader="none" w:pos="107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Reimbursements</w:t>
      </w:r>
      <w:r>
        <w:rPr>
          <w:rFonts w:ascii="Times New Roman" w:cs="Times New Roman" w:eastAsia="Times New Roman" w:hAnsi="Times New Roman"/>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55" w:lineRule="exact"/>
        <w:rPr>
          <w:rFonts w:ascii="Times New Roman" w:cs="Times New Roman" w:eastAsia="Times New Roman" w:hAnsi="Times New Roman"/>
          <w:sz w:val="20"/>
          <w:szCs w:val="20"/>
          <w:color w:val="auto"/>
        </w:rPr>
      </w:pPr>
    </w:p>
    <w:p>
      <w:pPr>
        <w:ind w:left="5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right="8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333-197408) pertaining to the 2008 Stock Incentive Plan, as amended, the 2014 Equity Incentive Award Plan and the 2014 Employee Stock Purchase Plan of Ardelyx, Inc.,</w:t>
      </w:r>
    </w:p>
    <w:p>
      <w:pPr>
        <w:spacing w:after="0" w:line="189"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333-202663 and 333-230156) pertaining to the 2014 Equity Incentive Award Plan and the 2014 Employee Stock Purchase Plan of Ardelyx, Inc.,</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 333-205630, 333-213085, 333-239764 and 333-269297) of Ardelyx, Inc.,</w:t>
      </w:r>
    </w:p>
    <w:p>
      <w:pPr>
        <w:spacing w:after="0" w:line="238" w:lineRule="exact"/>
        <w:rPr>
          <w:rFonts w:ascii="Times New Roman" w:cs="Times New Roman" w:eastAsia="Times New Roman" w:hAnsi="Times New Roman"/>
          <w:sz w:val="18"/>
          <w:szCs w:val="18"/>
          <w:color w:val="auto"/>
        </w:rPr>
      </w:pPr>
    </w:p>
    <w:p>
      <w:pPr>
        <w:ind w:left="660" w:right="500" w:hanging="328"/>
        <w:spacing w:after="0" w:line="250"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333-210079, 333-216154, 333-223694 and 333-237057) pertaining to the 2014 Equity Incentive Award Plan of Ardelyx, Inc.,</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333-214538) pertaining to the 2016 Employment Commencement Incentive Plan of Ardelyx, Inc.,</w:t>
      </w:r>
    </w:p>
    <w:p>
      <w:pPr>
        <w:spacing w:after="0" w:line="23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(Nos. 333-254187 and 333-270314) pertaining to the 2014 Equity Incentive Award Plan, the 2014 Employee Stock Purchase Plan and the 2016 Employment Commencement Incentive Plan of Ardelyx, Inc.,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(333-263145) pertaining to the 2014 Equity Incentive Award Plan and the 2016 Employment Commencement Incentive Plan of Ardelyx, Inc.;</w:t>
      </w:r>
    </w:p>
    <w:p>
      <w:pPr>
        <w:spacing w:after="0" w:line="189"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of our reports dated February 22, 2024, with respect to the financial statements of Ardelyx, Inc. and the effectiveness of internal control over financial reporting of Ardelyx, Inc. included in this Annual Report (Form 10-K) of Ardelyx, Inc.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10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Raab, certify that:</w:t>
      </w:r>
    </w:p>
    <w:p>
      <w:pPr>
        <w:spacing w:after="0" w:line="198"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Ardelyx, Inc.;</w:t>
      </w:r>
    </w:p>
    <w:p>
      <w:pPr>
        <w:spacing w:after="0" w:line="184"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 w:leader="none" w:pos="83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185"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Ardelyx, Inc.;</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tabs>
          <w:tab w:leader="none" w:pos="6180" w:val="left"/>
          <w:tab w:leader="none" w:pos="84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Chief Financial &amp; Operations Officer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62"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Ardelyx, Inc. (the “Company”) on Form 10-K for the period ending December 31, 2023,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spacing w:after="0" w:line="139" w:lineRule="exact"/>
        <w:rPr>
          <w:sz w:val="20"/>
          <w:szCs w:val="20"/>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4" w:lineRule="exact"/>
        <w:rPr>
          <w:sz w:val="20"/>
          <w:szCs w:val="20"/>
          <w:color w:val="auto"/>
        </w:rPr>
      </w:pPr>
    </w:p>
    <w:p>
      <w:pPr>
        <w:ind w:left="20"/>
        <w:spacing w:after="0"/>
        <w:tabs>
          <w:tab w:leader="none" w:pos="6180" w:val="left"/>
          <w:tab w:leader="none" w:pos="83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66" w:lineRule="exact"/>
        <w:rPr>
          <w:sz w:val="20"/>
          <w:szCs w:val="20"/>
          <w:color w:val="auto"/>
        </w:rPr>
      </w:pPr>
    </w:p>
    <w:p>
      <w:pPr>
        <w:ind w:left="20"/>
        <w:spacing w:after="0"/>
        <w:tabs>
          <w:tab w:leader="none" w:pos="6140" w:val="left"/>
          <w:tab w:leader="none" w:pos="834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34290</wp:posOffset>
            </wp:positionV>
            <wp:extent cx="29146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Chief Financial &amp; Operations Officer</w:t>
      </w:r>
    </w:p>
    <w:p>
      <w:pPr>
        <w:spacing w:after="0" w:line="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062"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ARDELYX,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17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Ardelyx,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or such later date when Listing Rule 5608 of the Nasdaq Stock Market (“</w:t>
      </w:r>
      <w:r>
        <w:rPr>
          <w:rFonts w:ascii="Times New Roman" w:cs="Times New Roman" w:eastAsia="Times New Roman" w:hAnsi="Times New Roman"/>
          <w:sz w:val="22"/>
          <w:szCs w:val="22"/>
          <w:b w:val="1"/>
          <w:bCs w:val="1"/>
          <w:i w:val="1"/>
          <w:iCs w:val="1"/>
          <w:color w:val="auto"/>
        </w:rPr>
        <w:t>Nasdaq</w:t>
      </w:r>
      <w:r>
        <w:rPr>
          <w:rFonts w:ascii="Times New Roman" w:cs="Times New Roman" w:eastAsia="Times New Roman" w:hAnsi="Times New Roman"/>
          <w:sz w:val="22"/>
          <w:szCs w:val="22"/>
          <w:color w:val="auto"/>
        </w:rPr>
        <w:t>”) becomes effective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46"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175"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48" w:lineRule="exact"/>
        <w:rPr>
          <w:sz w:val="20"/>
          <w:szCs w:val="20"/>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18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52" w:lineRule="exact"/>
        <w:rPr>
          <w:sz w:val="20"/>
          <w:szCs w:val="20"/>
          <w:color w:val="auto"/>
        </w:rPr>
      </w:pPr>
    </w:p>
    <w:p>
      <w:pPr>
        <w:ind w:left="380" w:hanging="372"/>
        <w:spacing w:after="0"/>
        <w:tabs>
          <w:tab w:leader="none" w:pos="3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18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4" w:right="339" w:bottom="1440" w:gutter="0" w:footer="0" w:header="0"/>
        </w:sectPr>
      </w:pPr>
    </w:p>
    <w:bookmarkStart w:id="149" w:name="page150"/>
    <w:bookmarkEnd w:id="149"/>
    <w:p>
      <w:pPr>
        <w:spacing w:after="0" w:line="10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Erroneously Awarded Compensation may be credited to the amount of Erroneously Awarded Compensation required to be recovered pursuant to this Policy from such person.</w:t>
      </w:r>
    </w:p>
    <w:p>
      <w:pPr>
        <w:spacing w:after="0" w:line="146" w:lineRule="exact"/>
        <w:rPr>
          <w:sz w:val="20"/>
          <w:szCs w:val="20"/>
          <w:color w:val="auto"/>
        </w:rPr>
      </w:pPr>
    </w:p>
    <w:p>
      <w:pPr>
        <w:ind w:left="380" w:hanging="372"/>
        <w:spacing w:after="0"/>
        <w:tabs>
          <w:tab w:leader="none" w:pos="38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1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53" w:lineRule="exact"/>
        <w:rPr>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8"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48"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52" w:lineRule="exact"/>
        <w:rPr>
          <w:sz w:val="20"/>
          <w:szCs w:val="20"/>
          <w:color w:val="auto"/>
        </w:rPr>
      </w:pPr>
    </w:p>
    <w:p>
      <w:pPr>
        <w:ind w:left="380" w:hanging="372"/>
        <w:spacing w:after="0"/>
        <w:tabs>
          <w:tab w:leader="none" w:pos="38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0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permitted, and shall automatically be deemed amended in a manner consistent with its objectives to the extent necessary to conform to any limitations required under applicable law.</w:t>
      </w:r>
    </w:p>
    <w:p>
      <w:pPr>
        <w:spacing w:after="0" w:line="146" w:lineRule="exact"/>
        <w:rPr>
          <w:sz w:val="20"/>
          <w:szCs w:val="20"/>
          <w:color w:val="auto"/>
        </w:rPr>
      </w:pPr>
    </w:p>
    <w:p>
      <w:pPr>
        <w:ind w:left="500" w:hanging="492"/>
        <w:spacing w:after="0"/>
        <w:tabs>
          <w:tab w:leader="none" w:pos="5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75" w:lineRule="exact"/>
        <w:rPr>
          <w:sz w:val="20"/>
          <w:szCs w:val="20"/>
          <w:color w:val="auto"/>
        </w:rPr>
      </w:pPr>
    </w:p>
    <w:p>
      <w:pPr>
        <w:ind w:left="480" w:hanging="472"/>
        <w:spacing w:after="0"/>
        <w:tabs>
          <w:tab w:leader="none" w:pos="48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firstLine="229"/>
        <w:spacing w:after="0" w:line="27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Nasdaq, and any applicable rules, standards or other guidance adopted by the Securities and Exchange Commission or Nasdaq (or any other national securities exchange or association that the Company has a class of its securities listed).</w:t>
      </w:r>
    </w:p>
    <w:p>
      <w:pPr>
        <w:spacing w:after="0" w:line="8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likely cause an otherwise tax-qualified retirement plan, under which benefits are broadly available to employees of the Company, to fail to meet the requirements of 26 U.S.C. 401(a)(13) or 26 U.S.C. 411(a) and the regulations thereunder.</w:t>
      </w:r>
    </w:p>
    <w:p>
      <w:pPr>
        <w:spacing w:after="0" w:line="144"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4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1" w:lineRule="exact"/>
        <w:rPr>
          <w:sz w:val="20"/>
          <w:szCs w:val="20"/>
          <w:color w:val="auto"/>
        </w:rPr>
      </w:pPr>
    </w:p>
    <w:p>
      <w:pPr>
        <w:ind w:right="20" w:firstLine="8"/>
        <w:spacing w:after="0" w:line="225" w:lineRule="auto"/>
        <w:tabs>
          <w:tab w:leader="none" w:pos="31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w:t>
      </w:r>
    </w:p>
    <w:p>
      <w:pPr>
        <w:spacing w:after="0" w:line="231" w:lineRule="auto"/>
        <w:rPr>
          <w:sz w:val="20"/>
          <w:szCs w:val="20"/>
          <w:color w:val="auto"/>
        </w:rPr>
      </w:pPr>
      <w:r>
        <w:rPr>
          <w:rFonts w:ascii="Times New Roman" w:cs="Times New Roman" w:eastAsia="Times New Roman" w:hAnsi="Times New Roman"/>
          <w:sz w:val="22"/>
          <w:szCs w:val="22"/>
          <w:color w:val="auto"/>
        </w:rPr>
        <w:t>fiscal year) within or immediately following the three completed fiscal years identified in the preceding sentence. However, a</w:t>
      </w:r>
    </w:p>
    <w:p>
      <w:pPr>
        <w:jc w:val="both"/>
        <w:spacing w:after="0" w:line="225" w:lineRule="auto"/>
        <w:rPr>
          <w:sz w:val="20"/>
          <w:szCs w:val="20"/>
          <w:color w:val="auto"/>
        </w:rPr>
      </w:pPr>
      <w:r>
        <w:rPr>
          <w:rFonts w:ascii="Times New Roman" w:cs="Times New Roman" w:eastAsia="Times New Roman" w:hAnsi="Times New Roman"/>
          <w:sz w:val="22"/>
          <w:szCs w:val="22"/>
          <w:color w:val="auto"/>
        </w:rPr>
        <w:t>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x"/>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decimal"/>
      <w:start w:val="2"/>
    </w:lvl>
  </w:abstractNum>
  <w:abstractNum w:abstractNumId="9">
    <w:nsid w:val="23F9C13C"/>
    <w:multiLevelType w:val="hybridMultilevel"/>
    <w:lvl w:ilvl="0">
      <w:lvlJc w:val="left"/>
      <w:lvlText w:val="(%1)"/>
      <w:numFmt w:val="decimal"/>
      <w:start w:val="2"/>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lowerRoman"/>
      <w:start w:val="1"/>
    </w:lvl>
  </w:abstractNum>
  <w:abstractNum w:abstractNumId="38">
    <w:nsid w:val="15014ACB"/>
    <w:multiLevelType w:val="hybridMultilevel"/>
    <w:lvl w:ilvl="0">
      <w:lvlJc w:val="left"/>
      <w:lvlText w:val="%1."/>
      <w:numFmt w:val="decimal"/>
      <w:start w:val="3"/>
    </w:lvl>
  </w:abstractNum>
  <w:abstractNum w:abstractNumId="39">
    <w:nsid w:val="5F5E7FD0"/>
    <w:multiLevelType w:val="hybridMultilevel"/>
    <w:lvl w:ilvl="0">
      <w:lvlJc w:val="left"/>
      <w:lvlText w:val="%1."/>
      <w:numFmt w:val="decimal"/>
      <w:start w:val="4"/>
    </w:lvl>
  </w:abstractNum>
  <w:abstractNum w:abstractNumId="40">
    <w:nsid w:val="98A3148"/>
    <w:multiLevelType w:val="hybridMultilevel"/>
    <w:lvl w:ilvl="0">
      <w:lvlJc w:val="left"/>
      <w:lvlText w:val="%1."/>
      <w:numFmt w:val="decimal"/>
      <w:start w:val="7"/>
    </w:lvl>
  </w:abstractNum>
  <w:abstractNum w:abstractNumId="41">
    <w:nsid w:val="799D0247"/>
    <w:multiLevelType w:val="hybridMultilevel"/>
    <w:lvl w:ilvl="0">
      <w:lvlJc w:val="left"/>
      <w:lvlText w:val="%1)"/>
      <w:numFmt w:val="decimal"/>
      <w:start w:val="606"/>
    </w:lvl>
  </w:abstractNum>
  <w:abstractNum w:abstractNumId="42">
    <w:nsid w:val="6B94764"/>
    <w:multiLevelType w:val="hybridMultilevel"/>
    <w:lvl w:ilvl="0">
      <w:lvlJc w:val="left"/>
      <w:lvlText w:val="%1."/>
      <w:numFmt w:val="decimal"/>
      <w:start w:val="9"/>
    </w:lvl>
  </w:abstractNum>
  <w:abstractNum w:abstractNumId="43">
    <w:nsid w:val="42C296BD"/>
    <w:multiLevelType w:val="hybridMultilevel"/>
    <w:lvl w:ilvl="0">
      <w:lvlJc w:val="left"/>
      <w:lvlText w:val="%1."/>
      <w:numFmt w:val="decimal"/>
      <w:start w:val="11"/>
    </w:lvl>
  </w:abstractNum>
  <w:abstractNum w:abstractNumId="44">
    <w:nsid w:val="168E121F"/>
    <w:multiLevelType w:val="hybridMultilevel"/>
    <w:lvl w:ilvl="0">
      <w:lvlJc w:val="left"/>
      <w:lvlText w:val="%1."/>
      <w:numFmt w:val="decimal"/>
      <w:start w:val="12"/>
    </w:lvl>
  </w:abstractNum>
  <w:abstractNum w:abstractNumId="45">
    <w:nsid w:val="1EBA5D23"/>
    <w:multiLevelType w:val="hybridMultilevel"/>
    <w:lvl w:ilvl="0">
      <w:lvlJc w:val="left"/>
      <w:lvlText w:val="%1."/>
      <w:numFmt w:val="decimal"/>
      <w:start w:val="14"/>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2"/>
    </w:lvl>
  </w:abstractNum>
  <w:abstractNum w:abstractNumId="50">
    <w:nsid w:val="51D9C564"/>
    <w:multiLevelType w:val="hybridMultilevel"/>
    <w:lvl w:ilvl="0">
      <w:lvlJc w:val="left"/>
      <w:lvlText w:val="%1."/>
      <w:numFmt w:val="decimal"/>
      <w:start w:val="3"/>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lowerLetter"/>
      <w:start w:val="2"/>
    </w:lvl>
  </w:abstractNum>
  <w:abstractNum w:abstractNumId="54">
    <w:nsid w:val="42963E5A"/>
    <w:multiLevelType w:val="hybridMultilevel"/>
    <w:lvl w:ilvl="0">
      <w:lvlJc w:val="left"/>
      <w:lvlText w:val="(%1)"/>
      <w:numFmt w:val="lowerRoman"/>
      <w:start w:val="1"/>
    </w:lvl>
  </w:abstractNum>
  <w:abstractNum w:abstractNumId="55">
    <w:nsid w:val="A0382C5"/>
    <w:multiLevelType w:val="hybridMultilevel"/>
    <w:lvl w:ilvl="0">
      <w:lvlJc w:val="left"/>
      <w:lvlText w:val="(%1)"/>
      <w:numFmt w:val="lowerLetter"/>
      <w:start w:val="1"/>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lowerLetter"/>
      <w:start w:val="1"/>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Roman"/>
      <w:start w:val="1"/>
    </w:lvl>
  </w:abstractNum>
  <w:abstractNum w:abstractNumId="66">
    <w:nsid w:val="71EA1109"/>
    <w:multiLevelType w:val="hybridMultilevel"/>
    <w:lvl w:ilvl="0">
      <w:lvlJc w:val="left"/>
      <w:lvlText w:val="(%1)"/>
      <w:numFmt w:val="lowerLetter"/>
      <w:start w:val="2"/>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lowerLetter"/>
      <w:start w:val="2"/>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lowerLetter"/>
      <w:start w:val="12"/>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Roman"/>
      <w:start w:val="1"/>
    </w:lvl>
  </w:abstractNum>
  <w:abstractNum w:abstractNumId="74">
    <w:nsid w:val="4C04A8AF"/>
    <w:multiLevelType w:val="hybridMultilevel"/>
    <w:lvl w:ilvl="0">
      <w:lvlJc w:val="left"/>
      <w:lvlText w:val="(%1)"/>
      <w:numFmt w:val="lowerRoman"/>
      <w:start w:val="2"/>
    </w:lvl>
  </w:abstractNum>
  <w:abstractNum w:abstractNumId="75">
    <w:nsid w:val="1716703B"/>
    <w:multiLevelType w:val="hybridMultilevel"/>
    <w:lvl w:ilvl="0">
      <w:lvlJc w:val="left"/>
      <w:lvlText w:val="(%1)"/>
      <w:numFmt w:val="lowerRoman"/>
      <w:start w:val="1"/>
    </w:lvl>
  </w:abstractNum>
  <w:abstractNum w:abstractNumId="76">
    <w:nsid w:val="14E17E33"/>
    <w:multiLevelType w:val="hybridMultilevel"/>
    <w:lvl w:ilvl="0">
      <w:lvlJc w:val="left"/>
      <w:lvlText w:val="(%1)"/>
      <w:numFmt w:val="lowerLetter"/>
      <w:start w:val="4"/>
    </w:lvl>
  </w:abstractNum>
  <w:abstractNum w:abstractNumId="77">
    <w:nsid w:val="3222E7CD"/>
    <w:multiLevelType w:val="hybridMultilevel"/>
    <w:lvl w:ilvl="0">
      <w:lvlJc w:val="left"/>
      <w:lvlText w:val="(%1)"/>
      <w:numFmt w:val="lowerRoman"/>
      <w:start w:val="1"/>
    </w:lvl>
  </w:abstractNum>
  <w:abstractNum w:abstractNumId="78">
    <w:nsid w:val="74DE0EE3"/>
    <w:multiLevelType w:val="hybridMultilevel"/>
    <w:lvl w:ilvl="0">
      <w:lvlJc w:val="left"/>
      <w:lvlText w:val="(%1)"/>
      <w:numFmt w:val="lowerLetter"/>
      <w:start w:val="5"/>
    </w:lvl>
  </w:abstractNum>
  <w:abstractNum w:abstractNumId="79">
    <w:nsid w:val="68EBC550"/>
    <w:multiLevelType w:val="hybridMultilevel"/>
    <w:lvl w:ilvl="0">
      <w:lvlJc w:val="left"/>
      <w:lvlText w:val="(%1)"/>
      <w:numFmt w:val="lowerLetter"/>
      <w:start w:val="7"/>
    </w:lvl>
  </w:abstractNum>
  <w:abstractNum w:abstractNumId="80">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
    <w:nsid w:val="46B7D447"/>
    <w:multiLevelType w:val="hybridMultilevel"/>
    <w:lvl w:ilvl="0">
      <w:lvlJc w:val="left"/>
      <w:lvlText w:val="%1"/>
      <w:numFmt w:val="lowerLetter"/>
      <w:start w:val="1"/>
    </w:lvl>
    <w:lvl w:ilvl="1">
      <w:lvlJc w:val="left"/>
      <w:lvlText w:val="(%2)"/>
      <w:numFmt w:val="lowerRoman"/>
      <w:start w:val="6"/>
    </w:lvl>
  </w:abstractNum>
  <w:abstractNum w:abstractNumId="82">
    <w:nsid w:val="4A2AC315"/>
    <w:multiLevelType w:val="hybridMultilevel"/>
    <w:lvl w:ilvl="0">
      <w:lvlJc w:val="left"/>
      <w:lvlText w:val="(%1)"/>
      <w:numFmt w:val="lowerLetter"/>
      <w:start w:val="3"/>
    </w:lvl>
    <w:lvl w:ilvl="1">
      <w:lvlJc w:val="left"/>
      <w:lvlText w:val="%2"/>
      <w:numFmt w:val="lowerRoman"/>
      <w:start w:val="1"/>
    </w:lvl>
  </w:abstractNum>
  <w:abstractNum w:abstractNumId="83">
    <w:nsid w:val="39EE015C"/>
    <w:multiLevelType w:val="hybridMultilevel"/>
    <w:lvl w:ilvl="0">
      <w:lvlJc w:val="left"/>
      <w:lvlText w:val="(%1)"/>
      <w:numFmt w:val="lowerLetter"/>
      <w:start w:val="4"/>
    </w:lvl>
    <w:lvl w:ilvl="1">
      <w:lvlJc w:val="left"/>
      <w:lvlText w:val="%2."/>
      <w:numFmt w:val="decimal"/>
      <w:start w:val="2"/>
    </w:lvl>
    <w:lvl w:ilvl="2">
      <w:lvlJc w:val="left"/>
      <w:lvlText w:val="(%3)"/>
      <w:numFmt w:val="lowerLetter"/>
      <w:start w:val="1"/>
    </w:lvl>
    <w:lvl w:ilvl="3">
      <w:lvlJc w:val="left"/>
      <w:lvlText w:val="(%4)"/>
      <w:numFmt w:val="lowerRoman"/>
    </w:lvl>
    <w:lvl w:ilvl="4">
      <w:lvlJc w:val="left"/>
      <w:lvlText w:val="(%5)"/>
      <w:numFmt w:val="lowerLetter"/>
      <w:start w:val="3"/>
    </w:lvl>
  </w:abstractNum>
  <w:abstractNum w:abstractNumId="84">
    <w:nsid w:val="57FC4FBB"/>
    <w:multiLevelType w:val="hybridMultilevel"/>
    <w:lvl w:ilvl="0">
      <w:lvlJc w:val="left"/>
      <w:lvlText w:val="%1."/>
      <w:numFmt w:val="decimal"/>
      <w:start w:val="3"/>
    </w:lvl>
    <w:lvl w:ilvl="1">
      <w:lvlJc w:val="left"/>
      <w:lvlText w:val="*"/>
      <w:numFmt w:val="bullet"/>
      <w:start w:val="1"/>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1"/>
    </w:lvl>
    <w:lvl w:ilvl="1">
      <w:lvlJc w:val="left"/>
      <w:lvlText w:val="(%2)"/>
      <w:numFmt w:val="lowerLetter"/>
      <w:start w:val="1"/>
    </w:lvl>
  </w:abstractNum>
  <w:abstractNum w:abstractNumId="87">
    <w:nsid w:val="60EF0119"/>
    <w:multiLevelType w:val="hybridMultilevel"/>
    <w:lvl w:ilvl="0">
      <w:lvlJc w:val="left"/>
      <w:lvlText w:val="%1."/>
      <w:numFmt w:val="decimal"/>
      <w:start w:val="1"/>
    </w:lvl>
    <w:lvl w:ilvl="1">
      <w:lvlJc w:val="left"/>
      <w:lvlText w:val="(%2)"/>
      <w:numFmt w:val="lowerLetter"/>
      <w:start w:val="1"/>
    </w:lvl>
  </w:abstractNum>
  <w:abstractNum w:abstractNumId="88">
    <w:nsid w:val="26F324BA"/>
    <w:multiLevelType w:val="hybridMultilevel"/>
    <w:lvl w:ilvl="0">
      <w:lvlJc w:val="left"/>
      <w:lvlText w:val="(%1)"/>
      <w:numFmt w:val="decimal"/>
      <w:start w:val="1"/>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3"/>
    </w:lvl>
  </w:abstractNum>
  <w:abstractNum w:abstractNumId="91">
    <w:nsid w:val="7055A5F5"/>
    <w:multiLevelType w:val="hybridMultilevel"/>
    <w:lvl w:ilvl="0">
      <w:lvlJc w:val="left"/>
      <w:lvlText w:val="%1."/>
      <w:numFmt w:val="decimal"/>
      <w:start w:val="4"/>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decimal"/>
      <w:start w:val="6"/>
    </w:lvl>
  </w:abstractNum>
  <w:abstractNum w:abstractNumId="94">
    <w:nsid w:val="488AC1A"/>
    <w:multiLevelType w:val="hybridMultilevel"/>
    <w:lvl w:ilvl="0">
      <w:lvlJc w:val="left"/>
      <w:lvlText w:val="%1."/>
      <w:numFmt w:val="decimal"/>
      <w:start w:val="7"/>
    </w:lvl>
  </w:abstractNum>
  <w:abstractNum w:abstractNumId="95">
    <w:nsid w:val="5FB8011C"/>
    <w:multiLevelType w:val="hybridMultilevel"/>
    <w:lvl w:ilvl="0">
      <w:lvlJc w:val="left"/>
      <w:lvlText w:val="%1."/>
      <w:numFmt w:val="decimal"/>
      <w:start w:val="8"/>
    </w:lvl>
  </w:abstractNum>
  <w:abstractNum w:abstractNumId="96">
    <w:nsid w:val="6AA78F7F"/>
    <w:multiLevelType w:val="hybridMultilevel"/>
    <w:lvl w:ilvl="0">
      <w:lvlJc w:val="left"/>
      <w:lvlText w:val="%1."/>
      <w:numFmt w:val="decimal"/>
      <w:start w:val="9"/>
    </w:lvl>
  </w:abstractNum>
  <w:abstractNum w:abstractNumId="97">
    <w:nsid w:val="7672BD23"/>
    <w:multiLevelType w:val="hybridMultilevel"/>
    <w:lvl w:ilvl="0">
      <w:lvlJc w:val="left"/>
      <w:lvlText w:val="%1."/>
      <w:numFmt w:val="decimal"/>
      <w:start w:val="10"/>
    </w:lvl>
  </w:abstractNum>
  <w:abstractNum w:abstractNumId="98">
    <w:nsid w:val="6FC75AF8"/>
    <w:multiLevelType w:val="hybridMultilevel"/>
    <w:lvl w:ilvl="0">
      <w:lvlJc w:val="left"/>
      <w:lvlText w:val="%1."/>
      <w:numFmt w:val="decimal"/>
      <w:start w:val="11"/>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158" Type="http://schemas.openxmlformats.org/officeDocument/2006/relationships/hyperlink" Target="http://www.sec.gov/Archives/edgar/data/1437402/000119312514247380/d748616dex31.htm" TargetMode="External"/><Relationship Id="rId159" Type="http://schemas.openxmlformats.org/officeDocument/2006/relationships/hyperlink" Target="http://www.sec.gov/Archives/edgar/data/1437402/000162828023022681/certificateofamendment6-16.htm" TargetMode="External"/><Relationship Id="rId160" Type="http://schemas.openxmlformats.org/officeDocument/2006/relationships/hyperlink" Target="http://www.sec.gov/Archives/edgar/data/1437402/000119312514247380/d748616dex32.htm" TargetMode="External"/><Relationship Id="rId161" Type="http://schemas.openxmlformats.org/officeDocument/2006/relationships/hyperlink" Target="http://www.sec.gov/Archives/edgar/data/1437402/000119312514240520/d704770dex42.htm" TargetMode="External"/><Relationship Id="rId162" Type="http://schemas.openxmlformats.org/officeDocument/2006/relationships/hyperlink" Target="http://www.sec.gov/Archives/edgar/data/1437402/000155837021002500/ardx-20201231xex4d4.htm" TargetMode="External"/><Relationship Id="rId163" Type="http://schemas.openxmlformats.org/officeDocument/2006/relationships/hyperlink" Target="http://www.sec.gov/Archives/edgar/data/1437402/000119312515288082/d948397dex101.htm" TargetMode="External"/><Relationship Id="rId164" Type="http://schemas.openxmlformats.org/officeDocument/2006/relationships/hyperlink" Target="http://www.sec.gov/Archives/edgar/data/1437402/000119312516493375/d133887dex101d.htm" TargetMode="External"/><Relationship Id="rId165" Type="http://schemas.openxmlformats.org/officeDocument/2006/relationships/hyperlink" Target="http://www.sec.gov/Archives/edgar/data/1437402/000119312514204985/d704770dex104a.htm" TargetMode="External"/><Relationship Id="rId166" Type="http://schemas.openxmlformats.org/officeDocument/2006/relationships/hyperlink" Target="http://www.sec.gov/Archives/edgar/data/1437402/000119312514204985/d704770dex104b.htm" TargetMode="External"/><Relationship Id="rId167" Type="http://schemas.openxmlformats.org/officeDocument/2006/relationships/hyperlink" Target="http://www.sec.gov/Archives/edgar/data/1437402/000119312514336840/d786507dex101.htm" TargetMode="External"/><Relationship Id="rId168" Type="http://schemas.openxmlformats.org/officeDocument/2006/relationships/hyperlink" Target="http://www.sec.gov/Archives/edgar/data/1437402/000119312516675135/d201246dex103.htm" TargetMode="External"/><Relationship Id="rId169" Type="http://schemas.openxmlformats.org/officeDocument/2006/relationships/hyperlink" Target="http://www.sec.gov/Archives/edgar/data/1437402/000162828023006041/ardenwoodventurellc-leasea.htm" TargetMode="External"/><Relationship Id="rId170" Type="http://schemas.openxmlformats.org/officeDocument/2006/relationships/hyperlink" Target="http://www.sec.gov/Archives/edgar/data/1437402/000162828021011446/ardenwoodleasefifthamendme.htm" TargetMode="External"/><Relationship Id="rId173" Type="http://schemas.openxmlformats.org/officeDocument/2006/relationships/hyperlink" Target="http://www.sec.gov/Archives/edgar/data/1437402/000155837021002500/ardx-20201231xex10d31.htm" TargetMode="External"/><Relationship Id="rId174" Type="http://schemas.openxmlformats.org/officeDocument/2006/relationships/hyperlink" Target="http://www.sec.gov/Archives/edgar/data/1437402/000119312514204985/d704770dex105a.htm" TargetMode="External"/><Relationship Id="rId175" Type="http://schemas.openxmlformats.org/officeDocument/2006/relationships/hyperlink" Target="http://www.sec.gov/Archives/edgar/data/1437402/000119312514204985/d704770dex105b.htm" TargetMode="External"/><Relationship Id="rId176" Type="http://schemas.openxmlformats.org/officeDocument/2006/relationships/hyperlink" Target="http://www.sec.gov/Archives/edgar/data/1437402/000119312514204985/d704770dex105c.htm" TargetMode="External"/><Relationship Id="rId177" Type="http://schemas.openxmlformats.org/officeDocument/2006/relationships/hyperlink" Target="https://www.sec.gov/Archives/edgar/data/1437402/000119312514267896/d758186dex993.htm" TargetMode="External"/><Relationship Id="rId178" Type="http://schemas.openxmlformats.org/officeDocument/2006/relationships/hyperlink" Target="http://www.sec.gov/Archives/edgar/data/1437402/000119312514229371/d704770dex106b.htm" TargetMode="External"/><Relationship Id="rId179" Type="http://schemas.openxmlformats.org/officeDocument/2006/relationships/hyperlink" Target="http://www.sec.gov/Archives/edgar/data/1437402/000119312514229371/d704770dex106c.htm" TargetMode="External"/><Relationship Id="rId180" Type="http://schemas.openxmlformats.org/officeDocument/2006/relationships/hyperlink" Target="http://www.sec.gov/Archives/edgar/data/1437402/000119312514267896/d758186dex996.htm" TargetMode="External"/><Relationship Id="rId181" Type="http://schemas.openxmlformats.org/officeDocument/2006/relationships/hyperlink" Target="http://www.sec.gov/Archives/edgar/data/1437402/000119312516764653/d276142dex992.htm" TargetMode="External"/><Relationship Id="rId182" Type="http://schemas.openxmlformats.org/officeDocument/2006/relationships/hyperlink" Target="http://www.sec.gov/Archives/edgar/data/1437402/000119312516764653/d276142dex993.htm" TargetMode="External"/><Relationship Id="rId183" Type="http://schemas.openxmlformats.org/officeDocument/2006/relationships/hyperlink" Target="http://www.sec.gov/Archives/edgar/data/1437402/000119312516764653/d276142dex994.htm" TargetMode="External"/><Relationship Id="rId184" Type="http://schemas.openxmlformats.org/officeDocument/2006/relationships/hyperlink" Target="http://www.sec.gov/Archives/edgar/data/1437402/000119312515250831/d44646dex991.htm" TargetMode="External"/><Relationship Id="rId185" Type="http://schemas.openxmlformats.org/officeDocument/2006/relationships/hyperlink" Target="http://www.sec.gov/Archives/edgar/data/1437402/000119312516675135/d201246dex102.htm" TargetMode="External"/><Relationship Id="rId186" Type="http://schemas.openxmlformats.org/officeDocument/2006/relationships/hyperlink" Target="http://www.sec.gov/Archives/edgar/data/1437402/000119312514229371/d704770dex107.htm" TargetMode="External"/><Relationship Id="rId187" Type="http://schemas.openxmlformats.org/officeDocument/2006/relationships/hyperlink" Target="http://www.sec.gov/Archives/edgar/data/1437402/000119312514229371/d704770dex108.htm" TargetMode="External"/><Relationship Id="rId188" Type="http://schemas.openxmlformats.org/officeDocument/2006/relationships/hyperlink" Target="http://www.sec.gov/Archives/edgar/data/1437402/000119312514229371/d704770dex1013.htm" TargetMode="External"/><Relationship Id="rId189" Type="http://schemas.openxmlformats.org/officeDocument/2006/relationships/hyperlink" Target="http://www.sec.gov/Archives/edgar/data/1437402/000155837018004307/ardx-20180331ex101b83033.htm" TargetMode="External"/><Relationship Id="rId190" Type="http://schemas.openxmlformats.org/officeDocument/2006/relationships/hyperlink" Target="http://www.sec.gov/Archives/edgar/data/1437402/000162828022004226/amendmentnumberone_drosenb.htm" TargetMode="External"/><Relationship Id="rId191" Type="http://schemas.openxmlformats.org/officeDocument/2006/relationships/hyperlink" Target="http://www.sec.gov/Archives/edgar/data/1437402/000119312514229371/d704770dex1014.htm" TargetMode="External"/><Relationship Id="rId192" Type="http://schemas.openxmlformats.org/officeDocument/2006/relationships/hyperlink" Target="http://www.sec.gov/Archives/edgar/data/1437402/000155837018004307/ardx-20180331ex100e97155.htm" TargetMode="External"/><Relationship Id="rId193" Type="http://schemas.openxmlformats.org/officeDocument/2006/relationships/hyperlink" Target="http://www.sec.gov/Archives/edgar/data/1437402/000155837020009636/ardx-20200630xex10d1.htm" TargetMode="External"/><Relationship Id="rId194" Type="http://schemas.openxmlformats.org/officeDocument/2006/relationships/hyperlink" Target="http://www.sec.gov/Archives/edgar/data/1437402/000155837020009636/ardx-20200630xex10d2.htm" TargetMode="External"/><Relationship Id="rId195" Type="http://schemas.openxmlformats.org/officeDocument/2006/relationships/hyperlink" Target="http://www.sec.gov/Archives/edgar/data/1437402/000155837020009636/ardx-20200630xex10d3.htm" TargetMode="External"/><Relationship Id="rId196" Type="http://schemas.openxmlformats.org/officeDocument/2006/relationships/hyperlink" Target="http://www.sec.gov/Archives/edgar/data/1437402/000155837020009636/ardx-20200630xex10d4.htm" TargetMode="External"/><Relationship Id="rId197" Type="http://schemas.openxmlformats.org/officeDocument/2006/relationships/hyperlink" Target="http://www.sec.gov/Archives/edgar/data/1437402/000162828022021047/secondamendedandrestatedno.htm" TargetMode="External"/><Relationship Id="rId200" Type="http://schemas.openxmlformats.org/officeDocument/2006/relationships/hyperlink" Target="http://www.sec.gov/Archives/edgar/data/1437402/000155837018002056/ardx-20171231ex10353fabf.htm" TargetMode="External"/><Relationship Id="rId201" Type="http://schemas.openxmlformats.org/officeDocument/2006/relationships/hyperlink" Target="http://www.sec.gov/Archives/edgar/data/1437402/000162828023006041/kyowakirincoltdfkakyowahak.htm" TargetMode="External"/><Relationship Id="rId202" Type="http://schemas.openxmlformats.org/officeDocument/2006/relationships/hyperlink" Target="http://www.sec.gov/Archives/edgar/data/1437402/000162828022008924/a2ndamendmenttokkc-ardxlic.htm" TargetMode="External"/><Relationship Id="rId203" Type="http://schemas.openxmlformats.org/officeDocument/2006/relationships/hyperlink" Target="http://www.sec.gov/Archives/edgar/data/1437402/000155837018002056/ardx-20171231ex103695c56.htm" TargetMode="External"/><Relationship Id="rId204" Type="http://schemas.openxmlformats.org/officeDocument/2006/relationships/hyperlink" Target="http://www.sec.gov/Archives/edgar/data/1437402/000162828022021047/hcr-ardelyxxroyaltyandmile.htm" TargetMode="External"/><Relationship Id="rId205" Type="http://schemas.openxmlformats.org/officeDocument/2006/relationships/hyperlink" Target="http://www.sec.gov/Archives/edgar/data/1437402/000162828022012630/slrloanandsecurityagreemen.htm" TargetMode="External"/><Relationship Id="rId206" Type="http://schemas.openxmlformats.org/officeDocument/2006/relationships/hyperlink" Target="http://www.sec.gov/Archives/edgar/data/1437402/000162828022021047/slr-ardelyxxfirstamendment.htm" TargetMode="External"/><Relationship Id="rId207" Type="http://schemas.openxmlformats.org/officeDocument/2006/relationships/hyperlink" Target="http://www.sec.gov/Archives/edgar/data/1437402/000162828023006041/slr-ardelyxxsecondamendmen.htm" TargetMode="External"/><Relationship Id="rId208" Type="http://schemas.openxmlformats.org/officeDocument/2006/relationships/hyperlink" Target="http://www.sec.gov/Archives/edgar/data/1437402/000162828023034587/ardelyx-thirdamendmenttolo.htm" TargetMode="External"/><Relationship Id="rId209" Type="http://schemas.openxmlformats.org/officeDocument/2006/relationships/hyperlink" Target="http://www.sec.gov/Archives/edgar/data/1437402/000162828022012630/slrexitfeeagreement-ex102.htm" TargetMode="External"/><Relationship Id="rId210" Type="http://schemas.openxmlformats.org/officeDocument/2006/relationships/hyperlink" Target="http://www.sec.gov/Archives/edgar/data/1437402/000155837018006606/ardx-20180630ex102467e2d.htm" TargetMode="External"/><Relationship Id="rId211" Type="http://schemas.openxmlformats.org/officeDocument/2006/relationships/hyperlink" Target="http://www.sec.gov/Archives/edgar/data/1437402/000155837020009636/ardx-20200630xex10d5.htm" TargetMode="External"/><Relationship Id="rId212" Type="http://schemas.openxmlformats.org/officeDocument/2006/relationships/hyperlink" Target="http://www.sec.gov/Archives/edgar/data/1437402/000162828023006041/ardelyx_psgxmsaamendment1.htm" TargetMode="External"/><Relationship Id="rId213" Type="http://schemas.openxmlformats.org/officeDocument/2006/relationships/hyperlink" Target="http://www.sec.gov/Archives/edgar/data/1437402/000162828021017192/salesagencyagreementaugust.htm" TargetMode="External"/><Relationship Id="rId214" Type="http://schemas.openxmlformats.org/officeDocument/2006/relationships/hyperlink" Target="http://www.sec.gov/Archives/edgar/data/1437402/000119312523010411/d429337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2024-02-22T15:58:04Z</dcterms:created>
  <dcterms:modified xsi:type="dcterms:W3CDTF">2024-02-22T15:58:04Z</dcterms:modified>
</cp:coreProperties>
</file>