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0691493.xml.htm"/>
      <w:bookmarkStart w:id="1" w:name="kswkform4_17006914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Felsch Robert Ora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See Remarks</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11/20/2023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42"/>
        <w:gridCol w:w="452"/>
        <w:gridCol w:w="838"/>
        <w:gridCol w:w="1190"/>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1,044</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4.3622</w:t>
            </w:r>
            <w:r>
              <w:rPr/>
              <w:t xml:space="preserve"> </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117,066</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adjusted total which includes the purchase of 3,000 shares under the Ardelyx Employee Stock Purchase Plan in August 2023.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SVP Finance and Chief Accounting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 Attorney-in-Fact for Robert Ora Felsch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17819" TargetMode="External"/><Relationship Id="rId4" Type="http://schemas.openxmlformats.org/officeDocument/2006/relationships/hyperlink" Target="http://www.sec.gov/cgi-bin/browse-edgar?action=getcompany&amp;CIK=000143740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3419</Characters>
  <CharactersWithSpaces>3984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