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Bhanji Muna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03/11/2021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ARDELYX,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ARDX</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60" w:type="dxa"/>
            <w:vAlign w:val="bottom"/>
          </w:tcPr>
          <w:p>
            <w:pPr>
              <w:ind w:left="280"/>
              <w:spacing w:after="0"/>
              <w:rPr>
                <w:sz w:val="20"/>
                <w:szCs w:val="20"/>
                <w:color w:val="auto"/>
              </w:rPr>
            </w:pPr>
            <w:r>
              <w:rPr>
                <w:rFonts w:ascii="Arial" w:cs="Arial" w:eastAsia="Arial" w:hAnsi="Arial"/>
                <w:sz w:val="15"/>
                <w:szCs w:val="15"/>
                <w:color w:val="auto"/>
              </w:rPr>
              <w:t>(First)</w:t>
            </w:r>
          </w:p>
        </w:tc>
        <w:tc>
          <w:tcPr>
            <w:tcW w:w="1160" w:type="dxa"/>
            <w:vAlign w:val="bottom"/>
          </w:tcPr>
          <w:p>
            <w:pPr>
              <w:ind w:left="160"/>
              <w:spacing w:after="0"/>
              <w:rPr>
                <w:sz w:val="20"/>
                <w:szCs w:val="20"/>
                <w:color w:val="auto"/>
              </w:rPr>
            </w:pPr>
            <w:r>
              <w:rPr>
                <w:rFonts w:ascii="Arial" w:cs="Arial" w:eastAsia="Arial" w:hAnsi="Arial"/>
                <w:sz w:val="15"/>
                <w:szCs w:val="15"/>
                <w:color w:val="auto"/>
              </w:rPr>
              <w:t>(Middle)</w:t>
            </w:r>
          </w:p>
        </w:tc>
      </w:tr>
      <w:tr>
        <w:trPr>
          <w:trHeight w:val="314"/>
        </w:trPr>
        <w:tc>
          <w:tcPr>
            <w:tcW w:w="1940" w:type="dxa"/>
            <w:vAlign w:val="bottom"/>
            <w:gridSpan w:val="2"/>
          </w:tcPr>
          <w:p>
            <w:pPr>
              <w:ind w:left="40"/>
              <w:spacing w:after="0"/>
              <w:rPr>
                <w:sz w:val="20"/>
                <w:szCs w:val="20"/>
                <w:color w:val="auto"/>
              </w:rPr>
            </w:pPr>
            <w:r>
              <w:rPr>
                <w:rFonts w:ascii="Arial" w:cs="Arial" w:eastAsia="Arial" w:hAnsi="Arial"/>
                <w:sz w:val="20"/>
                <w:szCs w:val="20"/>
                <w:color w:val="0000FF"/>
              </w:rPr>
              <w:t>C/O ARDELYX, INC.</w:t>
            </w:r>
          </w:p>
        </w:tc>
        <w:tc>
          <w:tcPr>
            <w:tcW w:w="116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34175 ARDENWOOD BLVD</w:t>
            </w:r>
          </w:p>
        </w:tc>
      </w:tr>
      <w:tr>
        <w:trPr>
          <w:trHeight w:val="177"/>
        </w:trPr>
        <w:tc>
          <w:tcPr>
            <w:tcW w:w="7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69"/>
        </w:trPr>
        <w:tc>
          <w:tcPr>
            <w:tcW w:w="1940" w:type="dxa"/>
            <w:vAlign w:val="bottom"/>
            <w:gridSpan w:val="2"/>
          </w:tcPr>
          <w:p>
            <w:pPr>
              <w:ind w:left="40"/>
              <w:spacing w:after="0"/>
              <w:rPr>
                <w:sz w:val="20"/>
                <w:szCs w:val="20"/>
                <w:color w:val="auto"/>
              </w:rPr>
            </w:pPr>
            <w:r>
              <w:rPr>
                <w:rFonts w:ascii="Arial" w:cs="Arial" w:eastAsia="Arial" w:hAnsi="Arial"/>
                <w:sz w:val="20"/>
                <w:szCs w:val="20"/>
                <w:color w:val="0000FF"/>
              </w:rPr>
              <w:t>FREMONT CA</w:t>
            </w:r>
          </w:p>
        </w:tc>
        <w:tc>
          <w:tcPr>
            <w:tcW w:w="1160" w:type="dxa"/>
            <w:vAlign w:val="bottom"/>
          </w:tcPr>
          <w:p>
            <w:pPr>
              <w:ind w:left="160"/>
              <w:spacing w:after="0"/>
              <w:rPr>
                <w:sz w:val="20"/>
                <w:szCs w:val="20"/>
                <w:color w:val="auto"/>
              </w:rPr>
            </w:pPr>
            <w:r>
              <w:rPr>
                <w:rFonts w:ascii="Arial" w:cs="Arial" w:eastAsia="Arial" w:hAnsi="Arial"/>
                <w:sz w:val="20"/>
                <w:szCs w:val="20"/>
                <w:color w:val="0000FF"/>
              </w:rPr>
              <w:t>94555</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92"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114744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47445"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Attorney-in-Fact for Muna 03/15/2021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Bhanji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33020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30200"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4"/>
          <w:szCs w:val="24"/>
          <w:b w:val="1"/>
          <w:bCs w:val="1"/>
          <w:color w:val="auto"/>
        </w:rPr>
        <w:t>POWER OF ATTORNEY</w:t>
      </w:r>
    </w:p>
    <w:p>
      <w:pPr>
        <w:spacing w:after="0" w:line="240" w:lineRule="exact"/>
        <w:rPr>
          <w:sz w:val="20"/>
          <w:szCs w:val="20"/>
          <w:color w:val="auto"/>
        </w:rPr>
      </w:pPr>
    </w:p>
    <w:p>
      <w:pPr>
        <w:ind w:right="320" w:firstLine="720"/>
        <w:spacing w:after="0" w:line="278" w:lineRule="auto"/>
        <w:rPr>
          <w:sz w:val="20"/>
          <w:szCs w:val="20"/>
          <w:color w:val="auto"/>
        </w:rPr>
      </w:pPr>
      <w:r>
        <w:rPr>
          <w:rFonts w:ascii="Arial" w:cs="Arial" w:eastAsia="Arial" w:hAnsi="Arial"/>
          <w:sz w:val="21"/>
          <w:szCs w:val="21"/>
          <w:color w:val="auto"/>
        </w:rPr>
        <w:t>Know all by these presents, that the undersigned hereby constitutes and appoints each of (i) the Chief Executive Officer of Ardelyx, Inc., a Delaware corporation (the “</w:t>
      </w:r>
      <w:r>
        <w:rPr>
          <w:rFonts w:ascii="Arial" w:cs="Arial" w:eastAsia="Arial" w:hAnsi="Arial"/>
          <w:sz w:val="21"/>
          <w:szCs w:val="21"/>
          <w:b w:val="1"/>
          <w:bCs w:val="1"/>
          <w:color w:val="auto"/>
        </w:rPr>
        <w:t>Company</w:t>
      </w:r>
      <w:r>
        <w:rPr>
          <w:rFonts w:ascii="Arial" w:cs="Arial" w:eastAsia="Arial" w:hAnsi="Arial"/>
          <w:sz w:val="21"/>
          <w:szCs w:val="21"/>
          <w:color w:val="auto"/>
        </w:rPr>
        <w:t>”), who is currently Michael Raab,</w:t>
      </w:r>
    </w:p>
    <w:p>
      <w:pPr>
        <w:spacing w:after="0" w:line="1" w:lineRule="exact"/>
        <w:rPr>
          <w:sz w:val="20"/>
          <w:szCs w:val="20"/>
          <w:color w:val="auto"/>
        </w:rPr>
      </w:pPr>
    </w:p>
    <w:p>
      <w:pPr>
        <w:ind w:right="60"/>
        <w:spacing w:after="0" w:line="271" w:lineRule="auto"/>
        <w:tabs>
          <w:tab w:leader="none" w:pos="353"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Company's Chief Financial Officer or principal financial officer, who is currently Justin Renz and (iii) the Chief Legal and Administrative Officer, who is currently Elizabeth Grammer, and their respective successors, signing singly, with full power of substitution, as the undersigned's true and lawful attorney-in-fact to:</w:t>
      </w:r>
    </w:p>
    <w:p>
      <w:pPr>
        <w:spacing w:after="0" w:line="181" w:lineRule="exact"/>
        <w:rPr>
          <w:rFonts w:ascii="Arial" w:cs="Arial" w:eastAsia="Arial" w:hAnsi="Arial"/>
          <w:sz w:val="22"/>
          <w:szCs w:val="22"/>
          <w:color w:val="auto"/>
        </w:rPr>
      </w:pPr>
    </w:p>
    <w:p>
      <w:pPr>
        <w:jc w:val="both"/>
        <w:ind w:left="1440" w:right="160" w:hanging="670"/>
        <w:spacing w:after="0" w:line="306" w:lineRule="auto"/>
        <w:tabs>
          <w:tab w:leader="none" w:pos="1440" w:val="left"/>
        </w:tabs>
        <w:numPr>
          <w:ilvl w:val="2"/>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of the Company, Forms 3, 4 and 5 (including amendments thereto) in accordance with Section 16(a) of the Securities Exchange Act of 1934 and the rules and regulations thereunder and a Form ID, Uniform Application for Access Codes to File on EDGAR;</w:t>
      </w:r>
    </w:p>
    <w:p>
      <w:pPr>
        <w:spacing w:after="0" w:line="168" w:lineRule="exact"/>
        <w:rPr>
          <w:rFonts w:ascii="Arial" w:cs="Arial" w:eastAsia="Arial" w:hAnsi="Arial"/>
          <w:sz w:val="18"/>
          <w:szCs w:val="18"/>
          <w:color w:val="auto"/>
        </w:rPr>
      </w:pPr>
    </w:p>
    <w:p>
      <w:pPr>
        <w:ind w:left="1440" w:right="20" w:hanging="720"/>
        <w:spacing w:after="0" w:line="259" w:lineRule="auto"/>
        <w:tabs>
          <w:tab w:leader="none" w:pos="1440" w:val="left"/>
        </w:tabs>
        <w:numPr>
          <w:ilvl w:val="1"/>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Forms 3, 4 or 5 or Form ID and timely file such forms (including amendments thereto) and application with the United States Securities and Exchange Commission and any stock exchange or similar authority; and</w:t>
      </w:r>
    </w:p>
    <w:p>
      <w:pPr>
        <w:spacing w:after="0" w:line="207" w:lineRule="exact"/>
        <w:rPr>
          <w:rFonts w:ascii="Arial" w:cs="Arial" w:eastAsia="Arial" w:hAnsi="Arial"/>
          <w:sz w:val="20"/>
          <w:szCs w:val="20"/>
          <w:color w:val="auto"/>
        </w:rPr>
      </w:pPr>
    </w:p>
    <w:p>
      <w:pPr>
        <w:ind w:left="1440" w:hanging="720"/>
        <w:spacing w:after="0" w:line="257" w:lineRule="auto"/>
        <w:tabs>
          <w:tab w:leader="none" w:pos="1440" w:val="left"/>
        </w:tabs>
        <w:numPr>
          <w:ilvl w:val="1"/>
          <w:numId w:val="5"/>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2" w:lineRule="exact"/>
        <w:rPr>
          <w:sz w:val="20"/>
          <w:szCs w:val="20"/>
          <w:color w:val="auto"/>
        </w:rPr>
      </w:pPr>
    </w:p>
    <w:p>
      <w:pPr>
        <w:ind w:right="40" w:firstLine="720"/>
        <w:spacing w:after="0" w:line="249" w:lineRule="auto"/>
        <w:rPr>
          <w:sz w:val="20"/>
          <w:szCs w:val="20"/>
          <w:color w:val="auto"/>
        </w:rPr>
      </w:pPr>
      <w:r>
        <w:rPr>
          <w:rFonts w:ascii="Arial" w:cs="Arial" w:eastAsia="Arial" w:hAnsi="Arial"/>
          <w:sz w:val="23"/>
          <w:szCs w:val="23"/>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32" w:lineRule="exact"/>
        <w:rPr>
          <w:sz w:val="20"/>
          <w:szCs w:val="20"/>
          <w:color w:val="auto"/>
        </w:rPr>
      </w:pPr>
    </w:p>
    <w:p>
      <w:pPr>
        <w:ind w:right="100" w:firstLine="720"/>
        <w:spacing w:after="0" w:line="277" w:lineRule="auto"/>
        <w:rPr>
          <w:sz w:val="20"/>
          <w:szCs w:val="20"/>
          <w:color w:val="auto"/>
        </w:rPr>
      </w:pPr>
      <w:r>
        <w:rPr>
          <w:rFonts w:ascii="Arial" w:cs="Arial" w:eastAsia="Arial" w:hAnsi="Arial"/>
          <w:sz w:val="21"/>
          <w:szCs w:val="21"/>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or 5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201" w:lineRule="exact"/>
        <w:rPr>
          <w:sz w:val="20"/>
          <w:szCs w:val="20"/>
          <w:color w:val="auto"/>
        </w:rPr>
      </w:pPr>
    </w:p>
    <w:p>
      <w:pPr>
        <w:ind w:right="240" w:firstLine="720"/>
        <w:spacing w:after="0" w:line="263" w:lineRule="auto"/>
        <w:rPr>
          <w:sz w:val="20"/>
          <w:szCs w:val="20"/>
          <w:color w:val="auto"/>
        </w:rPr>
      </w:pPr>
      <w:r>
        <w:rPr>
          <w:rFonts w:ascii="Arial" w:cs="Arial" w:eastAsia="Arial" w:hAnsi="Arial"/>
          <w:sz w:val="23"/>
          <w:szCs w:val="23"/>
          <w:color w:val="auto"/>
        </w:rPr>
        <w:t>This Power of Attorney supersedes any power of attorney previously executed by the undersigned regarding the purposes outlined in the first paragraph hereof (“</w:t>
      </w:r>
      <w:r>
        <w:rPr>
          <w:rFonts w:ascii="Arial" w:cs="Arial" w:eastAsia="Arial" w:hAnsi="Arial"/>
          <w:sz w:val="23"/>
          <w:szCs w:val="23"/>
          <w:b w:val="1"/>
          <w:bCs w:val="1"/>
          <w:i w:val="1"/>
          <w:iCs w:val="1"/>
          <w:color w:val="auto"/>
        </w:rPr>
        <w:t>Prior Powers of Attorney</w:t>
      </w:r>
      <w:r>
        <w:rPr>
          <w:rFonts w:ascii="Arial" w:cs="Arial" w:eastAsia="Arial" w:hAnsi="Arial"/>
          <w:sz w:val="23"/>
          <w:szCs w:val="23"/>
          <w:color w:val="auto"/>
        </w:rPr>
        <w:t>”), and the authority of the attorneys-in-fact named in any Prior Powers of Attorney is hereby revoked.</w:t>
      </w:r>
    </w:p>
    <w:p>
      <w:pPr>
        <w:spacing w:after="0" w:line="211" w:lineRule="exact"/>
        <w:rPr>
          <w:sz w:val="20"/>
          <w:szCs w:val="20"/>
          <w:color w:val="auto"/>
        </w:rPr>
      </w:pPr>
    </w:p>
    <w:p>
      <w:pPr>
        <w:ind w:right="40" w:firstLine="720"/>
        <w:spacing w:after="0" w:line="241" w:lineRule="auto"/>
        <w:rPr>
          <w:sz w:val="20"/>
          <w:szCs w:val="20"/>
          <w:color w:val="auto"/>
        </w:rPr>
      </w:pPr>
      <w:r>
        <w:rPr>
          <w:rFonts w:ascii="Arial" w:cs="Arial" w:eastAsia="Arial" w:hAnsi="Arial"/>
          <w:sz w:val="24"/>
          <w:szCs w:val="24"/>
          <w:color w:val="auto"/>
        </w:rPr>
        <w:t>This Power of Attorney shall remain in full force and effect until the undersigned is no longer required to file Forms 3, 4 or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w:t>
      </w:r>
    </w:p>
    <w:p>
      <w:pPr>
        <w:spacing w:after="0" w:line="235" w:lineRule="exact"/>
        <w:rPr>
          <w:sz w:val="20"/>
          <w:szCs w:val="20"/>
          <w:color w:val="auto"/>
        </w:rPr>
      </w:pPr>
    </w:p>
    <w:p>
      <w:pPr>
        <w:ind w:right="280" w:firstLine="720"/>
        <w:spacing w:after="0" w:line="266" w:lineRule="auto"/>
        <w:rPr>
          <w:sz w:val="20"/>
          <w:szCs w:val="20"/>
          <w:color w:val="auto"/>
        </w:rPr>
      </w:pPr>
      <w:r>
        <w:rPr>
          <w:rFonts w:ascii="Arial" w:cs="Arial" w:eastAsia="Arial" w:hAnsi="Arial"/>
          <w:sz w:val="24"/>
          <w:szCs w:val="24"/>
          <w:color w:val="auto"/>
        </w:rPr>
        <w:t>IN WITNESS WHEREOF, the undersigned has caused this Power of Attorney to be executed as of this 12</w:t>
      </w:r>
      <w:r>
        <w:rPr>
          <w:rFonts w:ascii="Arial" w:cs="Arial" w:eastAsia="Arial" w:hAnsi="Arial"/>
          <w:sz w:val="40"/>
          <w:szCs w:val="40"/>
          <w:color w:val="auto"/>
          <w:vertAlign w:val="superscript"/>
        </w:rPr>
        <w:t>th</w:t>
      </w:r>
      <w:r>
        <w:rPr>
          <w:rFonts w:ascii="Arial" w:cs="Arial" w:eastAsia="Arial" w:hAnsi="Arial"/>
          <w:sz w:val="24"/>
          <w:szCs w:val="24"/>
          <w:color w:val="auto"/>
        </w:rPr>
        <w:t xml:space="preserve"> day of March, 2021.</w:t>
      </w:r>
    </w:p>
    <w:p>
      <w:pPr>
        <w:spacing w:after="0" w:line="2"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/s/ Muna Bhanji</w:t>
      </w:r>
    </w:p>
    <w:p>
      <w:pPr>
        <w:spacing w:after="0" w:line="26" w:lineRule="exact"/>
        <w:rPr>
          <w:sz w:val="20"/>
          <w:szCs w:val="20"/>
          <w:color w:val="auto"/>
        </w:rPr>
      </w:pPr>
    </w:p>
    <w:p>
      <w:pPr>
        <w:ind w:left="2740"/>
        <w:spacing w:after="0"/>
        <w:rPr>
          <w:sz w:val="20"/>
          <w:szCs w:val="20"/>
          <w:color w:val="auto"/>
        </w:rPr>
      </w:pPr>
      <w:r>
        <w:rPr>
          <w:rFonts w:ascii="Arial" w:cs="Arial" w:eastAsia="Arial" w:hAnsi="Arial"/>
          <w:sz w:val="20"/>
          <w:szCs w:val="20"/>
          <w:b w:val="1"/>
          <w:bCs w:val="1"/>
          <w:color w:val="auto"/>
        </w:rPr>
        <w:t>Muna Bhanji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1743710</wp:posOffset>
            </wp:positionH>
            <wp:positionV relativeFrom="paragraph">
              <wp:posOffset>-145415</wp:posOffset>
            </wp:positionV>
            <wp:extent cx="86741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67410" cy="9525"/>
                    </a:xfrm>
                    <a:prstGeom prst="rect">
                      <a:avLst/>
                    </a:prstGeom>
                    <a:noFill/>
                  </pic:spPr>
                </pic:pic>
              </a:graphicData>
            </a:graphic>
          </wp:anchor>
        </w:drawing>
      </w:r>
    </w:p>
    <w:sectPr>
      <w:pgSz w:w="11900" w:h="16838" w:orient="portrait"/>
      <w:cols w:equalWidth="0" w:num="1">
        <w:col w:w="10920"/>
      </w:cols>
      <w:pgMar w:left="480" w:top="11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Roman"/>
      <w:start w:val="2"/>
    </w:lvl>
    <w:lvl w:ilvl="1">
      <w:lvlJc w:val="left"/>
      <w:lvlText w:val="(%2)"/>
      <w:numFmt w:val="decimal"/>
      <w:start w:val="1"/>
    </w:lvl>
    <w:lvl w:ilvl="2">
      <w:lvlJc w:val="left"/>
      <w:lvlText w:val="(%3)"/>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cgi-bin/browse-edgar?action=getcompany&amp;CIK=0001846905" TargetMode="External"/><Relationship Id="rId11"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2021-03-15T15:50:07Z</dcterms:created>
  <dcterms:modified xsi:type="dcterms:W3CDTF">2021-03-15T15:50:07Z</dcterms:modified>
</cp:coreProperties>
</file>