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4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MOTT DAVID M</w:t>
              </w:r>
            </w:hyperlink>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ARDELYX,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ARDX</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420" w:type="dxa"/>
            <w:vAlign w:val="bottom"/>
            <w:gridSpan w:val="3"/>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520" w:type="dxa"/>
            <w:vAlign w:val="bottom"/>
            <w:tcBorders>
              <w:bottom w:val="single" w:sz="8" w:color="0000EE"/>
            </w:tcBorders>
          </w:tcPr>
          <w:p>
            <w:pPr>
              <w:spacing w:after="0"/>
              <w:rPr>
                <w:sz w:val="6"/>
                <w:szCs w:val="6"/>
                <w:color w:val="auto"/>
              </w:rPr>
            </w:pPr>
          </w:p>
        </w:tc>
        <w:tc>
          <w:tcPr>
            <w:tcW w:w="22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420" w:type="dxa"/>
            <w:vAlign w:val="bottom"/>
            <w:gridSpan w:val="3"/>
            <w:vMerge w:val="continue"/>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520" w:type="dxa"/>
            <w:vAlign w:val="bottom"/>
          </w:tcPr>
          <w:p>
            <w:pPr>
              <w:spacing w:after="0"/>
              <w:rPr>
                <w:sz w:val="5"/>
                <w:szCs w:val="5"/>
                <w:color w:val="auto"/>
              </w:rPr>
            </w:pPr>
          </w:p>
        </w:tc>
        <w:tc>
          <w:tcPr>
            <w:tcW w:w="22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22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86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40" w:type="dxa"/>
            <w:vAlign w:val="bottom"/>
            <w:gridSpan w:val="2"/>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16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05/02/2025</w:t>
            </w:r>
          </w:p>
        </w:tc>
        <w:tc>
          <w:tcPr>
            <w:tcW w:w="22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ARDELYX, INC.</w:t>
            </w:r>
          </w:p>
        </w:tc>
        <w:tc>
          <w:tcPr>
            <w:tcW w:w="1220" w:type="dxa"/>
            <w:vAlign w:val="bottom"/>
          </w:tcPr>
          <w:p>
            <w:pPr>
              <w:spacing w:after="0"/>
              <w:rPr>
                <w:sz w:val="11"/>
                <w:szCs w:val="11"/>
                <w:color w:val="auto"/>
              </w:rPr>
            </w:pPr>
          </w:p>
        </w:tc>
        <w:tc>
          <w:tcPr>
            <w:tcW w:w="1680" w:type="dxa"/>
            <w:vAlign w:val="bottom"/>
            <w:gridSpan w:val="3"/>
            <w:vMerge w:val="continue"/>
          </w:tcPr>
          <w:p>
            <w:pPr>
              <w:spacing w:after="0"/>
              <w:rPr>
                <w:sz w:val="11"/>
                <w:szCs w:val="11"/>
                <w:color w:val="auto"/>
              </w:rPr>
            </w:pPr>
          </w:p>
        </w:tc>
        <w:tc>
          <w:tcPr>
            <w:tcW w:w="22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420" w:type="dxa"/>
            <w:vAlign w:val="bottom"/>
            <w:gridSpan w:val="3"/>
            <w:vMerge w:val="continue"/>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400 FIFTH AVENUE, SUITE 210</w:t>
            </w: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520" w:type="dxa"/>
            <w:vAlign w:val="bottom"/>
            <w:tcBorders>
              <w:bottom w:val="single" w:sz="8" w:color="2C2C2C"/>
            </w:tcBorders>
          </w:tcPr>
          <w:p>
            <w:pPr>
              <w:spacing w:after="0"/>
              <w:rPr>
                <w:sz w:val="12"/>
                <w:szCs w:val="12"/>
                <w:color w:val="auto"/>
              </w:rPr>
            </w:pPr>
          </w:p>
        </w:tc>
        <w:tc>
          <w:tcPr>
            <w:tcW w:w="22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420" w:type="dxa"/>
            <w:vAlign w:val="bottom"/>
            <w:gridSpan w:val="3"/>
            <w:vMerge w:val="continue"/>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02451</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05/02/2025</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381,377</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4.224</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2,396,871</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60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40" w:right="4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Transaction was executed in multiple trades in prices ranging from $3.745 to $4.54, inclusive. The price reported in Column 4 above reflects the weighted average sale price. The Reporting Person hereby undertakes to provide to the Securities and Exchange Commission staff, the Issuer, or a security holder of the Issuer, upon request, full information regarding the number of shares sold at each respective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4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holds 87,566 shares for the benefit of entities associated with New Enterprise Associates and disclaims beneficial ownership of such shares, except to the extent of his actual pecuniary interest therein.</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Elizabeth Grammer,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185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18540"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David</w:t>
      </w:r>
      <w:r>
        <w:rPr>
          <w:sz w:val="20"/>
          <w:szCs w:val="20"/>
          <w:color w:val="auto"/>
        </w:rPr>
        <w:tab/>
      </w:r>
      <w:r>
        <w:rPr>
          <w:rFonts w:ascii="Times New Roman" w:cs="Times New Roman" w:eastAsia="Times New Roman" w:hAnsi="Times New Roman"/>
          <w:sz w:val="17"/>
          <w:szCs w:val="17"/>
          <w:color w:val="0000FF"/>
        </w:rPr>
        <w:t>05/05/2025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139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1399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19871" TargetMode="External"/><Relationship Id="rId14"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2025-05-05T19:27:44Z</dcterms:created>
  <dcterms:modified xsi:type="dcterms:W3CDTF">2025-05-05T19:27:44Z</dcterms:modified>
</cp:coreProperties>
</file>