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Arasaratnam Narani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34175 ARDENWOOD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VP, Corporate Controller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22.58</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11/03/2014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25,000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11/03/2024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Twenty-five percent (25%) of the shares subject to the option vest and become exercisable on the first anniversary measured from November 3, 2014, and the remaining shares subject to the option vest and become exercisable in 36 successive, equal monthly installments thereafter, subject to the Reporting Person's continued employment or service relationship with the Issuer on each such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Narani</w:t>
      </w:r>
      <w:r>
        <w:rPr>
          <w:sz w:val="20"/>
          <w:szCs w:val="20"/>
          <w:color w:val="auto"/>
        </w:rPr>
        <w:tab/>
      </w:r>
      <w:r>
        <w:rPr>
          <w:rFonts w:ascii="Arial" w:cs="Arial" w:eastAsia="Arial" w:hAnsi="Arial"/>
          <w:sz w:val="15"/>
          <w:szCs w:val="15"/>
          <w:color w:val="0000FF"/>
        </w:rPr>
        <w:t>11/05/2014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Arasaratnam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405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2019-12-17T06:17:39Z</dcterms:created>
  <dcterms:modified xsi:type="dcterms:W3CDTF">2019-12-17T06:17:39Z</dcterms:modified>
</cp:coreProperties>
</file>