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2800" w:type="dxa"/>
            <w:vAlign w:val="bottom"/>
          </w:tcPr>
          <w:p>
            <w:pPr>
              <w:jc w:val="center"/>
              <w:ind w:left="862"/>
              <w:spacing w:after="0"/>
              <w:rPr>
                <w:sz w:val="20"/>
                <w:szCs w:val="20"/>
                <w:color w:val="auto"/>
              </w:rPr>
            </w:pPr>
            <w:r>
              <w:rPr>
                <w:rFonts w:ascii="Arial" w:cs="Arial" w:eastAsia="Arial" w:hAnsi="Arial"/>
                <w:sz w:val="18"/>
                <w:szCs w:val="18"/>
                <w:b w:val="1"/>
                <w:bCs w:val="1"/>
                <w:color w:val="auto"/>
                <w:w w:val="93"/>
              </w:rPr>
              <w:t>Delaware</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74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00" w:type="dxa"/>
            <w:vAlign w:val="bottom"/>
          </w:tcPr>
          <w:p>
            <w:pPr>
              <w:jc w:val="center"/>
              <w:ind w:left="88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57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(Commission</w:t>
            </w:r>
          </w:p>
        </w:tc>
        <w:tc>
          <w:tcPr>
            <w:tcW w:w="2740" w:type="dxa"/>
            <w:vAlign w:val="bottom"/>
          </w:tcPr>
          <w:p>
            <w:pPr>
              <w:jc w:val="center"/>
              <w:ind w:right="9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00" w:type="dxa"/>
            <w:vAlign w:val="bottom"/>
          </w:tcPr>
          <w:p>
            <w:pPr>
              <w:jc w:val="center"/>
              <w:ind w:left="862"/>
              <w:spacing w:after="0"/>
              <w:rPr>
                <w:sz w:val="20"/>
                <w:szCs w:val="20"/>
                <w:color w:val="auto"/>
              </w:rPr>
            </w:pPr>
            <w:r>
              <w:rPr>
                <w:rFonts w:ascii="Arial" w:cs="Arial" w:eastAsia="Arial" w:hAnsi="Arial"/>
                <w:sz w:val="14"/>
                <w:szCs w:val="14"/>
                <w:b w:val="1"/>
                <w:bCs w:val="1"/>
                <w:color w:val="auto"/>
                <w:w w:val="94"/>
              </w:rPr>
              <w:t>of incorporation)</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2740" w:type="dxa"/>
            <w:vAlign w:val="bottom"/>
          </w:tcPr>
          <w:p>
            <w:pPr>
              <w:jc w:val="center"/>
              <w:ind w:right="922"/>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7"/>
              </w:rPr>
              <w:t>400 FIFTH AVE., SUITE 210, WALTHAM, MASSACHUSETTS 02451</w:t>
            </w:r>
          </w:p>
        </w:tc>
        <w:tc>
          <w:tcPr>
            <w:tcW w:w="274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2740" w:type="dxa"/>
            <w:vAlign w:val="bottom"/>
          </w:tcPr>
          <w:p>
            <w:pPr>
              <w:spacing w:after="0"/>
              <w:rPr>
                <w:sz w:val="16"/>
                <w:szCs w:val="16"/>
                <w:color w:val="auto"/>
              </w:rPr>
            </w:pPr>
          </w:p>
        </w:tc>
      </w:tr>
      <w:tr>
        <w:trPr>
          <w:trHeight w:val="36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1"/>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May 23, 2022, we received a letter from The Nasdaq Global Market (“Nasdaq”) indicating that we have failed to comply with the minimum bid price requirement of Nasdaq Listing Rule 5450(a)(1). Nasdaq Listing Rule 5450(a)(1) requires that companies listed on Nasdaq maintain a minimum closing bid price of at least $1.00 per share to ensure continued listing. Under Nasdaq Listing Rule 5810(c)(3)(A), we have a 180 calendar day grace period to regain compliance by meeting the continued listing standard. To regain compliance, the closing bid price of the Company’s common stock must meet or exceed $1.00 per share for a minimum of ten consecutive business days during this grace period. We are monitoring the bid price of our common stock and will consider options available to us to achieve compliance. We intend to ask our stockholders to approve a reverse stock split of our authorized common stock and issued and outstanding common stock at our 2022 annual meeting of stockholders to be held on June 15, 2022, and if approved, our board of directors will have until September 15, 2022 to approve and affect a reverse stock split, which would provide us the ability to regain compliance with Nasdaq Listing Rule 5450(a)(1). There can be no assurances that we will be successful in restoring our compliance with the Nasdaq listing requirements.</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Exhibit</w:t>
      </w:r>
    </w:p>
    <w:p>
      <w:pPr>
        <w:ind w:left="380"/>
        <w:spacing w:after="0"/>
        <w:tabs>
          <w:tab w:leader="none" w:pos="12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May 27, 2022</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2022-05-28T01:01:24Z</dcterms:created>
  <dcterms:modified xsi:type="dcterms:W3CDTF">2022-05-28T01:01:24Z</dcterms:modified>
</cp:coreProperties>
</file>