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1060" w:type="dxa"/>
        <w:tblCellMar>
          <w:top w:w="0" w:type="dxa"/>
          <w:left w:w="0" w:type="dxa"/>
          <w:bottom w:w="0" w:type="dxa"/>
          <w:right w:w="0" w:type="dxa"/>
        </w:tblCellMar>
      </w:tblPr>
      <w:tr>
        <w:trPr>
          <w:trHeight w:val="225"/>
        </w:trPr>
        <w:tc>
          <w:tcPr>
            <w:tcW w:w="2880" w:type="dxa"/>
            <w:vAlign w:val="bottom"/>
          </w:tcPr>
          <w:p>
            <w:pPr>
              <w:jc w:val="center"/>
              <w:ind w:right="1182"/>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ind w:left="1280"/>
              <w:spacing w:after="0"/>
              <w:rPr>
                <w:sz w:val="20"/>
                <w:szCs w:val="20"/>
                <w:color w:val="auto"/>
              </w:rPr>
            </w:pPr>
            <w:r>
              <w:rPr>
                <w:rFonts w:ascii="Arial" w:cs="Arial" w:eastAsia="Arial" w:hAnsi="Arial"/>
                <w:sz w:val="18"/>
                <w:szCs w:val="18"/>
                <w:b w:val="1"/>
                <w:bCs w:val="1"/>
                <w:color w:val="auto"/>
              </w:rPr>
              <w:t>001-36485</w:t>
            </w:r>
          </w:p>
        </w:tc>
        <w:tc>
          <w:tcPr>
            <w:tcW w:w="2740" w:type="dxa"/>
            <w:vAlign w:val="bottom"/>
          </w:tcPr>
          <w:p>
            <w:pPr>
              <w:jc w:val="center"/>
              <w:ind w:left="1222"/>
              <w:spacing w:after="0"/>
              <w:rPr>
                <w:sz w:val="20"/>
                <w:szCs w:val="20"/>
                <w:color w:val="auto"/>
              </w:rPr>
            </w:pPr>
            <w:r>
              <w:rPr>
                <w:rFonts w:ascii="Arial" w:cs="Arial" w:eastAsia="Arial" w:hAnsi="Arial"/>
                <w:sz w:val="18"/>
                <w:szCs w:val="18"/>
                <w:b w:val="1"/>
                <w:bCs w:val="1"/>
                <w:color w:val="auto"/>
                <w:w w:val="91"/>
              </w:rPr>
              <w:t>26-1303944</w:t>
            </w:r>
          </w:p>
        </w:tc>
      </w:tr>
      <w:tr>
        <w:trPr>
          <w:trHeight w:val="148"/>
        </w:trPr>
        <w:tc>
          <w:tcPr>
            <w:tcW w:w="2880" w:type="dxa"/>
            <w:vAlign w:val="bottom"/>
          </w:tcPr>
          <w:p>
            <w:pPr>
              <w:jc w:val="center"/>
              <w:ind w:right="11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00" w:type="dxa"/>
            <w:vAlign w:val="bottom"/>
          </w:tcPr>
          <w:p>
            <w:pPr>
              <w:ind w:left="1260"/>
              <w:spacing w:after="0" w:line="149" w:lineRule="exact"/>
              <w:rPr>
                <w:sz w:val="20"/>
                <w:szCs w:val="20"/>
                <w:color w:val="auto"/>
              </w:rPr>
            </w:pPr>
            <w:r>
              <w:rPr>
                <w:rFonts w:ascii="Arial" w:cs="Arial" w:eastAsia="Arial" w:hAnsi="Arial"/>
                <w:sz w:val="14"/>
                <w:szCs w:val="14"/>
                <w:b w:val="1"/>
                <w:bCs w:val="1"/>
                <w:color w:val="auto"/>
              </w:rPr>
              <w:t>(Commission</w:t>
            </w:r>
          </w:p>
        </w:tc>
        <w:tc>
          <w:tcPr>
            <w:tcW w:w="2740" w:type="dxa"/>
            <w:vAlign w:val="bottom"/>
          </w:tcPr>
          <w:p>
            <w:pPr>
              <w:jc w:val="center"/>
              <w:ind w:left="1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80" w:type="dxa"/>
            <w:vAlign w:val="bottom"/>
          </w:tcPr>
          <w:p>
            <w:pPr>
              <w:jc w:val="center"/>
              <w:ind w:right="1182"/>
              <w:spacing w:after="0"/>
              <w:rPr>
                <w:sz w:val="20"/>
                <w:szCs w:val="20"/>
                <w:color w:val="auto"/>
              </w:rPr>
            </w:pPr>
            <w:r>
              <w:rPr>
                <w:rFonts w:ascii="Arial" w:cs="Arial" w:eastAsia="Arial" w:hAnsi="Arial"/>
                <w:sz w:val="14"/>
                <w:szCs w:val="14"/>
                <w:b w:val="1"/>
                <w:bCs w:val="1"/>
                <w:color w:val="auto"/>
                <w:w w:val="94"/>
              </w:rPr>
              <w:t>of incorporation)</w:t>
            </w:r>
          </w:p>
        </w:tc>
        <w:tc>
          <w:tcPr>
            <w:tcW w:w="340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740" w:type="dxa"/>
            <w:vAlign w:val="bottom"/>
          </w:tcPr>
          <w:p>
            <w:pPr>
              <w:jc w:val="center"/>
              <w:ind w:left="12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FIFTH AVE., SUITE 210, WALTHAM, MASSACHUSETTS 02451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99"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84" w:lineRule="exact"/>
        <w:rPr>
          <w:sz w:val="24"/>
          <w:szCs w:val="24"/>
          <w:color w:val="auto"/>
        </w:rPr>
      </w:pPr>
    </w:p>
    <w:p>
      <w:pPr>
        <w:ind w:right="58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9, 2023, we entered into a second amendment (the “Second Amendment”) to our loan and security agreement (the “Loan Agreement”) with SLR Investment Corp., as collateral agent (the “Agent”), and the lenders listed on Schedule 1.1 to the Loan Agreement (collectively the “Lenders”). The Second Amendment extends the interest-only term of the loan by twelve months to April 1, 2025 provided that we either (i) receive approval from the U.S. Food and Drug Administration (the “FDA”) for our new drug application (“NDA”) for tenapanor for the treatment of hyperphosphatemia in certain chronic kidney disease patients on dialysis (the “Hyperphosphatemia NDA”) on or prior to November 30, 2023 or (ii) achieve certain product revenue milestone targets as described in the Second Amendment for the year ending December 31, 2023. The Second Amendment also extends the period under which we may draw an additional $22.5 million under the Loan Agreement (the “Term B Loan”) from July 25, 2023 to December 20, 2023, and amends the milestone that we must achieve in order to draw the Term B Loan by extending the time period for the receipt of approval by the FDA of the Hyperphosphatemia NDA until November 30, 2023. In addition, the Second Amendment replaces the floating per annum interest rate with 7.95% plus the greater of (a) one percent (1.00%) per annum and (b)(i) 0.022% plus (ii) 1-month CME Term SOFR reference rate as published by the CME Term SOFR Administrator on the CME Term SOFR Administrator’s Website.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February 14, 2023</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&amp; Operations Officer</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2023-02-15T05:26:10Z</dcterms:created>
  <dcterms:modified xsi:type="dcterms:W3CDTF">2023-02-15T05:26:10Z</dcterms:modified>
</cp:coreProperties>
</file>