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1442085</wp:posOffset>
            </wp:positionH>
            <wp:positionV relativeFrom="page">
              <wp:posOffset>140335</wp:posOffset>
            </wp:positionV>
            <wp:extent cx="467804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page">
              <wp:posOffset>1442085</wp:posOffset>
            </wp:positionH>
            <wp:positionV relativeFrom="page">
              <wp:posOffset>168910</wp:posOffset>
            </wp:positionV>
            <wp:extent cx="467804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8045" cy="571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157480</wp:posOffset>
            </wp:positionV>
            <wp:extent cx="9861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160655</wp:posOffset>
            </wp:positionV>
            <wp:extent cx="9861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December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161925</wp:posOffset>
            </wp:positionV>
            <wp:extent cx="9861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158115</wp:posOffset>
            </wp:positionV>
            <wp:extent cx="9861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p>
      <w:pPr>
        <w:spacing w:after="0" w:line="200" w:lineRule="exact"/>
        <w:rPr>
          <w:sz w:val="24"/>
          <w:szCs w:val="24"/>
          <w:color w:val="auto"/>
        </w:rPr>
      </w:pPr>
    </w:p>
    <w:p>
      <w:pPr>
        <w:spacing w:after="0" w:line="226" w:lineRule="exact"/>
        <w:rPr>
          <w:sz w:val="24"/>
          <w:szCs w:val="24"/>
          <w:color w:val="auto"/>
        </w:rPr>
      </w:pPr>
    </w:p>
    <w:p>
      <w:pPr>
        <w:jc w:val="center"/>
        <w:ind w:left="5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jc w:val="center"/>
        <w:ind w:right="1140"/>
        <w:spacing w:after="0"/>
        <w:rPr>
          <w:sz w:val="20"/>
          <w:szCs w:val="20"/>
          <w:color w:val="auto"/>
        </w:rPr>
      </w:pPr>
      <w:r>
        <w:rPr>
          <w:rFonts w:ascii="Arial" w:cs="Arial" w:eastAsia="Arial" w:hAnsi="Arial"/>
          <w:sz w:val="10"/>
          <w:szCs w:val="10"/>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jc w:val="center"/>
        <w:ind w:right="1699"/>
        <w:spacing w:after="0"/>
        <w:rPr>
          <w:sz w:val="20"/>
          <w:szCs w:val="20"/>
          <w:color w:val="auto"/>
        </w:rPr>
      </w:pPr>
      <w:r>
        <w:rPr>
          <w:rFonts w:ascii="Arial" w:cs="Arial" w:eastAsia="Arial" w:hAnsi="Arial"/>
          <w:sz w:val="11"/>
          <w:szCs w:val="11"/>
          <w:b w:val="1"/>
          <w:bCs w:val="1"/>
          <w:color w:val="auto"/>
        </w:rPr>
        <w:t>26-1303944</w:t>
      </w:r>
    </w:p>
    <w:p>
      <w:pPr>
        <w:spacing w:after="0" w:line="11" w:lineRule="exact"/>
        <w:rPr>
          <w:sz w:val="24"/>
          <w:szCs w:val="24"/>
          <w:color w:val="auto"/>
        </w:rPr>
      </w:pPr>
    </w:p>
    <w:p>
      <w:pPr>
        <w:sectPr>
          <w:pgSz w:w="11900" w:h="16838" w:orient="portrait"/>
          <w:cols w:equalWidth="0" w:num="3">
            <w:col w:w="3620" w:space="720"/>
            <w:col w:w="1660" w:space="720"/>
            <w:col w:w="2299"/>
          </w:cols>
          <w:pgMar w:left="1440" w:top="293" w:right="1440" w:bottom="1440" w:gutter="0" w:footer="0" w:header="0"/>
          <w:type w:val="continuous"/>
        </w:sectPr>
      </w:pP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2"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519"/>
        <w:spacing w:after="0"/>
        <w:rPr>
          <w:sz w:val="20"/>
          <w:szCs w:val="20"/>
          <w:color w:val="auto"/>
        </w:rPr>
      </w:pPr>
      <w:r>
        <w:rPr>
          <w:rFonts w:ascii="Arial" w:cs="Arial" w:eastAsia="Arial" w:hAnsi="Arial"/>
          <w:sz w:val="10"/>
          <w:szCs w:val="10"/>
          <w:b w:val="1"/>
          <w:bCs w:val="1"/>
          <w:color w:val="auto"/>
        </w:rPr>
        <w:t>(IRS Employer</w:t>
      </w:r>
    </w:p>
    <w:p>
      <w:pPr>
        <w:jc w:val="center"/>
        <w:ind w:right="1519"/>
        <w:spacing w:after="0"/>
        <w:rPr>
          <w:sz w:val="20"/>
          <w:szCs w:val="20"/>
          <w:color w:val="auto"/>
        </w:rPr>
      </w:pPr>
      <w:r>
        <w:rPr>
          <w:rFonts w:ascii="Arial" w:cs="Arial" w:eastAsia="Arial" w:hAnsi="Arial"/>
          <w:sz w:val="8"/>
          <w:szCs w:val="8"/>
          <w:b w:val="1"/>
          <w:bCs w:val="1"/>
          <w:color w:val="auto"/>
        </w:rPr>
        <w:t>Identification Number)</w:t>
      </w:r>
    </w:p>
    <w:p>
      <w:pPr>
        <w:spacing w:after="0" w:line="143" w:lineRule="exact"/>
        <w:rPr>
          <w:sz w:val="24"/>
          <w:szCs w:val="24"/>
          <w:color w:val="auto"/>
        </w:rPr>
      </w:pPr>
    </w:p>
    <w:p>
      <w:pPr>
        <w:sectPr>
          <w:pgSz w:w="11900" w:h="16838" w:orient="portrait"/>
          <w:cols w:equalWidth="0" w:num="3">
            <w:col w:w="3600" w:space="720"/>
            <w:col w:w="1500" w:space="720"/>
            <w:col w:w="2479"/>
          </w:cols>
          <w:pgMar w:left="1440" w:top="293"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34175 Ardenwood Blvd.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Fremont, CA 94555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8"/>
          <w:szCs w:val="8"/>
          <w:b w:val="1"/>
          <w:bCs w:val="1"/>
          <w:color w:val="auto"/>
        </w:rPr>
        <w:t>(Address of principal executive offices, including Zip Code)</w:t>
      </w:r>
    </w:p>
    <w:p>
      <w:pPr>
        <w:sectPr>
          <w:pgSz w:w="11900" w:h="16838" w:orient="portrait"/>
          <w:cols w:equalWidth="0" w:num="1">
            <w:col w:w="9019"/>
          </w:cols>
          <w:pgMar w:left="1440" w:top="293" w:right="1440" w:bottom="1440" w:gutter="0" w:footer="0" w:header="0"/>
          <w:type w:val="continuous"/>
        </w:sectPr>
      </w:pP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167005</wp:posOffset>
            </wp:positionV>
            <wp:extent cx="9861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88" w:lineRule="exact"/>
        <w:rPr>
          <w:sz w:val="24"/>
          <w:szCs w:val="24"/>
          <w:color w:val="auto"/>
        </w:rPr>
      </w:pPr>
    </w:p>
    <w:p>
      <w:pPr>
        <w:ind w:left="840" w:right="1139"/>
        <w:spacing w:after="0" w:line="277"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1"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63" w:lineRule="exact"/>
        <w:rPr>
          <w:sz w:val="24"/>
          <w:szCs w:val="24"/>
          <w:color w:val="auto"/>
        </w:rPr>
      </w:pPr>
    </w:p>
    <w:tbl>
      <w:tblPr>
        <w:tblLayout w:type="fixed"/>
        <w:tblInd w:w="840" w:type="dxa"/>
        <w:tblCellMar>
          <w:top w:w="0" w:type="dxa"/>
          <w:left w:w="0" w:type="dxa"/>
          <w:bottom w:w="0" w:type="dxa"/>
          <w:right w:w="0" w:type="dxa"/>
        </w:tblCellMar>
      </w:tblPr>
      <w:tr>
        <w:trPr>
          <w:trHeight w:val="123"/>
        </w:trPr>
        <w:tc>
          <w:tcPr>
            <w:tcW w:w="26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8"/>
              </w:rPr>
              <w:t>Trading Symbol(s)</w:t>
            </w:r>
          </w:p>
        </w:tc>
        <w:tc>
          <w:tcPr>
            <w:tcW w:w="2280" w:type="dxa"/>
            <w:vAlign w:val="bottom"/>
          </w:tcPr>
          <w:p>
            <w:pPr>
              <w:jc w:val="center"/>
              <w:spacing w:after="0"/>
              <w:rPr>
                <w:sz w:val="20"/>
                <w:szCs w:val="20"/>
                <w:color w:val="auto"/>
              </w:rPr>
            </w:pPr>
            <w:r>
              <w:rPr>
                <w:rFonts w:ascii="Arial" w:cs="Arial" w:eastAsia="Arial" w:hAnsi="Arial"/>
                <w:sz w:val="10"/>
                <w:szCs w:val="10"/>
                <w:b w:val="1"/>
                <w:bCs w:val="1"/>
                <w:color w:val="auto"/>
                <w:w w:val="85"/>
              </w:rPr>
              <w:t>Name of each exchange on which registered</w:t>
            </w:r>
          </w:p>
        </w:tc>
      </w:tr>
      <w:tr>
        <w:trPr>
          <w:trHeight w:val="146"/>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par value $0.0001</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ARDX</w:t>
            </w:r>
          </w:p>
        </w:tc>
        <w:tc>
          <w:tcPr>
            <w:tcW w:w="60" w:type="dxa"/>
            <w:vAlign w:val="bottom"/>
          </w:tcPr>
          <w:p>
            <w:pPr>
              <w:spacing w:after="0"/>
              <w:rPr>
                <w:sz w:val="12"/>
                <w:szCs w:val="12"/>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The Nasdaq Global Market</w:t>
            </w:r>
          </w:p>
        </w:tc>
      </w:tr>
    </w:tbl>
    <w:p>
      <w:pPr>
        <w:spacing w:after="0" w:line="123" w:lineRule="exact"/>
        <w:rPr>
          <w:sz w:val="24"/>
          <w:szCs w:val="24"/>
          <w:color w:val="auto"/>
        </w:rPr>
      </w:pPr>
    </w:p>
    <w:p>
      <w:pPr>
        <w:ind w:left="840" w:right="1019"/>
        <w:spacing w:after="0" w:line="277"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3" w:lineRule="exact"/>
        <w:rPr>
          <w:sz w:val="24"/>
          <w:szCs w:val="24"/>
          <w:color w:val="auto"/>
        </w:rPr>
      </w:pPr>
    </w:p>
    <w:p>
      <w:pPr>
        <w:ind w:left="840" w:right="101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50165</wp:posOffset>
            </wp:positionV>
            <wp:extent cx="467804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78740</wp:posOffset>
            </wp:positionV>
            <wp:extent cx="467804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7804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bookmarkStart w:id="1" w:name="page2"/>
    <w:bookmarkEnd w:id="1"/>
    <w:p>
      <w:pPr>
        <w:ind w:left="840"/>
        <w:spacing w:after="0"/>
        <w:tabs>
          <w:tab w:leader="none" w:pos="15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Attached hereto as Exhibit 99.1 is a corporate presentation of Ardelyx, Inc. (the “Company”) incorporated by reference herein.</w:t>
      </w:r>
    </w:p>
    <w:p>
      <w:pPr>
        <w:spacing w:after="0" w:line="151" w:lineRule="exact"/>
        <w:rPr>
          <w:sz w:val="20"/>
          <w:szCs w:val="20"/>
          <w:color w:val="auto"/>
        </w:rPr>
      </w:pPr>
    </w:p>
    <w:p>
      <w:pPr>
        <w:ind w:left="840" w:right="919"/>
        <w:spacing w:after="0" w:line="299" w:lineRule="auto"/>
        <w:rPr>
          <w:sz w:val="20"/>
          <w:szCs w:val="20"/>
          <w:color w:val="auto"/>
        </w:rPr>
      </w:pPr>
      <w:r>
        <w:rPr>
          <w:rFonts w:ascii="Arial" w:cs="Arial" w:eastAsia="Arial" w:hAnsi="Arial"/>
          <w:sz w:val="11"/>
          <w:szCs w:val="11"/>
          <w:color w:val="auto"/>
        </w:rPr>
        <w:t>The information furnished under this Item 7.01 shall not be considered “filed” under the Securities Exchange Act of 1934, as amended, nor shall it be incorporated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200"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7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(d) Exhibits.</w:t>
      </w:r>
    </w:p>
    <w:p>
      <w:pPr>
        <w:spacing w:after="0" w:line="153"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Exhibit</w:t>
      </w:r>
    </w:p>
    <w:p>
      <w:pPr>
        <w:ind w:left="920"/>
        <w:spacing w:after="0" w:line="237" w:lineRule="auto"/>
        <w:tabs>
          <w:tab w:leader="none" w:pos="140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0</wp:posOffset>
            </wp:positionV>
            <wp:extent cx="467804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78045" cy="5715"/>
                    </a:xfrm>
                    <a:prstGeom prst="rect">
                      <a:avLst/>
                    </a:prstGeom>
                    <a:noFill/>
                  </pic:spPr>
                </pic:pic>
              </a:graphicData>
            </a:graphic>
          </wp:anchor>
        </w:drawing>
      </w:r>
    </w:p>
    <w:p>
      <w:pPr>
        <w:spacing w:after="0" w:line="43" w:lineRule="exact"/>
        <w:rPr>
          <w:sz w:val="20"/>
          <w:szCs w:val="20"/>
          <w:color w:val="auto"/>
        </w:rPr>
      </w:pPr>
    </w:p>
    <w:p>
      <w:pPr>
        <w:ind w:left="840"/>
        <w:spacing w:after="0"/>
        <w:tabs>
          <w:tab w:leader="none" w:pos="1400" w:val="left"/>
        </w:tabs>
        <w:rPr>
          <w:rFonts w:ascii="Arial" w:cs="Arial" w:eastAsia="Arial" w:hAnsi="Arial"/>
          <w:sz w:val="11"/>
          <w:szCs w:val="11"/>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1"/>
            <w:szCs w:val="11"/>
            <w:u w:val="single" w:color="auto"/>
            <w:color w:val="0000EE"/>
          </w:rPr>
          <w:t>Presentation of Ardelyx, Inc.</w:t>
        </w:r>
      </w:hyperlink>
    </w:p>
    <w:p>
      <w:pPr>
        <w:sectPr>
          <w:pgSz w:w="11900" w:h="16838" w:orient="portrait"/>
          <w:cols w:equalWidth="0" w:num="1">
            <w:col w:w="9019"/>
          </w:cols>
          <w:pgMar w:left="1440" w:top="22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SIGNATURES</w:t>
      </w:r>
    </w:p>
    <w:p>
      <w:pPr>
        <w:spacing w:after="0" w:line="155" w:lineRule="exact"/>
        <w:rPr>
          <w:sz w:val="20"/>
          <w:szCs w:val="20"/>
          <w:color w:val="auto"/>
        </w:rPr>
      </w:pPr>
    </w:p>
    <w:p>
      <w:pPr>
        <w:ind w:left="840" w:right="879"/>
        <w:spacing w:after="0" w:line="277" w:lineRule="auto"/>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33" w:lineRule="exact"/>
        <w:rPr>
          <w:sz w:val="20"/>
          <w:szCs w:val="20"/>
          <w:color w:val="auto"/>
        </w:rPr>
      </w:pPr>
    </w:p>
    <w:p>
      <w:pPr>
        <w:ind w:left="840"/>
        <w:spacing w:after="0"/>
        <w:tabs>
          <w:tab w:leader="none" w:pos="4580" w:val="left"/>
        </w:tabs>
        <w:rPr>
          <w:sz w:val="20"/>
          <w:szCs w:val="20"/>
          <w:color w:val="auto"/>
        </w:rPr>
      </w:pPr>
      <w:r>
        <w:rPr>
          <w:rFonts w:ascii="Arial" w:cs="Arial" w:eastAsia="Arial" w:hAnsi="Arial"/>
          <w:sz w:val="12"/>
          <w:szCs w:val="12"/>
          <w:color w:val="auto"/>
        </w:rPr>
        <w:t>Date: December 3, 2019</w:t>
      </w:r>
      <w:r>
        <w:rPr>
          <w:sz w:val="20"/>
          <w:szCs w:val="20"/>
          <w:color w:val="auto"/>
        </w:rPr>
        <w:tab/>
      </w:r>
      <w:r>
        <w:rPr>
          <w:rFonts w:ascii="Arial" w:cs="Arial" w:eastAsia="Arial" w:hAnsi="Arial"/>
          <w:sz w:val="11"/>
          <w:szCs w:val="11"/>
          <w:color w:val="auto"/>
        </w:rPr>
        <w:t>ARDELYX, INC.</w:t>
      </w:r>
    </w:p>
    <w:p>
      <w:pPr>
        <w:spacing w:after="0" w:line="151" w:lineRule="exact"/>
        <w:rPr>
          <w:sz w:val="20"/>
          <w:szCs w:val="20"/>
          <w:color w:val="auto"/>
        </w:rPr>
      </w:pPr>
    </w:p>
    <w:p>
      <w:pPr>
        <w:ind w:left="4600"/>
        <w:spacing w:after="0"/>
        <w:tabs>
          <w:tab w:leader="none" w:pos="48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9525</wp:posOffset>
            </wp:positionV>
            <wp:extent cx="210375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3755" cy="5715"/>
                    </a:xfrm>
                    <a:prstGeom prst="rect">
                      <a:avLst/>
                    </a:prstGeom>
                    <a:noFill/>
                  </pic:spPr>
                </pic:pic>
              </a:graphicData>
            </a:graphic>
          </wp:anchor>
        </w:drawing>
      </w:r>
    </w:p>
    <w:p>
      <w:pPr>
        <w:spacing w:after="0" w:line="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Elizabeth Grammer</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Executive Vice President, General Counsel and Secretary</w:t>
      </w:r>
    </w:p>
    <w:p>
      <w:pPr>
        <w:sectPr>
          <w:pgSz w:w="11900" w:h="16838" w:orient="portrait"/>
          <w:cols w:equalWidth="0" w:num="1">
            <w:col w:w="9019"/>
          </w:cols>
          <w:pgMar w:left="1440" w:top="226"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2019-12-28T01:09:43Z</dcterms:created>
  <dcterms:modified xsi:type="dcterms:W3CDTF">2019-12-28T01:09:43Z</dcterms:modified>
</cp:coreProperties>
</file>