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Jeremy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Scientific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2/3 of the shares subject thereto on December 31, 2018 and 1/3 of the shares subject thereto on June 1, 2019, subject to the Reporting Person's continued employment or service relationship with the Issuer on each such vesting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Jeremy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Caldwell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9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85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2019-12-04T01:50:02Z</dcterms:created>
  <dcterms:modified xsi:type="dcterms:W3CDTF">2019-12-04T01:50:02Z</dcterms:modified>
</cp:coreProperties>
</file>