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Kaufmann Mark</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ARDELYX,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34175 ARDENWOOD BLVD, 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ARDELYX,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ARDX</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11/13/2018</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23"/>
        <w:spacing w:after="0"/>
        <w:rPr>
          <w:sz w:val="20"/>
          <w:szCs w:val="20"/>
          <w:color w:val="auto"/>
        </w:rPr>
      </w:pPr>
      <w:r>
        <w:rPr>
          <w:rFonts w:ascii="Arial" w:cs="Arial" w:eastAsia="Arial" w:hAnsi="Arial"/>
          <w:sz w:val="18"/>
          <w:szCs w:val="18"/>
          <w:color w:val="0000FF"/>
        </w:rPr>
        <w:t>Chief Financial Officer</w:t>
      </w:r>
    </w:p>
    <w:p>
      <w:pPr>
        <w:spacing w:after="0" w:line="390"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Borders>
              <w:bottom w:val="single" w:sz="8" w:color="9A9A9A"/>
            </w:tcBorders>
          </w:tcPr>
          <w:p>
            <w:pPr>
              <w:spacing w:after="0"/>
              <w:rPr>
                <w:sz w:val="16"/>
                <w:szCs w:val="16"/>
                <w:color w:val="auto"/>
              </w:rPr>
            </w:pPr>
          </w:p>
        </w:tc>
        <w:tc>
          <w:tcPr>
            <w:tcW w:w="600" w:type="dxa"/>
            <w:vAlign w:val="bottom"/>
            <w:tcBorders>
              <w:bottom w:val="single" w:sz="8" w:color="9A9A9A"/>
            </w:tcBorders>
          </w:tcPr>
          <w:p>
            <w:pPr>
              <w:spacing w:after="0"/>
              <w:rPr>
                <w:sz w:val="16"/>
                <w:szCs w:val="16"/>
                <w:color w:val="auto"/>
              </w:rPr>
            </w:pPr>
          </w:p>
        </w:tc>
        <w:tc>
          <w:tcPr>
            <w:tcW w:w="280" w:type="dxa"/>
            <w:vAlign w:val="bottom"/>
            <w:tcBorders>
              <w:bottom w:val="single" w:sz="8" w:color="9A9A9A"/>
            </w:tcBorders>
          </w:tcPr>
          <w:p>
            <w:pPr>
              <w:spacing w:after="0"/>
              <w:rPr>
                <w:sz w:val="16"/>
                <w:szCs w:val="16"/>
                <w:color w:val="auto"/>
              </w:rPr>
            </w:pPr>
          </w:p>
        </w:tc>
        <w:tc>
          <w:tcPr>
            <w:tcW w:w="1020" w:type="dxa"/>
            <w:vAlign w:val="bottom"/>
            <w:tcBorders>
              <w:bottom w:val="single" w:sz="8" w:color="9A9A9A"/>
            </w:tcBorders>
          </w:tcPr>
          <w:p>
            <w:pPr>
              <w:spacing w:after="0"/>
              <w:rPr>
                <w:sz w:val="16"/>
                <w:szCs w:val="16"/>
                <w:color w:val="auto"/>
              </w:rPr>
            </w:pPr>
          </w:p>
        </w:tc>
        <w:tc>
          <w:tcPr>
            <w:tcW w:w="1200" w:type="dxa"/>
            <w:vAlign w:val="bottom"/>
            <w:tcBorders>
              <w:bottom w:val="single" w:sz="8" w:color="9A9A9A"/>
            </w:tcBorders>
          </w:tcPr>
          <w:p>
            <w:pPr>
              <w:spacing w:after="0"/>
              <w:rPr>
                <w:sz w:val="16"/>
                <w:szCs w:val="16"/>
                <w:color w:val="auto"/>
              </w:rPr>
            </w:pPr>
          </w:p>
        </w:tc>
        <w:tc>
          <w:tcPr>
            <w:tcW w:w="60" w:type="dxa"/>
            <w:vAlign w:val="bottom"/>
            <w:tcBorders>
              <w:bottom w:val="single" w:sz="8" w:color="9A9A9A"/>
            </w:tcBorders>
          </w:tcPr>
          <w:p>
            <w:pPr>
              <w:spacing w:after="0"/>
              <w:rPr>
                <w:sz w:val="16"/>
                <w:szCs w:val="16"/>
                <w:color w:val="auto"/>
              </w:rPr>
            </w:pPr>
          </w:p>
        </w:tc>
        <w:tc>
          <w:tcPr>
            <w:tcW w:w="3880" w:type="dxa"/>
            <w:vAlign w:val="bottom"/>
            <w:gridSpan w:val="7"/>
          </w:tcPr>
          <w:p>
            <w:pPr>
              <w:ind w:left="160"/>
              <w:spacing w:after="0"/>
              <w:rPr>
                <w:sz w:val="20"/>
                <w:szCs w:val="20"/>
                <w:color w:val="auto"/>
              </w:rPr>
            </w:pPr>
            <w:r>
              <w:rPr>
                <w:rFonts w:ascii="Arial" w:cs="Arial" w:eastAsia="Arial" w:hAnsi="Arial"/>
                <w:sz w:val="14"/>
                <w:szCs w:val="14"/>
                <w:color w:val="auto"/>
              </w:rPr>
              <w:t>4. If Amendment, Date of Original Filed (Month/Day/Year)</w:t>
            </w:r>
          </w:p>
        </w:tc>
        <w:tc>
          <w:tcPr>
            <w:tcW w:w="3620" w:type="dxa"/>
            <w:vAlign w:val="bottom"/>
            <w:gridSpan w:val="7"/>
          </w:tcPr>
          <w:p>
            <w:pPr>
              <w:ind w:left="26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gridSpan w:val="2"/>
          </w:tcPr>
          <w:p>
            <w:pPr>
              <w:ind w:left="260"/>
              <w:spacing w:after="0"/>
              <w:rPr>
                <w:sz w:val="20"/>
                <w:szCs w:val="20"/>
                <w:color w:val="auto"/>
              </w:rPr>
            </w:pPr>
            <w:r>
              <w:rPr>
                <w:rFonts w:ascii="Arial" w:cs="Arial" w:eastAsia="Arial" w:hAnsi="Arial"/>
                <w:sz w:val="14"/>
                <w:szCs w:val="14"/>
                <w:color w:val="auto"/>
              </w:rPr>
              <w:t>Line)</w:t>
            </w:r>
          </w:p>
        </w:tc>
        <w:tc>
          <w:tcPr>
            <w:tcW w:w="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60" w:type="dxa"/>
            <w:vAlign w:val="bottom"/>
            <w:gridSpan w:val="6"/>
            <w:vMerge w:val="restart"/>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FREMONT</w:t>
            </w:r>
          </w:p>
        </w:tc>
        <w:tc>
          <w:tcPr>
            <w:tcW w:w="280" w:type="dxa"/>
            <w:vAlign w:val="bottom"/>
            <w:vMerge w:val="restart"/>
          </w:tcPr>
          <w:p>
            <w:pPr>
              <w:ind w:left="40"/>
              <w:spacing w:after="0"/>
              <w:rPr>
                <w:sz w:val="20"/>
                <w:szCs w:val="20"/>
                <w:color w:val="auto"/>
              </w:rPr>
            </w:pPr>
            <w:r>
              <w:rPr>
                <w:rFonts w:ascii="Arial" w:cs="Arial" w:eastAsia="Arial" w:hAnsi="Arial"/>
                <w:sz w:val="18"/>
                <w:szCs w:val="18"/>
                <w:color w:val="0000FF"/>
                <w:w w:val="87"/>
              </w:rPr>
              <w:t>CA</w:t>
            </w:r>
          </w:p>
        </w:tc>
        <w:tc>
          <w:tcPr>
            <w:tcW w:w="1020" w:type="dxa"/>
            <w:vAlign w:val="bottom"/>
          </w:tcPr>
          <w:p>
            <w:pPr>
              <w:spacing w:after="0"/>
              <w:rPr>
                <w:sz w:val="11"/>
                <w:szCs w:val="11"/>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rPr>
              <w:t>94555</w:t>
            </w: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6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8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960" w:type="dxa"/>
            <w:vAlign w:val="bottom"/>
            <w:gridSpan w:val="5"/>
            <w:vMerge w:val="restart"/>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9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28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7"/>
                <w:szCs w:val="7"/>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3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2"/>
          </w:tcPr>
          <w:p>
            <w:pPr>
              <w:spacing w:after="0"/>
              <w:rPr>
                <w:sz w:val="11"/>
                <w:szCs w:val="11"/>
                <w:color w:val="auto"/>
              </w:rPr>
            </w:pPr>
          </w:p>
        </w:tc>
        <w:tc>
          <w:tcPr>
            <w:tcW w:w="1760" w:type="dxa"/>
            <w:vAlign w:val="bottom"/>
            <w:tcBorders>
              <w:bottom w:val="single" w:sz="8" w:color="2C2C2C"/>
            </w:tcBorders>
            <w:gridSpan w:val="5"/>
          </w:tcPr>
          <w:p>
            <w:pPr>
              <w:spacing w:after="0"/>
              <w:rPr>
                <w:sz w:val="11"/>
                <w:szCs w:val="11"/>
                <w:color w:val="auto"/>
              </w:rPr>
            </w:pPr>
          </w:p>
        </w:tc>
        <w:tc>
          <w:tcPr>
            <w:tcW w:w="2540" w:type="dxa"/>
            <w:vAlign w:val="bottom"/>
            <w:tcBorders>
              <w:bottom w:val="single" w:sz="8" w:color="2C2C2C"/>
            </w:tcBorders>
            <w:gridSpan w:val="4"/>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8060" w:type="dxa"/>
            <w:vAlign w:val="bottom"/>
            <w:tcBorders>
              <w:top w:val="single" w:sz="8" w:color="2C2C2C"/>
            </w:tcBorders>
            <w:gridSpan w:val="14"/>
          </w:tcPr>
          <w:p>
            <w:pPr>
              <w:jc w:val="center"/>
              <w:ind w:left="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40" w:type="dxa"/>
            <w:vAlign w:val="bottom"/>
            <w:gridSpan w:val="3"/>
          </w:tcPr>
          <w:p>
            <w:pPr>
              <w:ind w:left="76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40" w:type="dxa"/>
            <w:vAlign w:val="bottom"/>
            <w:gridSpan w:val="3"/>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ind w:left="860"/>
              <w:spacing w:after="0"/>
              <w:rPr>
                <w:sz w:val="20"/>
                <w:szCs w:val="20"/>
                <w:color w:val="auto"/>
              </w:rPr>
            </w:pPr>
            <w:r>
              <w:rPr>
                <w:rFonts w:ascii="Arial" w:cs="Arial" w:eastAsia="Arial" w:hAnsi="Arial"/>
                <w:sz w:val="18"/>
                <w:szCs w:val="18"/>
                <w:color w:val="0000FF"/>
              </w:rPr>
              <w:t>11/13/2018</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4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0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w w:val="88"/>
              </w:rPr>
              <w:t>6,539</w:t>
            </w:r>
          </w:p>
        </w:tc>
        <w:tc>
          <w:tcPr>
            <w:tcW w:w="72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D</w:t>
            </w:r>
          </w:p>
        </w:tc>
        <w:tc>
          <w:tcPr>
            <w:tcW w:w="6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auto"/>
                <w:w w:val="92"/>
              </w:rPr>
              <w:t>$</w:t>
            </w:r>
            <w:r>
              <w:rPr>
                <w:rFonts w:ascii="Arial" w:cs="Arial" w:eastAsia="Arial" w:hAnsi="Arial"/>
                <w:sz w:val="18"/>
                <w:szCs w:val="18"/>
                <w:color w:val="0000FF"/>
                <w:w w:val="92"/>
              </w:rPr>
              <w:t>2.84</w:t>
            </w:r>
            <w:r>
              <w:rPr>
                <w:rFonts w:ascii="Arial" w:cs="Arial" w:eastAsia="Arial" w:hAnsi="Arial"/>
                <w:sz w:val="22"/>
                <w:szCs w:val="22"/>
                <w:color w:val="008000"/>
                <w:w w:val="92"/>
                <w:vertAlign w:val="superscript"/>
              </w:rPr>
              <w:t>(2)</w:t>
            </w:r>
          </w:p>
        </w:tc>
        <w:tc>
          <w:tcPr>
            <w:tcW w:w="1240" w:type="dxa"/>
            <w:vAlign w:val="bottom"/>
            <w:tcBorders>
              <w:bottom w:val="single" w:sz="8" w:color="2C2C2C"/>
            </w:tcBorders>
            <w:gridSpan w:val="2"/>
          </w:tcPr>
          <w:p>
            <w:pPr>
              <w:ind w:left="240"/>
              <w:spacing w:after="0"/>
              <w:rPr>
                <w:sz w:val="20"/>
                <w:szCs w:val="20"/>
                <w:color w:val="auto"/>
              </w:rPr>
            </w:pPr>
            <w:r>
              <w:rPr>
                <w:rFonts w:ascii="Arial" w:cs="Arial" w:eastAsia="Arial" w:hAnsi="Arial"/>
                <w:sz w:val="18"/>
                <w:szCs w:val="18"/>
                <w:color w:val="0000FF"/>
              </w:rPr>
              <w:t>146,489</w:t>
            </w:r>
            <w:r>
              <w:rPr>
                <w:rFonts w:ascii="Arial" w:cs="Arial" w:eastAsia="Arial" w:hAnsi="Arial"/>
                <w:sz w:val="22"/>
                <w:szCs w:val="22"/>
                <w:color w:val="008000"/>
                <w:vertAlign w:val="superscript"/>
              </w:rPr>
              <w:t>(3)</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280" w:type="dxa"/>
            <w:vAlign w:val="bottom"/>
            <w:tcBorders>
              <w:top w:val="single" w:sz="8" w:color="2C2C2C"/>
            </w:tcBorders>
            <w:gridSpan w:val="13"/>
          </w:tcPr>
          <w:p>
            <w:pPr>
              <w:jc w:val="center"/>
              <w:ind w:left="80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00" w:type="dxa"/>
            <w:vAlign w:val="bottom"/>
            <w:gridSpan w:val="11"/>
          </w:tcPr>
          <w:p>
            <w:pPr>
              <w:jc w:val="center"/>
              <w:ind w:left="25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30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380" w:type="dxa"/>
            <w:vAlign w:val="bottom"/>
            <w:gridSpan w:val="3"/>
          </w:tcPr>
          <w:p>
            <w:pPr>
              <w:ind w:left="50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80" w:type="dxa"/>
            <w:vAlign w:val="bottom"/>
            <w:gridSpan w:val="3"/>
          </w:tcPr>
          <w:p>
            <w:pPr>
              <w:ind w:left="500"/>
              <w:spacing w:after="0" w:line="135" w:lineRule="exact"/>
              <w:rPr>
                <w:sz w:val="20"/>
                <w:szCs w:val="20"/>
                <w:color w:val="auto"/>
              </w:rPr>
            </w:pPr>
            <w:r>
              <w:rPr>
                <w:rFonts w:ascii="Arial" w:cs="Arial" w:eastAsia="Arial" w:hAnsi="Arial"/>
                <w:sz w:val="12"/>
                <w:szCs w:val="12"/>
                <w:b w:val="1"/>
                <w:bCs w:val="1"/>
                <w:color w:val="auto"/>
              </w:rPr>
              <w:t>Number</w:t>
            </w: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380" w:type="dxa"/>
            <w:vAlign w:val="bottom"/>
            <w:gridSpan w:val="3"/>
          </w:tcPr>
          <w:p>
            <w:pPr>
              <w:ind w:left="40"/>
              <w:spacing w:after="0"/>
              <w:rPr>
                <w:sz w:val="20"/>
                <w:szCs w:val="20"/>
                <w:color w:val="auto"/>
              </w:rPr>
            </w:pPr>
            <w:r>
              <w:rPr>
                <w:rFonts w:ascii="Arial" w:cs="Arial" w:eastAsia="Arial" w:hAnsi="Arial"/>
                <w:sz w:val="12"/>
                <w:szCs w:val="12"/>
                <w:b w:val="1"/>
                <w:bCs w:val="1"/>
                <w:color w:val="auto"/>
              </w:rPr>
              <w:t>Title   Shares</w:t>
            </w: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32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Pursuant to an automatic sell-to-cover imposed by the terms of the initial grant of the restricted stock units ("RSUs") awards, the shares were sold upon the vesting of the RSUs solely to cover applicable withholding taxes.</w:t>
      </w:r>
    </w:p>
    <w:p>
      <w:pPr>
        <w:spacing w:after="0" w:line="30" w:lineRule="exact"/>
        <w:rPr>
          <w:rFonts w:ascii="Arial" w:cs="Arial" w:eastAsia="Arial" w:hAnsi="Arial"/>
          <w:sz w:val="14"/>
          <w:szCs w:val="14"/>
          <w:color w:val="008000"/>
        </w:rPr>
      </w:pPr>
    </w:p>
    <w:p>
      <w:pPr>
        <w:ind w:left="40" w:right="8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This transaction was executed in multiple trades in prices ranging from $2.81 to $2.84, inclusive. The price reported in Column 4 above reflects the weighted average sale price. The Reporting Person hereby undertakes to provide to the Securities and Exchange Commission staff, the Issuer, or a security holder of the Issuer, upon request, full information regarding the number of shares sold at each respective price within the range set forth in this footnote.</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1,642 shares acquired under the Issuer's Employee Stock Purchase Plan on August 31, 2018.</w:t>
      </w:r>
    </w:p>
    <w:p>
      <w:pPr>
        <w:spacing w:after="0" w:line="71"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Elizabeth Grammer,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03251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32510"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Attorney-in-Fact for Mark</w:t>
      </w:r>
      <w:r>
        <w:rPr>
          <w:sz w:val="20"/>
          <w:szCs w:val="20"/>
          <w:color w:val="auto"/>
        </w:rPr>
        <w:tab/>
      </w:r>
      <w:r>
        <w:rPr>
          <w:rFonts w:ascii="Arial" w:cs="Arial" w:eastAsia="Arial" w:hAnsi="Arial"/>
          <w:sz w:val="15"/>
          <w:szCs w:val="15"/>
          <w:color w:val="0000FF"/>
        </w:rPr>
        <w:t>11/15/2018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32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326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Kaufmann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4705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70535"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11184" TargetMode="External"/><Relationship Id="rId13"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2019-12-24T08:25:10Z</dcterms:created>
  <dcterms:modified xsi:type="dcterms:W3CDTF">2019-12-24T08:25:10Z</dcterms:modified>
</cp:coreProperties>
</file>