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9481052.xml.htm"/>
      <w:bookmarkStart w:id="1" w:name="kswkform4_177948105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Hohenleitner Susan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ARDELYX,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FIFTH AVE,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ARDELYX, INC.</w:t>
              </w:r>
            </w:hyperlink>
            <w:r>
              <w:rPr/>
              <w:t xml:space="preserve"> [ </w:t>
            </w:r>
            <w:r>
              <w:rPr>
                <w:rFonts w:ascii="Times;serif" w:hAnsi="Times;serif"/>
                <w:color w:val="0000FF"/>
                <w:sz w:val="24"/>
                <w:shd w:fill="FFFFFF" w:val="clear"/>
              </w:rPr>
              <w:t>ARDX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1,455</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6.2675</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229,078</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an automatic sell-to-cover imposed by the terms of the initial grant of the restricted stock units ("RSUs") awards, the shares were sold upon the vesting of the RSUs solely to cover applicable withholding taxes.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Raab, Attorney-in-Fact for Susan Hohenleitner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3095" TargetMode="External"/><Relationship Id="rId5" Type="http://schemas.openxmlformats.org/officeDocument/2006/relationships/hyperlink" Target="http://www.sec.gov/cgi-bin/browse-edgar?action=getcompany&amp;CIK=00014374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603</Words>
  <Characters>3285</Characters>
  <CharactersWithSpaces>3827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