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8621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86219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Florence Anthony A. Jr.</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100" w:type="dxa"/>
            <w:vAlign w:val="bottom"/>
            <w:tcBorders>
              <w:top w:val="single" w:sz="8" w:color="0000EE"/>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06/05/2015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ARDELYX,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ARDX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8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1180" w:type="dxa"/>
            <w:vAlign w:val="bottom"/>
          </w:tcPr>
          <w:p>
            <w:pPr>
              <w:ind w:left="140"/>
              <w:spacing w:after="0"/>
              <w:rPr>
                <w:sz w:val="20"/>
                <w:szCs w:val="20"/>
                <w:color w:val="auto"/>
              </w:rPr>
            </w:pPr>
            <w:r>
              <w:rPr>
                <w:rFonts w:ascii="Arial" w:cs="Arial" w:eastAsia="Arial" w:hAnsi="Arial"/>
                <w:sz w:val="14"/>
                <w:szCs w:val="14"/>
                <w:color w:val="auto"/>
              </w:rPr>
              <w:t>(First)</w:t>
            </w:r>
          </w:p>
        </w:tc>
        <w:tc>
          <w:tcPr>
            <w:tcW w:w="1080" w:type="dxa"/>
            <w:vAlign w:val="bottom"/>
          </w:tcPr>
          <w:p>
            <w:pPr>
              <w:ind w:left="4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160" w:type="dxa"/>
            <w:vAlign w:val="bottom"/>
            <w:gridSpan w:val="2"/>
          </w:tcPr>
          <w:p>
            <w:pPr>
              <w:ind w:left="20"/>
              <w:spacing w:after="0"/>
              <w:rPr>
                <w:sz w:val="20"/>
                <w:szCs w:val="20"/>
                <w:color w:val="auto"/>
              </w:rPr>
            </w:pPr>
            <w:r>
              <w:rPr>
                <w:rFonts w:ascii="Arial" w:cs="Arial" w:eastAsia="Arial" w:hAnsi="Arial"/>
                <w:sz w:val="18"/>
                <w:szCs w:val="18"/>
                <w:color w:val="0000FF"/>
                <w:w w:val="92"/>
              </w:rPr>
              <w:t>5425 WISCONSIN AVENUE</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SUITE 800</w:t>
            </w:r>
          </w:p>
        </w:tc>
        <w:tc>
          <w:tcPr>
            <w:tcW w:w="1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CHEVY</w:t>
            </w:r>
          </w:p>
        </w:tc>
        <w:tc>
          <w:tcPr>
            <w:tcW w:w="1180" w:type="dxa"/>
            <w:vAlign w:val="bottom"/>
            <w:vMerge w:val="restart"/>
          </w:tcPr>
          <w:p>
            <w:pPr>
              <w:ind w:left="140"/>
              <w:spacing w:after="0"/>
              <w:rPr>
                <w:sz w:val="20"/>
                <w:szCs w:val="20"/>
                <w:color w:val="auto"/>
              </w:rPr>
            </w:pPr>
            <w:r>
              <w:rPr>
                <w:rFonts w:ascii="Arial" w:cs="Arial" w:eastAsia="Arial" w:hAnsi="Arial"/>
                <w:sz w:val="18"/>
                <w:szCs w:val="18"/>
                <w:color w:val="0000FF"/>
              </w:rPr>
              <w:t>MD</w:t>
            </w:r>
          </w:p>
        </w:tc>
        <w:tc>
          <w:tcPr>
            <w:tcW w:w="1080" w:type="dxa"/>
            <w:vAlign w:val="bottom"/>
            <w:vMerge w:val="restart"/>
          </w:tcPr>
          <w:p>
            <w:pPr>
              <w:ind w:left="40"/>
              <w:spacing w:after="0"/>
              <w:rPr>
                <w:sz w:val="20"/>
                <w:szCs w:val="20"/>
                <w:color w:val="auto"/>
              </w:rPr>
            </w:pPr>
            <w:r>
              <w:rPr>
                <w:rFonts w:ascii="Arial" w:cs="Arial" w:eastAsia="Arial" w:hAnsi="Arial"/>
                <w:sz w:val="18"/>
                <w:szCs w:val="18"/>
                <w:color w:val="0000FF"/>
              </w:rPr>
              <w:t>20815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980" w:type="dxa"/>
            <w:vAlign w:val="bottom"/>
            <w:vMerge w:val="restart"/>
          </w:tcPr>
          <w:p>
            <w:pPr>
              <w:ind w:left="20"/>
              <w:spacing w:after="0"/>
              <w:rPr>
                <w:sz w:val="20"/>
                <w:szCs w:val="20"/>
                <w:color w:val="auto"/>
              </w:rPr>
            </w:pPr>
            <w:r>
              <w:rPr>
                <w:rFonts w:ascii="Arial" w:cs="Arial" w:eastAsia="Arial" w:hAnsi="Arial"/>
                <w:sz w:val="18"/>
                <w:szCs w:val="18"/>
                <w:color w:val="0000FF"/>
              </w:rPr>
              <w:t>CHASE</w:t>
            </w:r>
          </w:p>
        </w:tc>
        <w:tc>
          <w:tcPr>
            <w:tcW w:w="11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6"/>
        <w:spacing w:after="0"/>
        <w:tabs>
          <w:tab w:leader="none" w:pos="1805" w:val="left"/>
          <w:tab w:leader="none" w:pos="2145"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85"/>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5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jc w:val="right"/>
              <w:ind w:right="541"/>
              <w:spacing w:after="0"/>
              <w:rPr>
                <w:sz w:val="20"/>
                <w:szCs w:val="20"/>
                <w:color w:val="auto"/>
              </w:rPr>
            </w:pPr>
            <w:r>
              <w:rPr>
                <w:rFonts w:ascii="Arial" w:cs="Arial" w:eastAsia="Arial" w:hAnsi="Arial"/>
                <w:sz w:val="18"/>
                <w:szCs w:val="18"/>
                <w:color w:val="0000FF"/>
              </w:rPr>
              <w:t>1,401,869</w:t>
            </w:r>
          </w:p>
        </w:tc>
        <w:tc>
          <w:tcPr>
            <w:tcW w:w="920" w:type="dxa"/>
            <w:vAlign w:val="bottom"/>
            <w:tcBorders>
              <w:bottom w:val="single" w:sz="8" w:color="2C2C2C"/>
            </w:tcBorders>
          </w:tcPr>
          <w:p>
            <w:pPr>
              <w:ind w:left="700"/>
              <w:spacing w:after="0"/>
              <w:rPr>
                <w:sz w:val="20"/>
                <w:szCs w:val="20"/>
                <w:color w:val="auto"/>
              </w:rPr>
            </w:pPr>
            <w:r>
              <w:rPr>
                <w:rFonts w:ascii="Arial" w:cs="Arial" w:eastAsia="Arial" w:hAnsi="Arial"/>
                <w:sz w:val="18"/>
                <w:szCs w:val="18"/>
                <w:color w:val="0000FF"/>
              </w:rPr>
              <w:t>I</w:t>
            </w:r>
          </w:p>
        </w:tc>
        <w:tc>
          <w:tcPr>
            <w:tcW w:w="1760" w:type="dxa"/>
            <w:vAlign w:val="bottom"/>
            <w:tcBorders>
              <w:bottom w:val="single" w:sz="8" w:color="2C2C2C"/>
            </w:tcBorders>
            <w:gridSpan w:val="2"/>
          </w:tcPr>
          <w:p>
            <w:pPr>
              <w:ind w:left="500"/>
              <w:spacing w:after="0"/>
              <w:rPr>
                <w:sz w:val="20"/>
                <w:szCs w:val="20"/>
                <w:color w:val="auto"/>
              </w:rPr>
            </w:pPr>
            <w:r>
              <w:rPr>
                <w:rFonts w:ascii="Arial" w:cs="Arial" w:eastAsia="Arial" w:hAnsi="Arial"/>
                <w:sz w:val="18"/>
                <w:szCs w:val="18"/>
                <w:color w:val="0000FF"/>
              </w:rPr>
              <w:t>See Note 1</w:t>
            </w:r>
            <w:r>
              <w:rPr>
                <w:rFonts w:ascii="Arial" w:cs="Arial" w:eastAsia="Arial" w:hAnsi="Arial"/>
                <w:sz w:val="22"/>
                <w:szCs w:val="22"/>
                <w:color w:val="008000"/>
                <w:vertAlign w:val="superscript"/>
              </w:rPr>
              <w:t>(1)</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5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jc w:val="right"/>
              <w:ind w:right="541"/>
              <w:spacing w:after="0"/>
              <w:rPr>
                <w:sz w:val="20"/>
                <w:szCs w:val="20"/>
                <w:color w:val="auto"/>
              </w:rPr>
            </w:pPr>
            <w:r>
              <w:rPr>
                <w:rFonts w:ascii="Arial" w:cs="Arial" w:eastAsia="Arial" w:hAnsi="Arial"/>
                <w:sz w:val="18"/>
                <w:szCs w:val="18"/>
                <w:color w:val="0000FF"/>
              </w:rPr>
              <w:t>1,401,869</w:t>
            </w:r>
          </w:p>
        </w:tc>
        <w:tc>
          <w:tcPr>
            <w:tcW w:w="920" w:type="dxa"/>
            <w:vAlign w:val="bottom"/>
            <w:tcBorders>
              <w:bottom w:val="single" w:sz="8" w:color="2C2C2C"/>
            </w:tcBorders>
          </w:tcPr>
          <w:p>
            <w:pPr>
              <w:ind w:left="700"/>
              <w:spacing w:after="0"/>
              <w:rPr>
                <w:sz w:val="20"/>
                <w:szCs w:val="20"/>
                <w:color w:val="auto"/>
              </w:rPr>
            </w:pPr>
            <w:r>
              <w:rPr>
                <w:rFonts w:ascii="Arial" w:cs="Arial" w:eastAsia="Arial" w:hAnsi="Arial"/>
                <w:sz w:val="18"/>
                <w:szCs w:val="18"/>
                <w:color w:val="0000FF"/>
              </w:rPr>
              <w:t>I</w:t>
            </w:r>
          </w:p>
        </w:tc>
        <w:tc>
          <w:tcPr>
            <w:tcW w:w="1760" w:type="dxa"/>
            <w:vAlign w:val="bottom"/>
            <w:tcBorders>
              <w:bottom w:val="single" w:sz="8" w:color="2C2C2C"/>
            </w:tcBorders>
            <w:gridSpan w:val="2"/>
          </w:tcPr>
          <w:p>
            <w:pPr>
              <w:ind w:left="500"/>
              <w:spacing w:after="0"/>
              <w:rPr>
                <w:sz w:val="20"/>
                <w:szCs w:val="20"/>
                <w:color w:val="auto"/>
              </w:rPr>
            </w:pPr>
            <w:r>
              <w:rPr>
                <w:rFonts w:ascii="Arial" w:cs="Arial" w:eastAsia="Arial" w:hAnsi="Arial"/>
                <w:sz w:val="18"/>
                <w:szCs w:val="18"/>
                <w:color w:val="0000FF"/>
              </w:rPr>
              <w:t>See Note 2</w:t>
            </w:r>
            <w:r>
              <w:rPr>
                <w:rFonts w:ascii="Arial" w:cs="Arial" w:eastAsia="Arial" w:hAnsi="Arial"/>
                <w:sz w:val="22"/>
                <w:szCs w:val="22"/>
                <w:color w:val="008000"/>
                <w:vertAlign w:val="superscript"/>
              </w:rPr>
              <w:t>(2)</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0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4480" w:type="dxa"/>
            <w:vAlign w:val="bottom"/>
            <w:tcBorders>
              <w:top w:val="single" w:sz="8" w:color="2C2C2C"/>
            </w:tcBorders>
            <w:gridSpan w:val="4"/>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5860" w:type="dxa"/>
            <w:vAlign w:val="bottom"/>
            <w:gridSpan w:val="6"/>
          </w:tcPr>
          <w:p>
            <w:pPr>
              <w:ind w:left="26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0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020" w:type="dxa"/>
            <w:vAlign w:val="bottom"/>
          </w:tcPr>
          <w:p>
            <w:pPr>
              <w:spacing w:after="0"/>
              <w:rPr>
                <w:sz w:val="6"/>
                <w:szCs w:val="6"/>
                <w:color w:val="auto"/>
              </w:rPr>
            </w:pPr>
          </w:p>
        </w:tc>
        <w:tc>
          <w:tcPr>
            <w:tcW w:w="50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8"/>
              </w:rPr>
              <w:t>Common Stock Warrant (right to buy)</w:t>
            </w:r>
          </w:p>
        </w:tc>
        <w:tc>
          <w:tcPr>
            <w:tcW w:w="140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06/05/2015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06/05/2020</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95"/>
              </w:rPr>
              <w:t>420,561</w:t>
            </w:r>
          </w:p>
        </w:tc>
        <w:tc>
          <w:tcPr>
            <w:tcW w:w="8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13.91</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2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Note 1</w:t>
            </w:r>
            <w:r>
              <w:rPr>
                <w:rFonts w:ascii="Arial" w:cs="Arial" w:eastAsia="Arial" w:hAnsi="Arial"/>
                <w:sz w:val="22"/>
                <w:szCs w:val="22"/>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8"/>
              </w:rPr>
              <w:t>Common Stock Warrant (right to buy)</w:t>
            </w:r>
          </w:p>
        </w:tc>
        <w:tc>
          <w:tcPr>
            <w:tcW w:w="140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06/05/2015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06/05/2020</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95"/>
              </w:rPr>
              <w:t>420,561</w:t>
            </w:r>
          </w:p>
        </w:tc>
        <w:tc>
          <w:tcPr>
            <w:tcW w:w="8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13.91</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4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0000FF"/>
              </w:rPr>
              <w:t>See Note 2</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jc w:val="both"/>
        <w:ind w:left="40" w:right="100" w:firstLine="9"/>
        <w:spacing w:after="0" w:line="288"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Reporting Person is a manager of NEA 15 GP, LLC, ("NEA 15 GP") which is the sole general partner of NEA Partners 15, L.P. ("NEA Partners 15"). NEA Partners 15 is the sole general partner of New Enterprise Associates 15, L. P. ("NEA 15"), the direct beneficial owner of the securities. The Reporting Person disclaims beneficial ownership within the meaning of Section 16 of the Securities Exchange Act of 1934, as amended, or otherwise of such portion of the securities held by NEA 15 in which the Reporting Person has no pecuniary interest.</w:t>
      </w:r>
    </w:p>
    <w:p>
      <w:pPr>
        <w:spacing w:after="0" w:line="2" w:lineRule="exact"/>
        <w:rPr>
          <w:rFonts w:ascii="Arial" w:cs="Arial" w:eastAsia="Arial" w:hAnsi="Arial"/>
          <w:sz w:val="12"/>
          <w:szCs w:val="12"/>
          <w:color w:val="008000"/>
        </w:rPr>
      </w:pPr>
    </w:p>
    <w:p>
      <w:pPr>
        <w:ind w:left="40" w:right="40" w:firstLine="9"/>
        <w:spacing w:after="0" w:line="288"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Reporting Person is a manager of NEA 15 GP which is the sole general partner of NEA Partners 15-OF, L.P. ("NEA Partners 15-OF"). NEA Partners 15-OF is the sole general partner of NEA 15 Opportunity Fund, L. P. ("NEA Opportunity 15"), the direct beneficial owner of the securities. The Reporting Person disclaims beneficial ownership within the meaning of Section 16 of the Securities Exchange Act of 1934, as amended, or otherwise of such portion of the securities held by NEA Opportunity 15 in which the Reporting Person has no pecuniary interest.</w:t>
      </w:r>
    </w:p>
    <w:tbl>
      <w:tblPr>
        <w:tblLayout w:type="fixed"/>
        <w:tblInd w:w="6860" w:type="dxa"/>
        <w:tblCellMar>
          <w:top w:w="0" w:type="dxa"/>
          <w:left w:w="0" w:type="dxa"/>
          <w:bottom w:w="0" w:type="dxa"/>
          <w:right w:w="0" w:type="dxa"/>
        </w:tblCellMar>
      </w:tblPr>
      <w:tr>
        <w:trPr>
          <w:trHeight w:val="216"/>
        </w:trPr>
        <w:tc>
          <w:tcPr>
            <w:tcW w:w="21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0000FF"/>
                <w:w w:val="87"/>
              </w:rPr>
              <w:t>/s/ Sasha Keough,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06/09/2015</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59827" TargetMode="External"/><Relationship Id="rId12"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2019-12-08T21:34:02Z</dcterms:created>
  <dcterms:modified xsi:type="dcterms:W3CDTF">2019-12-08T21:34:02Z</dcterms:modified>
</cp:coreProperties>
</file>