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39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390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640"/>
              <w:spacing w:after="0"/>
              <w:rPr>
                <w:rFonts w:ascii="Arial" w:cs="Arial" w:eastAsia="Arial" w:hAnsi="Arial"/>
                <w:sz w:val="22"/>
                <w:szCs w:val="22"/>
                <w:color w:val="0000EE"/>
                <w:w w:val="98"/>
              </w:rPr>
            </w:pPr>
            <w:hyperlink r:id="rId11">
              <w:r>
                <w:rPr>
                  <w:rFonts w:ascii="Arial" w:cs="Arial" w:eastAsia="Arial" w:hAnsi="Arial"/>
                  <w:sz w:val="22"/>
                  <w:szCs w:val="22"/>
                  <w:color w:val="0000EE"/>
                  <w:w w:val="98"/>
                </w:rPr>
                <w:t>GRAMMER ELIZABETH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8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34175 ARDENWOOD BLVD., SUITE 100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FREMONT</w:t>
            </w:r>
          </w:p>
        </w:tc>
        <w:tc>
          <w:tcPr>
            <w:tcW w:w="880" w:type="dxa"/>
            <w:vAlign w:val="bottom"/>
          </w:tcPr>
          <w:p>
            <w:pPr>
              <w:ind w:left="14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94555</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VP and General Counsel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5,000</w:t>
            </w:r>
            <w:r>
              <w:rPr>
                <w:rFonts w:ascii="Arial" w:cs="Arial" w:eastAsia="Arial" w:hAnsi="Arial"/>
                <w:sz w:val="22"/>
                <w:szCs w:val="22"/>
                <w:color w:val="008000"/>
                <w:vertAlign w:val="superscript"/>
              </w:rPr>
              <w:t>(1)</w:t>
            </w:r>
          </w:p>
        </w:tc>
        <w:tc>
          <w:tcPr>
            <w:tcW w:w="98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10/26/2020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5"/>
              </w:rPr>
              <w:t>5,000</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1.08</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04/15/2021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5"/>
              </w:rPr>
              <w:t>5,000</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1.08</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08/11/2021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5"/>
              </w:rPr>
              <w:t>5,000</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0.54</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11/12/2022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5"/>
              </w:rPr>
              <w:t>5,000</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3.42</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12/06/2022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4"/>
              </w:rPr>
              <w:t>72,222</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3.42</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one-for-nine reverse split of the Issuer's stock effected immediately prior to the consummation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is fully vested and exercisable.</w:t>
      </w:r>
    </w:p>
    <w:p>
      <w:pPr>
        <w:spacing w:after="0" w:line="41" w:lineRule="exact"/>
        <w:rPr>
          <w:rFonts w:ascii="Arial" w:cs="Arial" w:eastAsia="Arial" w:hAnsi="Arial"/>
          <w:sz w:val="14"/>
          <w:szCs w:val="14"/>
          <w:color w:val="008000"/>
        </w:rPr>
      </w:pPr>
    </w:p>
    <w:p>
      <w:pPr>
        <w:jc w:val="both"/>
        <w:ind w:left="40" w:right="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is immediately exercisable in full, but the shares subject thereto vest according to the following schedule: Twenty-five percent (25%) of the shares subject to the option vest on the first anniversary measured from December 1, 2012, and the remaining shares subject to the option vest in 36 successive, equal monthly installments thereafter, subject to the Reporting Person's continued employment or service relationship with the Issuer on each such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Elizabeth Grammer</w:t>
            </w:r>
          </w:p>
        </w:tc>
        <w:tc>
          <w:tcPr>
            <w:tcW w:w="5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06/18/2014</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3041"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2019-12-18T05:06:48Z</dcterms:created>
  <dcterms:modified xsi:type="dcterms:W3CDTF">2019-12-18T05:06:48Z</dcterms:modified>
</cp:coreProperties>
</file>