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Santorelli Keith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ARDELYX,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ARDX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ARDELYX, INC. 34175</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ARDENWOOD BLVD</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FREMONT CA</w:t>
            </w:r>
          </w:p>
        </w:tc>
        <w:tc>
          <w:tcPr>
            <w:tcW w:w="880" w:type="dxa"/>
            <w:vAlign w:val="bottom"/>
          </w:tcPr>
          <w:p>
            <w:pPr>
              <w:jc w:val="right"/>
              <w:spacing w:after="0"/>
              <w:rPr>
                <w:sz w:val="20"/>
                <w:szCs w:val="20"/>
                <w:color w:val="auto"/>
              </w:rPr>
            </w:pPr>
            <w:r>
              <w:rPr>
                <w:rFonts w:ascii="Arial" w:cs="Arial" w:eastAsia="Arial" w:hAnsi="Arial"/>
                <w:sz w:val="20"/>
                <w:szCs w:val="20"/>
                <w:color w:val="0000FF"/>
              </w:rPr>
              <w:t>94555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Principal Financial and Accounting Officer</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3"/>
          </w:tcPr>
          <w:p>
            <w:pPr>
              <w:spacing w:after="0"/>
              <w:rPr>
                <w:sz w:val="20"/>
                <w:szCs w:val="20"/>
                <w:color w:val="auto"/>
              </w:rPr>
            </w:pPr>
            <w:r>
              <w:rPr>
                <w:rFonts w:ascii="Arial" w:cs="Arial" w:eastAsia="Arial" w:hAnsi="Arial"/>
                <w:sz w:val="20"/>
                <w:szCs w:val="20"/>
                <w:color w:val="0000FF"/>
              </w:rPr>
              <w:t>/s/ Keith Santorelli</w:t>
            </w:r>
          </w:p>
        </w:tc>
        <w:tc>
          <w:tcPr>
            <w:tcW w:w="2440" w:type="dxa"/>
            <w:vAlign w:val="bottom"/>
            <w:gridSpan w:val="4"/>
          </w:tcPr>
          <w:p>
            <w:pPr>
              <w:jc w:val="right"/>
              <w:ind w:right="1280"/>
              <w:spacing w:after="0"/>
              <w:rPr>
                <w:sz w:val="20"/>
                <w:szCs w:val="20"/>
                <w:color w:val="auto"/>
              </w:rPr>
            </w:pPr>
            <w:r>
              <w:rPr>
                <w:rFonts w:ascii="Arial" w:cs="Arial" w:eastAsia="Arial" w:hAnsi="Arial"/>
                <w:sz w:val="20"/>
                <w:szCs w:val="20"/>
                <w:color w:val="0000FF"/>
              </w:rPr>
              <w:t>04/07/2020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b w:val="1"/>
          <w:bCs w:val="1"/>
          <w:color w:val="auto"/>
        </w:rPr>
        <w:t>POWER OF ATTORNEY</w:t>
      </w:r>
    </w:p>
    <w:p>
      <w:pPr>
        <w:spacing w:after="0" w:line="211" w:lineRule="exact"/>
        <w:rPr>
          <w:sz w:val="20"/>
          <w:szCs w:val="20"/>
          <w:color w:val="auto"/>
        </w:rPr>
      </w:pPr>
    </w:p>
    <w:p>
      <w:pPr>
        <w:ind w:right="320" w:firstLine="720"/>
        <w:spacing w:after="0" w:line="233" w:lineRule="auto"/>
        <w:rPr>
          <w:sz w:val="20"/>
          <w:szCs w:val="20"/>
          <w:color w:val="auto"/>
        </w:rPr>
      </w:pPr>
      <w:r>
        <w:rPr>
          <w:rFonts w:ascii="Arial" w:cs="Arial" w:eastAsia="Arial" w:hAnsi="Arial"/>
          <w:sz w:val="21"/>
          <w:szCs w:val="21"/>
          <w:color w:val="auto"/>
        </w:rPr>
        <w:t>Know all by these presents, that the undersigned hereby constitutes and appoints each of (i) the Chief Executive Officer of Ardelyx,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who is currently Michael Raab,</w:t>
      </w:r>
    </w:p>
    <w:p>
      <w:pPr>
        <w:spacing w:after="0" w:line="1" w:lineRule="exact"/>
        <w:rPr>
          <w:sz w:val="20"/>
          <w:szCs w:val="20"/>
          <w:color w:val="auto"/>
        </w:rPr>
      </w:pPr>
    </w:p>
    <w:p>
      <w:pPr>
        <w:ind w:right="20"/>
        <w:spacing w:after="0" w:line="213" w:lineRule="auto"/>
        <w:tabs>
          <w:tab w:leader="none" w:pos="353" w:val="left"/>
        </w:tabs>
        <w:numPr>
          <w:ilvl w:val="0"/>
          <w:numId w:val="5"/>
        </w:numPr>
        <w:rPr>
          <w:rFonts w:ascii="Arial" w:cs="Arial" w:eastAsia="Arial" w:hAnsi="Arial"/>
          <w:sz w:val="24"/>
          <w:szCs w:val="24"/>
          <w:color w:val="auto"/>
        </w:rPr>
      </w:pPr>
      <w:r>
        <w:rPr>
          <w:rFonts w:ascii="Arial" w:cs="Arial" w:eastAsia="Arial" w:hAnsi="Arial"/>
          <w:sz w:val="24"/>
          <w:szCs w:val="24"/>
          <w:color w:val="auto"/>
        </w:rPr>
        <w:t>the Company's Chief Financial Officer or principal financial officer and (iii) the Company’s General Counsel, who is currently Elizabeth Grammer, and their respective successors, signing singly, with full power of substitution, as the undersigned's true and lawful attorney-in-fact to:</w:t>
      </w:r>
    </w:p>
    <w:p>
      <w:pPr>
        <w:spacing w:after="0" w:line="183" w:lineRule="exact"/>
        <w:rPr>
          <w:rFonts w:ascii="Arial" w:cs="Arial" w:eastAsia="Arial" w:hAnsi="Arial"/>
          <w:sz w:val="24"/>
          <w:szCs w:val="24"/>
          <w:color w:val="auto"/>
        </w:rPr>
      </w:pPr>
    </w:p>
    <w:p>
      <w:pPr>
        <w:jc w:val="both"/>
        <w:ind w:left="1440" w:right="160" w:hanging="670"/>
        <w:spacing w:after="0" w:line="306" w:lineRule="auto"/>
        <w:tabs>
          <w:tab w:leader="none" w:pos="1440" w:val="left"/>
        </w:tabs>
        <w:numPr>
          <w:ilvl w:val="2"/>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68" w:lineRule="exact"/>
        <w:rPr>
          <w:rFonts w:ascii="Arial" w:cs="Arial" w:eastAsia="Arial" w:hAnsi="Arial"/>
          <w:sz w:val="18"/>
          <w:szCs w:val="18"/>
          <w:color w:val="auto"/>
        </w:rPr>
      </w:pPr>
    </w:p>
    <w:p>
      <w:pPr>
        <w:ind w:left="1440" w:right="20" w:hanging="720"/>
        <w:spacing w:after="0" w:line="259"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ind w:left="1440" w:hanging="720"/>
        <w:spacing w:after="0" w:line="257"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2" w:lineRule="exact"/>
        <w:rPr>
          <w:sz w:val="20"/>
          <w:szCs w:val="20"/>
          <w:color w:val="auto"/>
        </w:rPr>
      </w:pPr>
    </w:p>
    <w:p>
      <w:pPr>
        <w:ind w:right="40" w:firstLine="720"/>
        <w:spacing w:after="0" w:line="212"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8" w:lineRule="exact"/>
        <w:rPr>
          <w:sz w:val="20"/>
          <w:szCs w:val="20"/>
          <w:color w:val="auto"/>
        </w:rPr>
      </w:pPr>
    </w:p>
    <w:p>
      <w:pPr>
        <w:ind w:right="100" w:firstLine="720"/>
        <w:spacing w:after="0" w:line="233" w:lineRule="auto"/>
        <w:rPr>
          <w:sz w:val="20"/>
          <w:szCs w:val="20"/>
          <w:color w:val="auto"/>
        </w:rPr>
      </w:pPr>
      <w:r>
        <w:rPr>
          <w:rFonts w:ascii="Arial" w:cs="Arial" w:eastAsia="Arial" w:hAnsi="Arial"/>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50" w:lineRule="exact"/>
        <w:rPr>
          <w:sz w:val="20"/>
          <w:szCs w:val="20"/>
          <w:color w:val="auto"/>
        </w:rPr>
      </w:pPr>
    </w:p>
    <w:p>
      <w:pPr>
        <w:ind w:right="240" w:firstLine="720"/>
        <w:spacing w:after="0" w:line="228" w:lineRule="auto"/>
        <w:rPr>
          <w:sz w:val="20"/>
          <w:szCs w:val="20"/>
          <w:color w:val="auto"/>
        </w:rPr>
      </w:pPr>
      <w:r>
        <w:rPr>
          <w:rFonts w:ascii="Arial" w:cs="Arial" w:eastAsia="Arial" w:hAnsi="Arial"/>
          <w:sz w:val="23"/>
          <w:szCs w:val="23"/>
          <w:color w:val="auto"/>
        </w:rPr>
        <w:t>This Power of Attorney supersedes any power of attorney previously executed by the undersigned regarding the purposes outlined in the first paragraph hereof (“</w:t>
      </w:r>
      <w:r>
        <w:rPr>
          <w:rFonts w:ascii="Arial" w:cs="Arial" w:eastAsia="Arial" w:hAnsi="Arial"/>
          <w:sz w:val="23"/>
          <w:szCs w:val="23"/>
          <w:b w:val="1"/>
          <w:bCs w:val="1"/>
          <w:i w:val="1"/>
          <w:iCs w:val="1"/>
          <w:color w:val="auto"/>
        </w:rPr>
        <w:t>Prior Powers of Attorney</w:t>
      </w:r>
      <w:r>
        <w:rPr>
          <w:rFonts w:ascii="Arial" w:cs="Arial" w:eastAsia="Arial" w:hAnsi="Arial"/>
          <w:sz w:val="23"/>
          <w:szCs w:val="23"/>
          <w:color w:val="auto"/>
        </w:rPr>
        <w:t>”), and the authority of the attorneys-in-fact named in any Prior Powers of Attorney is hereby revoked.</w:t>
      </w:r>
    </w:p>
    <w:p>
      <w:pPr>
        <w:spacing w:after="0" w:line="147" w:lineRule="exact"/>
        <w:rPr>
          <w:sz w:val="20"/>
          <w:szCs w:val="20"/>
          <w:color w:val="auto"/>
        </w:rPr>
      </w:pPr>
    </w:p>
    <w:p>
      <w:pPr>
        <w:ind w:right="40" w:firstLine="720"/>
        <w:spacing w:after="0" w:line="209"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49" w:lineRule="exact"/>
        <w:rPr>
          <w:sz w:val="20"/>
          <w:szCs w:val="20"/>
          <w:color w:val="auto"/>
        </w:rPr>
      </w:pPr>
    </w:p>
    <w:p>
      <w:pPr>
        <w:ind w:right="280" w:firstLine="720"/>
        <w:spacing w:after="0" w:line="230" w:lineRule="auto"/>
        <w:rPr>
          <w:sz w:val="20"/>
          <w:szCs w:val="20"/>
          <w:color w:val="auto"/>
        </w:rPr>
      </w:pPr>
      <w:r>
        <w:rPr>
          <w:rFonts w:ascii="Arial" w:cs="Arial" w:eastAsia="Arial" w:hAnsi="Arial"/>
          <w:sz w:val="24"/>
          <w:szCs w:val="24"/>
          <w:color w:val="auto"/>
        </w:rPr>
        <w:t>IN WITNESS WHEREOF, the undersigned has caused this Power of Attorney to be executed as of this 19 day of March, 2020.</w:t>
      </w:r>
    </w:p>
    <w:p>
      <w:pPr>
        <w:spacing w:after="0" w:line="386" w:lineRule="exact"/>
        <w:rPr>
          <w:sz w:val="20"/>
          <w:szCs w:val="20"/>
          <w:color w:val="auto"/>
        </w:rPr>
      </w:pPr>
    </w:p>
    <w:p>
      <w:pPr>
        <w:ind w:left="5580"/>
        <w:spacing w:after="0"/>
        <w:rPr>
          <w:sz w:val="20"/>
          <w:szCs w:val="20"/>
          <w:color w:val="auto"/>
        </w:rPr>
      </w:pPr>
      <w:r>
        <w:rPr>
          <w:rFonts w:ascii="Arial" w:cs="Arial" w:eastAsia="Arial" w:hAnsi="Arial"/>
          <w:sz w:val="24"/>
          <w:szCs w:val="24"/>
          <w:u w:val="single" w:color="auto"/>
          <w:color w:val="auto"/>
        </w:rPr>
        <w:t>/s/ Keith Santorelli</w:t>
      </w:r>
    </w:p>
    <w:p>
      <w:pPr>
        <w:spacing w:after="0" w:line="31" w:lineRule="exact"/>
        <w:rPr>
          <w:sz w:val="20"/>
          <w:szCs w:val="20"/>
          <w:color w:val="auto"/>
        </w:rPr>
      </w:pPr>
    </w:p>
    <w:p>
      <w:pPr>
        <w:ind w:left="5580"/>
        <w:spacing w:after="0"/>
        <w:rPr>
          <w:sz w:val="20"/>
          <w:szCs w:val="20"/>
          <w:color w:val="auto"/>
        </w:rPr>
      </w:pPr>
      <w:r>
        <w:rPr>
          <w:rFonts w:ascii="Arial" w:cs="Arial" w:eastAsia="Arial" w:hAnsi="Arial"/>
          <w:sz w:val="24"/>
          <w:szCs w:val="24"/>
          <w:b w:val="1"/>
          <w:bCs w:val="1"/>
          <w:color w:val="auto"/>
        </w:rPr>
        <w:t>Keith Santorelli</w:t>
      </w:r>
    </w:p>
    <w:sectPr>
      <w:pgSz w:w="11900" w:h="16838" w:orient="portrait"/>
      <w:cols w:equalWidth="0" w:num="1">
        <w:col w:w="10920"/>
      </w:cols>
      <w:pgMar w:left="480" w:top="9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08499"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2020-04-07T15:21:17Z</dcterms:created>
  <dcterms:modified xsi:type="dcterms:W3CDTF">2020-04-07T15:21:17Z</dcterms:modified>
</cp:coreProperties>
</file>