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7517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7517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Bishop John E</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400" w:type="dxa"/>
            <w:vAlign w:val="bottom"/>
            <w:tcBorders>
              <w:top w:val="single" w:sz="8" w:color="0000EE"/>
              <w:bottom w:val="single" w:sz="8" w:color="9A9A9A"/>
            </w:tcBorders>
          </w:tcPr>
          <w:p>
            <w:pPr>
              <w:spacing w:after="0"/>
              <w:rPr>
                <w:sz w:val="17"/>
                <w:szCs w:val="17"/>
                <w:color w:val="auto"/>
              </w:rPr>
            </w:pPr>
          </w:p>
        </w:tc>
        <w:tc>
          <w:tcPr>
            <w:tcW w:w="166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08/01/2025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ARDELYX,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ARDX</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160" w:type="dxa"/>
            <w:vAlign w:val="bottom"/>
          </w:tcPr>
          <w:p>
            <w:pPr>
              <w:ind w:left="280"/>
              <w:spacing w:after="0"/>
              <w:rPr>
                <w:sz w:val="20"/>
                <w:szCs w:val="20"/>
                <w:color w:val="auto"/>
              </w:rPr>
            </w:pPr>
            <w:r>
              <w:rPr>
                <w:rFonts w:ascii="Arial" w:cs="Arial" w:eastAsia="Arial" w:hAnsi="Arial"/>
                <w:sz w:val="15"/>
                <w:szCs w:val="15"/>
                <w:color w:val="auto"/>
              </w:rPr>
              <w:t>(First)</w:t>
            </w:r>
          </w:p>
        </w:tc>
        <w:tc>
          <w:tcPr>
            <w:tcW w:w="1160" w:type="dxa"/>
            <w:vAlign w:val="bottom"/>
          </w:tcPr>
          <w:p>
            <w:pPr>
              <w:ind w:left="160"/>
              <w:spacing w:after="0"/>
              <w:rPr>
                <w:sz w:val="20"/>
                <w:szCs w:val="20"/>
                <w:color w:val="auto"/>
              </w:rPr>
            </w:pPr>
            <w:r>
              <w:rPr>
                <w:rFonts w:ascii="Arial" w:cs="Arial" w:eastAsia="Arial" w:hAnsi="Arial"/>
                <w:sz w:val="15"/>
                <w:szCs w:val="15"/>
                <w:color w:val="auto"/>
              </w:rPr>
              <w:t>(Middle)</w:t>
            </w:r>
          </w:p>
        </w:tc>
      </w:tr>
      <w:tr>
        <w:trPr>
          <w:trHeight w:val="310"/>
        </w:trPr>
        <w:tc>
          <w:tcPr>
            <w:tcW w:w="19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C/O ARDELYX, INC.</w:t>
            </w:r>
          </w:p>
        </w:tc>
        <w:tc>
          <w:tcPr>
            <w:tcW w:w="1160" w:type="dxa"/>
            <w:vAlign w:val="bottom"/>
          </w:tcPr>
          <w:p>
            <w:pPr>
              <w:spacing w:after="0"/>
              <w:rPr>
                <w:sz w:val="24"/>
                <w:szCs w:val="24"/>
                <w:color w:val="auto"/>
              </w:rPr>
            </w:pP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400 FIFTH AVENUE, SUITE 210</w:t>
            </w:r>
          </w:p>
        </w:tc>
      </w:tr>
      <w:tr>
        <w:trPr>
          <w:trHeight w:val="177"/>
        </w:trPr>
        <w:tc>
          <w:tcPr>
            <w:tcW w:w="780" w:type="dxa"/>
            <w:vAlign w:val="bottom"/>
            <w:tcBorders>
              <w:bottom w:val="single" w:sz="8" w:color="9A9A9A"/>
            </w:tcBorders>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c>
          <w:tcPr>
            <w:tcW w:w="1160" w:type="dxa"/>
            <w:vAlign w:val="bottom"/>
            <w:tcBorders>
              <w:bottom w:val="single" w:sz="8" w:color="9A9A9A"/>
            </w:tcBorders>
          </w:tcPr>
          <w:p>
            <w:pPr>
              <w:spacing w:after="0"/>
              <w:rPr>
                <w:sz w:val="15"/>
                <w:szCs w:val="15"/>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1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65"/>
        </w:trPr>
        <w:tc>
          <w:tcPr>
            <w:tcW w:w="19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WALTHAM MA</w:t>
            </w:r>
          </w:p>
        </w:tc>
        <w:tc>
          <w:tcPr>
            <w:tcW w:w="1160" w:type="dxa"/>
            <w:vAlign w:val="bottom"/>
          </w:tcPr>
          <w:p>
            <w:pPr>
              <w:ind w:left="160"/>
              <w:spacing w:after="0"/>
              <w:rPr>
                <w:sz w:val="20"/>
                <w:szCs w:val="20"/>
                <w:color w:val="auto"/>
              </w:rPr>
            </w:pPr>
            <w:r>
              <w:rPr>
                <w:rFonts w:ascii="Times New Roman" w:cs="Times New Roman" w:eastAsia="Times New Roman" w:hAnsi="Times New Roman"/>
                <w:sz w:val="20"/>
                <w:szCs w:val="20"/>
                <w:color w:val="0000FF"/>
              </w:rPr>
              <w:t>02451</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1043"/>
        <w:spacing w:after="0"/>
        <w:rPr>
          <w:sz w:val="20"/>
          <w:szCs w:val="20"/>
          <w:color w:val="auto"/>
        </w:rPr>
      </w:pPr>
      <w:r>
        <w:rPr>
          <w:rFonts w:ascii="Times New Roman" w:cs="Times New Roman" w:eastAsia="Times New Roman" w:hAnsi="Times New Roman"/>
          <w:sz w:val="20"/>
          <w:szCs w:val="20"/>
          <w:color w:val="0000FF"/>
        </w:rPr>
        <w:t>See Remarks</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2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ind w:left="580"/>
              <w:spacing w:after="0"/>
              <w:rPr>
                <w:sz w:val="20"/>
                <w:szCs w:val="20"/>
                <w:color w:val="auto"/>
              </w:rPr>
            </w:pPr>
            <w:r>
              <w:rPr>
                <w:rFonts w:ascii="Times New Roman" w:cs="Times New Roman" w:eastAsia="Times New Roman" w:hAnsi="Times New Roman"/>
                <w:sz w:val="20"/>
                <w:szCs w:val="20"/>
                <w:color w:val="0000FF"/>
              </w:rPr>
              <w:t>218,000</w:t>
            </w:r>
            <w:r>
              <w:rPr>
                <w:rFonts w:ascii="Times New Roman" w:cs="Times New Roman" w:eastAsia="Times New Roman" w:hAnsi="Times New Roman"/>
                <w:sz w:val="25"/>
                <w:szCs w:val="25"/>
                <w:color w:val="008000"/>
                <w:vertAlign w:val="superscript"/>
              </w:rPr>
              <w:t>(1)</w:t>
            </w:r>
          </w:p>
        </w:tc>
        <w:tc>
          <w:tcPr>
            <w:tcW w:w="960" w:type="dxa"/>
            <w:vAlign w:val="bottom"/>
            <w:tcBorders>
              <w:bottom w:val="single" w:sz="8" w:color="2C2C2C"/>
            </w:tcBorders>
            <w:gridSpan w:val="2"/>
          </w:tcPr>
          <w:p>
            <w:pPr>
              <w:ind w:left="780"/>
              <w:spacing w:after="0"/>
              <w:rPr>
                <w:sz w:val="20"/>
                <w:szCs w:val="20"/>
                <w:color w:val="auto"/>
              </w:rPr>
            </w:pPr>
            <w:r>
              <w:rPr>
                <w:rFonts w:ascii="Times New Roman" w:cs="Times New Roman" w:eastAsia="Times New Roman" w:hAnsi="Times New Roman"/>
                <w:sz w:val="20"/>
                <w:szCs w:val="20"/>
                <w:color w:val="0000FF"/>
              </w:rPr>
              <w:t>D</w:t>
            </w:r>
          </w:p>
        </w:tc>
        <w:tc>
          <w:tcPr>
            <w:tcW w:w="9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5500" w:type="dxa"/>
            <w:vAlign w:val="bottom"/>
            <w:tcBorders>
              <w:top w:val="single" w:sz="8" w:color="2C2C2C"/>
            </w:tcBorders>
            <w:gridSpan w:val="6"/>
          </w:tcPr>
          <w:p>
            <w:pPr>
              <w:ind w:left="1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2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6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2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2"/>
          </w:tcPr>
          <w:p>
            <w:pPr>
              <w:spacing w:after="0"/>
              <w:rPr>
                <w:sz w:val="3"/>
                <w:szCs w:val="3"/>
                <w:color w:val="auto"/>
              </w:rPr>
            </w:pPr>
          </w:p>
        </w:tc>
        <w:tc>
          <w:tcPr>
            <w:tcW w:w="26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260" w:type="dxa"/>
            <w:vAlign w:val="bottom"/>
          </w:tcPr>
          <w:p>
            <w:pPr>
              <w:spacing w:after="0"/>
              <w:rPr>
                <w:sz w:val="18"/>
                <w:szCs w:val="18"/>
                <w:color w:val="auto"/>
              </w:rPr>
            </w:pPr>
          </w:p>
        </w:tc>
        <w:tc>
          <w:tcPr>
            <w:tcW w:w="1860" w:type="dxa"/>
            <w:vAlign w:val="bottom"/>
            <w:gridSpan w:val="2"/>
          </w:tcPr>
          <w:p>
            <w:pPr>
              <w:ind w:left="60"/>
              <w:spacing w:after="0"/>
              <w:rPr>
                <w:sz w:val="20"/>
                <w:szCs w:val="20"/>
                <w:color w:val="auto"/>
              </w:rPr>
            </w:pPr>
            <w:r>
              <w:rPr>
                <w:rFonts w:ascii="Arial" w:cs="Arial" w:eastAsia="Arial" w:hAnsi="Arial"/>
                <w:sz w:val="15"/>
                <w:szCs w:val="15"/>
                <w:b w:val="1"/>
                <w:bCs w:val="1"/>
                <w:color w:val="auto"/>
              </w:rPr>
              <w:t>2. Date Exercisable and</w:t>
            </w:r>
          </w:p>
        </w:tc>
        <w:tc>
          <w:tcPr>
            <w:tcW w:w="2700" w:type="dxa"/>
            <w:vAlign w:val="bottom"/>
            <w:gridSpan w:val="3"/>
          </w:tcPr>
          <w:p>
            <w:pPr>
              <w:ind w:left="8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2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Expiration Date</w:t>
            </w:r>
          </w:p>
        </w:tc>
        <w:tc>
          <w:tcPr>
            <w:tcW w:w="27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(Instr. 4)</w:t>
            </w:r>
          </w:p>
        </w:tc>
        <w:tc>
          <w:tcPr>
            <w:tcW w:w="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2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2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260" w:type="dxa"/>
            <w:vAlign w:val="bottom"/>
          </w:tcPr>
          <w:p>
            <w:pPr>
              <w:spacing w:after="0"/>
              <w:rPr>
                <w:sz w:val="5"/>
                <w:szCs w:val="5"/>
                <w:color w:val="auto"/>
              </w:rPr>
            </w:pPr>
          </w:p>
        </w:tc>
        <w:tc>
          <w:tcPr>
            <w:tcW w:w="9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740" w:type="dxa"/>
            <w:vAlign w:val="bottom"/>
          </w:tcPr>
          <w:p>
            <w:pPr>
              <w:spacing w:after="0"/>
              <w:rPr>
                <w:sz w:val="5"/>
                <w:szCs w:val="5"/>
                <w:color w:val="auto"/>
              </w:rPr>
            </w:pPr>
          </w:p>
        </w:tc>
        <w:tc>
          <w:tcPr>
            <w:tcW w:w="96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2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96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2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2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Date</w:t>
            </w:r>
          </w:p>
        </w:tc>
        <w:tc>
          <w:tcPr>
            <w:tcW w:w="8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96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ind w:left="60"/>
              <w:spacing w:after="0"/>
              <w:rPr>
                <w:sz w:val="20"/>
                <w:szCs w:val="20"/>
                <w:color w:val="auto"/>
              </w:rPr>
            </w:pPr>
            <w:r>
              <w:rPr>
                <w:rFonts w:ascii="Arial" w:cs="Arial" w:eastAsia="Arial" w:hAnsi="Arial"/>
                <w:sz w:val="15"/>
                <w:szCs w:val="15"/>
                <w:b w:val="1"/>
                <w:bCs w:val="1"/>
                <w:color w:val="auto"/>
              </w:rPr>
              <w:t>Exercisable</w:t>
            </w:r>
          </w:p>
        </w:tc>
        <w:tc>
          <w:tcPr>
            <w:tcW w:w="88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80"/>
              <w:spacing w:after="0"/>
              <w:rPr>
                <w:sz w:val="20"/>
                <w:szCs w:val="20"/>
                <w:color w:val="auto"/>
              </w:rPr>
            </w:pPr>
            <w:r>
              <w:rPr>
                <w:rFonts w:ascii="Arial" w:cs="Arial" w:eastAsia="Arial" w:hAnsi="Arial"/>
                <w:sz w:val="15"/>
                <w:szCs w:val="15"/>
                <w:b w:val="1"/>
                <w:bCs w:val="1"/>
                <w:color w:val="auto"/>
              </w:rPr>
              <w:t>Title</w:t>
            </w:r>
          </w:p>
        </w:tc>
        <w:tc>
          <w:tcPr>
            <w:tcW w:w="96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4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880" w:type="dxa"/>
            <w:vAlign w:val="bottom"/>
          </w:tcPr>
          <w:p>
            <w:pPr>
              <w:jc w:val="right"/>
              <w:ind w:right="25"/>
              <w:spacing w:after="0"/>
              <w:rPr>
                <w:sz w:val="20"/>
                <w:szCs w:val="20"/>
                <w:color w:val="auto"/>
              </w:rPr>
            </w:pPr>
            <w:r>
              <w:rPr>
                <w:rFonts w:ascii="Times New Roman" w:cs="Times New Roman" w:eastAsia="Times New Roman" w:hAnsi="Times New Roman"/>
                <w:sz w:val="15"/>
                <w:szCs w:val="15"/>
                <w:color w:val="0000FF"/>
              </w:rPr>
              <w:t>07/14/2035</w:t>
            </w:r>
          </w:p>
        </w:tc>
        <w:tc>
          <w:tcPr>
            <w:tcW w:w="1740" w:type="dxa"/>
            <w:vAlign w:val="bottom"/>
          </w:tcPr>
          <w:p>
            <w:pPr>
              <w:ind w:left="320"/>
              <w:spacing w:after="0"/>
              <w:rPr>
                <w:sz w:val="20"/>
                <w:szCs w:val="20"/>
                <w:color w:val="auto"/>
              </w:rPr>
            </w:pPr>
            <w:r>
              <w:rPr>
                <w:rFonts w:ascii="Times New Roman" w:cs="Times New Roman" w:eastAsia="Times New Roman" w:hAnsi="Times New Roman"/>
                <w:sz w:val="20"/>
                <w:szCs w:val="20"/>
                <w:color w:val="0000FF"/>
              </w:rPr>
              <w:t>Common Stock</w:t>
            </w:r>
          </w:p>
        </w:tc>
        <w:tc>
          <w:tcPr>
            <w:tcW w:w="90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327,000</w:t>
            </w:r>
          </w:p>
        </w:tc>
        <w:tc>
          <w:tcPr>
            <w:tcW w:w="60" w:type="dxa"/>
            <w:vAlign w:val="bottom"/>
          </w:tcPr>
          <w:p>
            <w:pPr>
              <w:spacing w:after="0"/>
              <w:rPr>
                <w:sz w:val="24"/>
                <w:szCs w:val="24"/>
                <w:color w:val="auto"/>
              </w:rPr>
            </w:pPr>
          </w:p>
        </w:tc>
        <w:tc>
          <w:tcPr>
            <w:tcW w:w="940" w:type="dxa"/>
            <w:vAlign w:val="bottom"/>
          </w:tcPr>
          <w:p>
            <w:pPr>
              <w:ind w:left="280"/>
              <w:spacing w:after="0"/>
              <w:rPr>
                <w:sz w:val="20"/>
                <w:szCs w:val="20"/>
                <w:color w:val="auto"/>
              </w:rPr>
            </w:pPr>
            <w:r>
              <w:rPr>
                <w:rFonts w:ascii="Times New Roman" w:cs="Times New Roman" w:eastAsia="Times New Roman" w:hAnsi="Times New Roman"/>
                <w:sz w:val="20"/>
                <w:szCs w:val="20"/>
                <w:color w:val="0000FF"/>
              </w:rPr>
              <w:t>4.49</w:t>
            </w:r>
          </w:p>
        </w:tc>
        <w:tc>
          <w:tcPr>
            <w:tcW w:w="92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200" w:hanging="155"/>
        <w:spacing w:after="0"/>
        <w:tabs>
          <w:tab w:leader="none" w:pos="20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Restricted stock units ("RSUs"). The Reporting Person is entitled to receive one (1) shares of Common Stock for each one (1) RSU upon the vesting thereof.</w:t>
      </w:r>
    </w:p>
    <w:p>
      <w:pPr>
        <w:spacing w:after="0" w:line="52" w:lineRule="exact"/>
        <w:rPr>
          <w:rFonts w:ascii="Times New Roman" w:cs="Times New Roman" w:eastAsia="Times New Roman" w:hAnsi="Times New Roman"/>
          <w:sz w:val="15"/>
          <w:szCs w:val="15"/>
          <w:color w:val="008000"/>
        </w:rPr>
      </w:pPr>
    </w:p>
    <w:p>
      <w:pPr>
        <w:ind w:left="40" w:right="70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Twenty Five Percent (25%) of the shares subject to the option vest on July 14, 2026 and the remaining shares subject to the option vest in 36 successive, equal monthly installments thereafter, subject to the Reporting Person's continued employment or service relationship with the Issuer on each such vesting date.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Chief Technical Operations Officer Exhibit 24.1 - Power of Attorney</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8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Elizabeth Grammer,</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3080" w:type="dxa"/>
            <w:vAlign w:val="bottom"/>
            <w:gridSpan w:val="5"/>
          </w:tcPr>
          <w:p>
            <w:pPr>
              <w:spacing w:after="0" w:line="220" w:lineRule="exact"/>
              <w:rPr>
                <w:sz w:val="20"/>
                <w:szCs w:val="20"/>
                <w:color w:val="auto"/>
              </w:rPr>
            </w:pPr>
            <w:r>
              <w:rPr>
                <w:rFonts w:ascii="Times New Roman" w:cs="Times New Roman" w:eastAsia="Times New Roman" w:hAnsi="Times New Roman"/>
                <w:sz w:val="20"/>
                <w:szCs w:val="20"/>
                <w:color w:val="0000FF"/>
                <w:w w:val="99"/>
              </w:rPr>
              <w:t>Attorney-in-Fact for John  10/17/2025</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800" w:type="dxa"/>
            <w:vAlign w:val="bottom"/>
            <w:tcBorders>
              <w:top w:val="single" w:sz="8" w:color="auto"/>
            </w:tcBorders>
            <w:gridSpan w:val="2"/>
          </w:tcPr>
          <w:p>
            <w:pPr>
              <w:spacing w:after="0" w:line="220" w:lineRule="exact"/>
              <w:rPr>
                <w:sz w:val="20"/>
                <w:szCs w:val="20"/>
                <w:color w:val="auto"/>
              </w:rPr>
            </w:pPr>
            <w:r>
              <w:rPr>
                <w:rFonts w:ascii="Times New Roman" w:cs="Times New Roman" w:eastAsia="Times New Roman" w:hAnsi="Times New Roman"/>
                <w:sz w:val="20"/>
                <w:szCs w:val="20"/>
                <w:color w:val="0000FF"/>
              </w:rPr>
              <w:t>Bishop</w:t>
            </w:r>
          </w:p>
        </w:tc>
        <w:tc>
          <w:tcPr>
            <w:tcW w:w="20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1800" w:type="dxa"/>
            <w:vAlign w:val="bottom"/>
            <w:gridSpan w:val="2"/>
          </w:tcPr>
          <w:p>
            <w:pPr>
              <w:spacing w:after="0"/>
              <w:rPr>
                <w:sz w:val="20"/>
                <w:szCs w:val="20"/>
                <w:color w:val="auto"/>
              </w:rPr>
            </w:pPr>
            <w:r>
              <w:rPr>
                <w:rFonts w:ascii="Arial" w:cs="Arial" w:eastAsia="Arial" w:hAnsi="Arial"/>
                <w:sz w:val="15"/>
                <w:szCs w:val="15"/>
                <w:color w:val="auto"/>
              </w:rPr>
              <w:t>** Signature of Reporting</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180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18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34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34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line="44" w:lineRule="exact"/>
        <w:rPr>
          <w:sz w:val="20"/>
          <w:szCs w:val="20"/>
          <w:color w:val="auto"/>
        </w:rPr>
      </w:pPr>
    </w:p>
    <w:p>
      <w:pPr>
        <w:jc w:val="center"/>
        <w:ind w:right="739"/>
        <w:spacing w:after="0"/>
        <w:rPr>
          <w:sz w:val="20"/>
          <w:szCs w:val="20"/>
          <w:color w:val="auto"/>
        </w:rPr>
      </w:pPr>
      <w:r>
        <w:rPr>
          <w:rFonts w:ascii="Courier New" w:cs="Courier New" w:eastAsia="Courier New" w:hAnsi="Courier New"/>
          <w:sz w:val="20"/>
          <w:szCs w:val="20"/>
          <w:color w:val="auto"/>
        </w:rPr>
        <w:t>POWER OF ATTORNEY</w:t>
      </w:r>
    </w:p>
    <w:p>
      <w:pPr>
        <w:spacing w:after="0" w:line="35" w:lineRule="exact"/>
        <w:rPr>
          <w:sz w:val="20"/>
          <w:szCs w:val="20"/>
          <w:color w:val="auto"/>
        </w:rPr>
      </w:pPr>
    </w:p>
    <w:p>
      <w:pPr>
        <w:ind w:left="580" w:right="839"/>
        <w:spacing w:after="0" w:line="264"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(i) the Chief Executive Officer of Ardelyx, Inc., a Delaware corporation (the "Company"), who is currently Michael Raab, (ii) the Company's Principal Financial Officer, who is currently Justin Renz,</w:t>
      </w:r>
    </w:p>
    <w:p>
      <w:pPr>
        <w:spacing w:after="0" w:line="3" w:lineRule="exact"/>
        <w:rPr>
          <w:sz w:val="20"/>
          <w:szCs w:val="20"/>
          <w:color w:val="auto"/>
        </w:rPr>
      </w:pPr>
    </w:p>
    <w:p>
      <w:pPr>
        <w:ind w:left="580" w:right="739" w:firstLine="5"/>
        <w:spacing w:after="0" w:line="238" w:lineRule="auto"/>
        <w:tabs>
          <w:tab w:leader="none" w:pos="1282"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the Company's Principal Accounting Officer, who is currently, Joseph Reilly, (iv) the Senior Vice President of Legal, who is currently Shannon Moesaa, and (v) the Chief Legal Officer, who is currently Elizabeth Grammer, and their respective successors, signing singly, with full power of substitution and resubstitution, as the undersigned's true and lawful attorney-in-fact to:</w:t>
      </w:r>
    </w:p>
    <w:p>
      <w:pPr>
        <w:spacing w:after="0" w:line="3" w:lineRule="exact"/>
        <w:rPr>
          <w:sz w:val="20"/>
          <w:szCs w:val="20"/>
          <w:color w:val="auto"/>
        </w:rPr>
      </w:pPr>
    </w:p>
    <w:p>
      <w:pPr>
        <w:ind w:left="580" w:right="1199" w:firstLine="5"/>
        <w:spacing w:after="0" w:line="238" w:lineRule="auto"/>
        <w:tabs>
          <w:tab w:leader="none" w:pos="1165" w:val="left"/>
        </w:tabs>
        <w:numPr>
          <w:ilvl w:val="0"/>
          <w:numId w:val="6"/>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for and on behalf of the undersigned, in the undersigned's capacity as an officer and/or director of the Company,</w:t>
      </w:r>
    </w:p>
    <w:p>
      <w:pPr>
        <w:spacing w:after="0" w:line="1" w:lineRule="exact"/>
        <w:rPr>
          <w:sz w:val="20"/>
          <w:szCs w:val="20"/>
          <w:color w:val="auto"/>
        </w:rPr>
      </w:pPr>
    </w:p>
    <w:p>
      <w:pPr>
        <w:jc w:val="both"/>
        <w:ind w:left="580" w:right="1199" w:firstLine="5"/>
        <w:spacing w:after="0" w:line="238" w:lineRule="auto"/>
        <w:tabs>
          <w:tab w:leader="none" w:pos="1165" w:val="left"/>
        </w:tabs>
        <w:numPr>
          <w:ilvl w:val="0"/>
          <w:numId w:val="7"/>
        </w:numPr>
        <w:rPr>
          <w:rFonts w:ascii="Courier New" w:cs="Courier New" w:eastAsia="Courier New" w:hAnsi="Courier New"/>
          <w:sz w:val="20"/>
          <w:szCs w:val="20"/>
          <w:color w:val="auto"/>
        </w:rPr>
      </w:pPr>
      <w:r>
        <w:rPr>
          <w:rFonts w:ascii="Courier New" w:cs="Courier New" w:eastAsia="Courier New" w:hAnsi="Courier New"/>
          <w:sz w:val="20"/>
          <w:szCs w:val="20"/>
          <w:color w:val="auto"/>
        </w:rPr>
        <w:t>Schedules 13D and 13G in accordance with Section 13 of the Securities Exchange Act of 1934, as amended (the "Exchange Act"), and the rules thereunder, (b) Forms 3, 4 and 5 (including amendments thereto) in accordance with Section 16(a) of Exchange Act and the rules and regulations thereunder, (c) Notices of Proposed Sale of Securities Pursuant to Rule 144 ("Form 144"), in accordance with the requirements of Rule 144 under the Securities Act of 1933, as amended (the "Securities Act") and (d) Form ID, Uniform Application for Access Codes to File on EDGAR;</w:t>
      </w:r>
    </w:p>
    <w:p>
      <w:pPr>
        <w:spacing w:after="0" w:line="4" w:lineRule="exact"/>
        <w:rPr>
          <w:sz w:val="20"/>
          <w:szCs w:val="20"/>
          <w:color w:val="auto"/>
        </w:rPr>
      </w:pPr>
    </w:p>
    <w:p>
      <w:pPr>
        <w:jc w:val="both"/>
        <w:ind w:left="580" w:right="1199" w:firstLine="5"/>
        <w:spacing w:after="0" w:line="238" w:lineRule="auto"/>
        <w:tabs>
          <w:tab w:leader="none" w:pos="1165" w:val="left"/>
        </w:tabs>
        <w:numPr>
          <w:ilvl w:val="0"/>
          <w:numId w:val="8"/>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Schedule 13D, Schedule 13G, Forms 3, 4, 5 or 144 or Form ID, or any amendment thereto, and timely file such forms (including amendments thereto) and application with the United States Securities and Exchange Commission and any stock exchange or similar authority; and</w:t>
      </w:r>
    </w:p>
    <w:p>
      <w:pPr>
        <w:spacing w:after="0" w:line="3" w:lineRule="exact"/>
        <w:rPr>
          <w:rFonts w:ascii="Courier New" w:cs="Courier New" w:eastAsia="Courier New" w:hAnsi="Courier New"/>
          <w:sz w:val="20"/>
          <w:szCs w:val="20"/>
          <w:color w:val="auto"/>
        </w:rPr>
      </w:pPr>
    </w:p>
    <w:p>
      <w:pPr>
        <w:jc w:val="both"/>
        <w:ind w:left="580" w:right="1199" w:firstLine="5"/>
        <w:spacing w:after="0" w:line="238" w:lineRule="auto"/>
        <w:tabs>
          <w:tab w:leader="none" w:pos="1165" w:val="left"/>
        </w:tabs>
        <w:numPr>
          <w:ilvl w:val="0"/>
          <w:numId w:val="8"/>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3" w:lineRule="exact"/>
        <w:rPr>
          <w:rFonts w:ascii="Courier New" w:cs="Courier New" w:eastAsia="Courier New" w:hAnsi="Courier New"/>
          <w:sz w:val="20"/>
          <w:szCs w:val="20"/>
          <w:color w:val="auto"/>
        </w:rPr>
      </w:pPr>
    </w:p>
    <w:p>
      <w:pPr>
        <w:ind w:left="1180"/>
        <w:spacing w:after="0"/>
        <w:rPr>
          <w:rFonts w:ascii="Courier New" w:cs="Courier New" w:eastAsia="Courier New" w:hAnsi="Courier New"/>
          <w:sz w:val="20"/>
          <w:szCs w:val="20"/>
          <w:color w:val="auto"/>
        </w:rPr>
      </w:pPr>
      <w:r>
        <w:rPr>
          <w:rFonts w:ascii="Courier New" w:cs="Courier New" w:eastAsia="Courier New" w:hAnsi="Courier New"/>
          <w:sz w:val="18"/>
          <w:szCs w:val="18"/>
          <w:color w:val="auto"/>
        </w:rPr>
        <w:t>The  undersigned  hereby  grants  to  each  such attorney-in-fact full</w:t>
      </w:r>
    </w:p>
    <w:p>
      <w:pPr>
        <w:spacing w:after="0" w:line="21" w:lineRule="exact"/>
        <w:rPr>
          <w:sz w:val="20"/>
          <w:szCs w:val="20"/>
          <w:color w:val="auto"/>
        </w:rPr>
      </w:pPr>
    </w:p>
    <w:p>
      <w:pPr>
        <w:ind w:right="619"/>
        <w:spacing w:after="0" w:line="238" w:lineRule="auto"/>
        <w:rPr>
          <w:sz w:val="20"/>
          <w:szCs w:val="20"/>
          <w:color w:val="auto"/>
        </w:rPr>
      </w:pPr>
      <w:r>
        <w:rPr>
          <w:rFonts w:ascii="Courier New" w:cs="Courier New" w:eastAsia="Courier New" w:hAnsi="Courier New"/>
          <w:sz w:val="20"/>
          <w:szCs w:val="20"/>
          <w:color w:val="auto"/>
        </w:rPr>
        <w:t>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13 and 16 of the Exchange Act or Rule 144 under the Securities Act.</w:t>
      </w:r>
    </w:p>
    <w:p>
      <w:pPr>
        <w:spacing w:after="0" w:line="5" w:lineRule="exact"/>
        <w:rPr>
          <w:sz w:val="20"/>
          <w:szCs w:val="20"/>
          <w:color w:val="auto"/>
        </w:rPr>
      </w:pPr>
    </w:p>
    <w:p>
      <w:pPr>
        <w:jc w:val="both"/>
        <w:ind w:right="619" w:firstLine="585"/>
        <w:spacing w:after="0" w:line="238" w:lineRule="auto"/>
        <w:rPr>
          <w:sz w:val="20"/>
          <w:szCs w:val="20"/>
          <w:color w:val="auto"/>
        </w:rPr>
      </w:pPr>
      <w:r>
        <w:rPr>
          <w:rFonts w:ascii="Courier New" w:cs="Courier New" w:eastAsia="Courier New" w:hAnsi="Courier New"/>
          <w:sz w:val="20"/>
          <w:szCs w:val="20"/>
          <w:color w:val="auto"/>
        </w:rPr>
        <w:t>The undersigned agrees that each such attorney-in-fact herein may rely entirely on information furnished orally or in writing by the undersigned to such attorney-in-fact. The undersigned also agrees to indemnify and hold harmless the Company and each such attorney-in-fact against any losses, claims, damages or liabilities (or actions in these respects) that arise out of or are based upon any untrue statements or omission of necessary facts in the information provided by the undersigned to such attorney-in fact for purposes of executing, acknowledging, delivering or filing Forms 3, 4, 5 or 144 (including amendments thereto) or Form ID and agrees to reimburse the Company and such attorney-in-fact for any legal or other expenses reasonably incurred in connection with investigating or defending against any such loss, claim, damage, liability or action.</w:t>
      </w:r>
    </w:p>
    <w:p>
      <w:pPr>
        <w:spacing w:after="0" w:line="5" w:lineRule="exact"/>
        <w:rPr>
          <w:sz w:val="20"/>
          <w:szCs w:val="20"/>
          <w:color w:val="auto"/>
        </w:rPr>
      </w:pPr>
    </w:p>
    <w:p>
      <w:pPr>
        <w:jc w:val="both"/>
        <w:ind w:right="619" w:firstLine="585"/>
        <w:spacing w:after="0" w:line="238" w:lineRule="auto"/>
        <w:rPr>
          <w:sz w:val="20"/>
          <w:szCs w:val="20"/>
          <w:color w:val="auto"/>
        </w:rPr>
      </w:pPr>
      <w:r>
        <w:rPr>
          <w:rFonts w:ascii="Courier New" w:cs="Courier New" w:eastAsia="Courier New" w:hAnsi="Courier New"/>
          <w:sz w:val="20"/>
          <w:szCs w:val="20"/>
          <w:color w:val="auto"/>
        </w:rPr>
        <w:t>This Power of Attorney supersedes any power of attorney previously executed by the undersigned regarding the purposes outlined in the first paragraph hereof ("Prior Powers of Attorney"), and the authority of the attorneys-in-fact named in any Prior Powers of Attorney is hereby revoked.</w:t>
      </w:r>
    </w:p>
    <w:p>
      <w:pPr>
        <w:spacing w:after="0" w:line="2" w:lineRule="exact"/>
        <w:rPr>
          <w:sz w:val="20"/>
          <w:szCs w:val="20"/>
          <w:color w:val="auto"/>
        </w:rPr>
      </w:pPr>
    </w:p>
    <w:p>
      <w:pPr>
        <w:jc w:val="both"/>
        <w:ind w:right="619" w:firstLine="585"/>
        <w:spacing w:after="0" w:line="286"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Schedule 13D or 13G and Forms 3, 4, 5 or 144 with respect to the undersigned's holdings of and transactions in securities issued by the Company, unless earlier (a) revoked by the undersigned in a signed writing delivered to the foregoing attorneys-in-fact or (b) superseded by a new power of attorney regarding the purposes outlined in the</w:t>
      </w:r>
    </w:p>
    <w:p>
      <w:pPr>
        <w:sectPr>
          <w:pgSz w:w="11900" w:h="16882" w:orient="portrait"/>
          <w:cols w:equalWidth="0" w:num="1">
            <w:col w:w="9979"/>
          </w:cols>
          <w:pgMar w:left="480" w:top="331"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20"/>
          <w:szCs w:val="20"/>
          <w:color w:val="auto"/>
        </w:rPr>
        <w:t>first paragraph hereof dated as of a later date.</w:t>
      </w:r>
    </w:p>
    <w:p>
      <w:pPr>
        <w:spacing w:after="0" w:line="35" w:lineRule="exact"/>
        <w:rPr>
          <w:sz w:val="20"/>
          <w:szCs w:val="20"/>
          <w:color w:val="auto"/>
        </w:rPr>
      </w:pPr>
    </w:p>
    <w:p>
      <w:pPr>
        <w:ind w:right="959" w:firstLine="585"/>
        <w:spacing w:after="0" w:line="310"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day of October 6, 2025.</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4800"/>
        <w:spacing w:after="0"/>
        <w:rPr>
          <w:sz w:val="20"/>
          <w:szCs w:val="20"/>
          <w:color w:val="auto"/>
        </w:rPr>
      </w:pPr>
      <w:r>
        <w:rPr>
          <w:rFonts w:ascii="Courier New" w:cs="Courier New" w:eastAsia="Courier New" w:hAnsi="Courier New"/>
          <w:sz w:val="20"/>
          <w:szCs w:val="20"/>
          <w:color w:val="auto"/>
        </w:rPr>
        <w:t>/S/ JOHN BISHOP</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4"/>
    </w:lvl>
  </w:abstractNum>
  <w:abstractNum w:abstractNumId="1">
    <w:nsid w:val="46E87CCD"/>
    <w:multiLevelType w:val="hybridMultilevel"/>
    <w:lvl w:ilvl="0">
      <w:lvlJc w:val="left"/>
      <w:lvlText w:val="%1."/>
      <w:numFmt w:val="decimal"/>
      <w:start w:val="5"/>
    </w:lvl>
  </w:abstractNum>
  <w:abstractNum w:abstractNumId="2">
    <w:nsid w:val="3D1B58BA"/>
    <w:multiLevelType w:val="hybridMultilevel"/>
    <w:lvl w:ilvl="0">
      <w:lvlJc w:val="left"/>
      <w:lvlText w:val="%1."/>
      <w:numFmt w:val="decimal"/>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lowerRoman"/>
      <w:start w:val="3"/>
    </w:lvl>
  </w:abstractNum>
  <w:abstractNum w:abstractNumId="5">
    <w:nsid w:val="41B71EFB"/>
    <w:multiLevelType w:val="hybridMultilevel"/>
    <w:lvl w:ilvl="0">
      <w:lvlJc w:val="left"/>
      <w:lvlText w:val="(%1)"/>
      <w:numFmt w:val="decimal"/>
      <w:start w:val="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308911" TargetMode="External"/><Relationship Id="rId11"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2025-10-17T17:22:59Z</dcterms:created>
  <dcterms:modified xsi:type="dcterms:W3CDTF">2025-10-17T17:22:59Z</dcterms:modified>
</cp:coreProperties>
</file>