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375285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jc w:val="center"/>
        <w:ind w:right="-8"/>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48" w:lineRule="exact"/>
        <w:rPr>
          <w:sz w:val="24"/>
          <w:szCs w:val="24"/>
          <w:color w:val="auto"/>
        </w:rPr>
      </w:pPr>
    </w:p>
    <w:p>
      <w:pPr>
        <w:jc w:val="center"/>
        <w:ind w:right="-8"/>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75565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72"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ind w:left="449" w:right="140" w:hanging="449"/>
        <w:spacing w:after="0" w:line="227" w:lineRule="auto"/>
        <w:tabs>
          <w:tab w:leader="none" w:pos="62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49" w:right="120" w:hanging="449"/>
        <w:spacing w:after="0" w:line="235" w:lineRule="auto"/>
        <w:tabs>
          <w:tab w:leader="none" w:pos="62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069"/>
        <w:spacing w:after="0"/>
        <w:tabs>
          <w:tab w:leader="none" w:pos="704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50"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68580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8" w:lineRule="exact"/>
        <w:rPr>
          <w:sz w:val="24"/>
          <w:szCs w:val="24"/>
          <w:color w:val="auto"/>
        </w:rPr>
      </w:pPr>
    </w:p>
    <w:p>
      <w:pPr>
        <w:jc w:val="center"/>
        <w:ind w:right="-8"/>
        <w:spacing w:after="0"/>
        <w:rPr>
          <w:sz w:val="20"/>
          <w:szCs w:val="20"/>
          <w:color w:val="auto"/>
        </w:rPr>
      </w:pPr>
      <w:r>
        <w:rPr>
          <w:rFonts w:ascii="Arial" w:cs="Arial" w:eastAsia="Arial" w:hAnsi="Arial"/>
          <w:sz w:val="29"/>
          <w:szCs w:val="29"/>
          <w:b w:val="1"/>
          <w:bCs w:val="1"/>
          <w:color w:val="auto"/>
        </w:rPr>
        <w:t>ARDELYX, INC.</w:t>
      </w:r>
    </w:p>
    <w:p>
      <w:pPr>
        <w:jc w:val="center"/>
        <w:ind w:right="-8"/>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6" w:lineRule="exact"/>
        <w:rPr>
          <w:sz w:val="24"/>
          <w:szCs w:val="24"/>
          <w:color w:val="auto"/>
        </w:rPr>
      </w:pPr>
    </w:p>
    <w:tbl>
      <w:tblPr>
        <w:tblLayout w:type="fixed"/>
        <w:tblInd w:w="929" w:type="dxa"/>
        <w:tblCellMar>
          <w:top w:w="0" w:type="dxa"/>
          <w:left w:w="0" w:type="dxa"/>
          <w:bottom w:w="0" w:type="dxa"/>
          <w:right w:w="0" w:type="dxa"/>
        </w:tblCellMar>
      </w:tblPr>
      <w:tr>
        <w:trPr>
          <w:trHeight w:val="207"/>
        </w:trPr>
        <w:tc>
          <w:tcPr>
            <w:tcW w:w="4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DELAWARE</w:t>
            </w:r>
          </w:p>
        </w:tc>
        <w:tc>
          <w:tcPr>
            <w:tcW w:w="3460" w:type="dxa"/>
            <w:vAlign w:val="bottom"/>
          </w:tcPr>
          <w:p>
            <w:pPr>
              <w:jc w:val="center"/>
              <w:ind w:left="1070"/>
              <w:spacing w:after="0" w:line="207" w:lineRule="exact"/>
              <w:rPr>
                <w:sz w:val="20"/>
                <w:szCs w:val="20"/>
                <w:color w:val="auto"/>
              </w:rPr>
            </w:pPr>
            <w:r>
              <w:rPr>
                <w:rFonts w:ascii="Arial" w:cs="Arial" w:eastAsia="Arial" w:hAnsi="Arial"/>
                <w:sz w:val="18"/>
                <w:szCs w:val="18"/>
                <w:b w:val="1"/>
                <w:bCs w:val="1"/>
                <w:color w:val="auto"/>
                <w:w w:val="89"/>
              </w:rPr>
              <w:t>26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1303944</w:t>
            </w:r>
          </w:p>
        </w:tc>
      </w:tr>
      <w:tr>
        <w:trPr>
          <w:trHeight w:val="176"/>
        </w:trPr>
        <w:tc>
          <w:tcPr>
            <w:tcW w:w="4620" w:type="dxa"/>
            <w:vAlign w:val="bottom"/>
          </w:tcPr>
          <w:p>
            <w:pPr>
              <w:jc w:val="center"/>
              <w:ind w:right="1070"/>
              <w:spacing w:after="0" w:line="176" w:lineRule="exact"/>
              <w:rPr>
                <w:sz w:val="20"/>
                <w:szCs w:val="20"/>
                <w:color w:val="auto"/>
              </w:rPr>
            </w:pPr>
            <w:r>
              <w:rPr>
                <w:rFonts w:ascii="Arial" w:cs="Arial" w:eastAsia="Arial" w:hAnsi="Arial"/>
                <w:sz w:val="18"/>
                <w:szCs w:val="18"/>
                <w:color w:val="auto"/>
                <w:w w:val="94"/>
              </w:rPr>
              <w:t>(STATE OR OTHER JURISDICTION</w:t>
            </w:r>
          </w:p>
        </w:tc>
        <w:tc>
          <w:tcPr>
            <w:tcW w:w="346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6"/>
              </w:rPr>
              <w:t>(I.R.S. EMPLOYER</w:t>
            </w:r>
          </w:p>
        </w:tc>
      </w:tr>
      <w:tr>
        <w:trPr>
          <w:trHeight w:val="230"/>
        </w:trPr>
        <w:tc>
          <w:tcPr>
            <w:tcW w:w="4620" w:type="dxa"/>
            <w:vAlign w:val="bottom"/>
          </w:tcPr>
          <w:p>
            <w:pPr>
              <w:jc w:val="center"/>
              <w:ind w:right="1070"/>
              <w:spacing w:after="0"/>
              <w:rPr>
                <w:sz w:val="20"/>
                <w:szCs w:val="20"/>
                <w:color w:val="auto"/>
              </w:rPr>
            </w:pPr>
            <w:r>
              <w:rPr>
                <w:rFonts w:ascii="Arial" w:cs="Arial" w:eastAsia="Arial" w:hAnsi="Arial"/>
                <w:sz w:val="18"/>
                <w:szCs w:val="18"/>
                <w:color w:val="auto"/>
                <w:w w:val="95"/>
              </w:rPr>
              <w:t>OF INCORPORATION OR ORGANIZATION)</w:t>
            </w:r>
          </w:p>
        </w:tc>
        <w:tc>
          <w:tcPr>
            <w:tcW w:w="3460" w:type="dxa"/>
            <w:vAlign w:val="bottom"/>
          </w:tcPr>
          <w:p>
            <w:pPr>
              <w:jc w:val="center"/>
              <w:ind w:left="1070"/>
              <w:spacing w:after="0"/>
              <w:rPr>
                <w:sz w:val="20"/>
                <w:szCs w:val="20"/>
                <w:color w:val="auto"/>
              </w:rPr>
            </w:pPr>
            <w:r>
              <w:rPr>
                <w:rFonts w:ascii="Arial" w:cs="Arial" w:eastAsia="Arial" w:hAnsi="Arial"/>
                <w:sz w:val="18"/>
                <w:szCs w:val="18"/>
                <w:color w:val="auto"/>
                <w:w w:val="99"/>
              </w:rPr>
              <w:t>IDENTIFICATION NUMBER)</w:t>
            </w:r>
          </w:p>
        </w:tc>
      </w:tr>
    </w:tbl>
    <w:p>
      <w:pPr>
        <w:spacing w:after="0" w:line="1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34175 Ardenwood Boulevard, Suite 200</w:t>
      </w:r>
    </w:p>
    <w:p>
      <w:pPr>
        <w:jc w:val="center"/>
        <w:ind w:right="-8"/>
        <w:spacing w:after="0" w:line="203" w:lineRule="auto"/>
        <w:rPr>
          <w:sz w:val="20"/>
          <w:szCs w:val="20"/>
          <w:color w:val="auto"/>
        </w:rPr>
      </w:pPr>
      <w:r>
        <w:rPr>
          <w:rFonts w:ascii="Arial" w:cs="Arial" w:eastAsia="Arial" w:hAnsi="Arial"/>
          <w:sz w:val="18"/>
          <w:szCs w:val="18"/>
          <w:b w:val="1"/>
          <w:bCs w:val="1"/>
          <w:color w:val="auto"/>
        </w:rPr>
        <w:t>Fremont, California 94555</w:t>
      </w:r>
    </w:p>
    <w:p>
      <w:pPr>
        <w:jc w:val="center"/>
        <w:ind w:right="-8"/>
        <w:spacing w:after="0"/>
        <w:rPr>
          <w:sz w:val="20"/>
          <w:szCs w:val="20"/>
          <w:color w:val="auto"/>
        </w:rPr>
      </w:pPr>
      <w:r>
        <w:rPr>
          <w:rFonts w:ascii="Arial" w:cs="Arial" w:eastAsia="Arial" w:hAnsi="Arial"/>
          <w:sz w:val="18"/>
          <w:szCs w:val="18"/>
          <w:color w:val="auto"/>
        </w:rPr>
        <w:t>(ADDRESS OF PRINCIPAL EXECUTIVE OFFICES, INCLUDING ZIPCODE)</w:t>
      </w:r>
    </w:p>
    <w:p>
      <w:pPr>
        <w:spacing w:after="0" w:line="18"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jc w:val="center"/>
        <w:ind w:right="-8"/>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43" w:lineRule="exact"/>
        <w:rPr>
          <w:sz w:val="24"/>
          <w:szCs w:val="24"/>
          <w:color w:val="auto"/>
        </w:rPr>
      </w:pPr>
    </w:p>
    <w:p>
      <w:pPr>
        <w:ind w:left="9" w:right="440" w:firstLine="441"/>
        <w:spacing w:after="0" w:line="23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ind w:left="9"/>
        <w:spacing w:after="0" w:line="207" w:lineRule="exact"/>
        <w:tabs>
          <w:tab w:leader="none" w:pos="5068" w:val="left"/>
          <w:tab w:leader="none" w:pos="5708"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40" w:lineRule="exact"/>
        <w:rPr>
          <w:sz w:val="24"/>
          <w:szCs w:val="24"/>
          <w:color w:val="auto"/>
        </w:rPr>
      </w:pPr>
    </w:p>
    <w:p>
      <w:pPr>
        <w:ind w:left="9" w:right="140" w:firstLine="441"/>
        <w:spacing w:after="0" w:line="235"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w:t>
      </w:r>
    </w:p>
    <w:p>
      <w:pPr>
        <w:ind w:left="9"/>
        <w:spacing w:after="0" w:line="207" w:lineRule="exact"/>
        <w:tabs>
          <w:tab w:leader="none" w:pos="7328" w:val="left"/>
          <w:tab w:leader="none" w:pos="7968" w:val="left"/>
        </w:tabs>
        <w:rPr>
          <w:sz w:val="20"/>
          <w:szCs w:val="20"/>
          <w:color w:val="auto"/>
        </w:rPr>
      </w:pPr>
      <w:r>
        <w:rPr>
          <w:rFonts w:ascii="Arial" w:cs="Arial" w:eastAsia="Arial" w:hAnsi="Arial"/>
          <w:sz w:val="17"/>
          <w:szCs w:val="17"/>
          <w:color w:val="auto"/>
        </w:rPr>
        <w:t>12 months (or for such shorter 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0" w:lineRule="exact"/>
        <w:rPr>
          <w:sz w:val="24"/>
          <w:szCs w:val="24"/>
          <w:color w:val="auto"/>
        </w:rPr>
      </w:pPr>
    </w:p>
    <w:p>
      <w:pPr>
        <w:ind w:left="9" w:right="440" w:firstLine="441"/>
        <w:spacing w:after="0" w:line="194"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2" w:lineRule="exact"/>
        <w:rPr>
          <w:sz w:val="24"/>
          <w:szCs w:val="24"/>
          <w:color w:val="auto"/>
        </w:rPr>
      </w:pPr>
    </w:p>
    <w:tbl>
      <w:tblPr>
        <w:tblLayout w:type="fixed"/>
        <w:tblInd w:w="9" w:type="dxa"/>
        <w:tblCellMar>
          <w:top w:w="0" w:type="dxa"/>
          <w:left w:w="0" w:type="dxa"/>
          <w:bottom w:w="0" w:type="dxa"/>
          <w:right w:w="0" w:type="dxa"/>
        </w:tblCellMar>
      </w:tblPr>
      <w:tr>
        <w:trPr>
          <w:trHeight w:val="250"/>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450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4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ind w:left="9" w:right="700" w:firstLine="441"/>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449"/>
        <w:spacing w:after="0" w:line="207" w:lineRule="exact"/>
        <w:tabs>
          <w:tab w:leader="none" w:pos="8768" w:val="left"/>
          <w:tab w:leader="none" w:pos="9428"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6" w:lineRule="exact"/>
        <w:rPr>
          <w:sz w:val="24"/>
          <w:szCs w:val="24"/>
          <w:color w:val="auto"/>
        </w:rPr>
      </w:pPr>
    </w:p>
    <w:p>
      <w:pPr>
        <w:ind w:left="9" w:firstLine="324"/>
        <w:spacing w:after="0" w:line="231" w:lineRule="auto"/>
        <w:rPr>
          <w:sz w:val="20"/>
          <w:szCs w:val="20"/>
          <w:color w:val="auto"/>
        </w:rPr>
      </w:pPr>
      <w:r>
        <w:rPr>
          <w:rFonts w:ascii="Arial" w:cs="Arial" w:eastAsia="Arial" w:hAnsi="Arial"/>
          <w:sz w:val="18"/>
          <w:szCs w:val="18"/>
          <w:color w:val="auto"/>
        </w:rPr>
        <w:t>The number of issued and outstanding shares of the registrant’s Common Stock, $0.0001 par value per share, as of May 3, 2018, was 47,603,568.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377190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220"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vMerge w:val="restart"/>
          </w:tcPr>
          <w:p>
            <w:pPr>
              <w:spacing w:after="0"/>
              <w:rPr>
                <w:sz w:val="14"/>
                <w:szCs w:val="14"/>
                <w:color w:val="auto"/>
              </w:rPr>
            </w:pPr>
          </w:p>
        </w:tc>
        <w:tc>
          <w:tcPr>
            <w:tcW w:w="5860" w:type="dxa"/>
            <w:vAlign w:val="bottom"/>
            <w:gridSpan w:val="14"/>
            <w:vMerge w:val="restart"/>
          </w:tcPr>
          <w:p>
            <w:pPr>
              <w:jc w:val="center"/>
              <w:ind w:right="28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60" w:type="dxa"/>
            <w:vAlign w:val="bottom"/>
            <w:gridSpan w:val="14"/>
            <w:vMerge w:val="continue"/>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 Condensed Consolidated Financial Statements</w:t>
              </w:r>
            </w:hyperlink>
          </w:p>
        </w:tc>
        <w:tc>
          <w:tcPr>
            <w:tcW w:w="4580" w:type="dxa"/>
            <w:vAlign w:val="bottom"/>
            <w:gridSpan w:val="10"/>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20" w:type="dxa"/>
            <w:vAlign w:val="bottom"/>
            <w:gridSpan w:val="23"/>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Balance Sheets as of March 31, 2018 (unaudited) and December 31, 2017</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160" w:type="dxa"/>
            <w:vAlign w:val="bottom"/>
            <w:tcBorders>
              <w:top w:val="single" w:sz="8" w:color="0000EE"/>
            </w:tcBorders>
            <w:gridSpan w:val="20"/>
          </w:tcPr>
          <w:p>
            <w:pPr>
              <w:spacing w:after="0" w:line="15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for the three months</w:t>
              </w:r>
            </w:hyperlink>
          </w:p>
        </w:tc>
        <w:tc>
          <w:tcPr>
            <w:tcW w:w="860" w:type="dxa"/>
            <w:vAlign w:val="bottom"/>
            <w:gridSpan w:val="3"/>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ended</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730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March 31, 2018 and 2017 (unaudited)</w:t>
              </w:r>
            </w:hyperlink>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EE"/>
            </w:tcBorders>
            <w:gridSpan w:val="10"/>
          </w:tcPr>
          <w:p>
            <w:pPr>
              <w:spacing w:after="0" w:line="15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Condensed Consolidated Statements of</w:t>
              </w:r>
            </w:hyperlink>
          </w:p>
        </w:tc>
        <w:tc>
          <w:tcPr>
            <w:tcW w:w="5080" w:type="dxa"/>
            <w:vAlign w:val="bottom"/>
            <w:gridSpan w:val="11"/>
          </w:tcPr>
          <w:p>
            <w:pPr>
              <w:spacing w:after="0" w:line="15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Cash Flows for the three months ended March 31, 2018 and 2017</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4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6560" w:type="dxa"/>
            <w:vAlign w:val="bottom"/>
            <w:tcBorders>
              <w:top w:val="single" w:sz="8" w:color="0000EE"/>
            </w:tcBorders>
            <w:gridSpan w:val="17"/>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314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Item 2. Management’s Discussion and Analysis of Financial Condition and Results of Operations</w:t>
              </w:r>
            </w:hyperlink>
          </w:p>
        </w:tc>
        <w:tc>
          <w:tcPr>
            <w:tcW w:w="158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368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8600" w:type="dxa"/>
            <w:vAlign w:val="bottom"/>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31"/>
        </w:trPr>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29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1. Legal Proceedings</w:t>
              </w:r>
            </w:hyperlink>
          </w:p>
        </w:tc>
        <w:tc>
          <w:tcPr>
            <w:tcW w:w="6700" w:type="dxa"/>
            <w:vAlign w:val="bottom"/>
            <w:gridSpan w:val="1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Risk Factors</w:t>
              </w:r>
            </w:hyperlink>
          </w:p>
        </w:tc>
        <w:tc>
          <w:tcPr>
            <w:tcW w:w="7000" w:type="dxa"/>
            <w:vAlign w:val="bottom"/>
            <w:gridSpan w:val="1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600" w:type="dxa"/>
            <w:vAlign w:val="bottom"/>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2. Unregistered Sales of Equity Securities and Use of Proceeds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3. Defaults Upon Senior Securities</w:t>
              </w:r>
            </w:hyperlink>
          </w:p>
        </w:tc>
        <w:tc>
          <w:tcPr>
            <w:tcW w:w="370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4. Mine Safety Disclosures</w:t>
              </w:r>
            </w:hyperlink>
          </w:p>
        </w:tc>
        <w:tc>
          <w:tcPr>
            <w:tcW w:w="572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17"/>
                <w:szCs w:val="17"/>
                <w:color w:val="auto"/>
              </w:rPr>
            </w:pPr>
          </w:p>
        </w:tc>
        <w:tc>
          <w:tcPr>
            <w:tcW w:w="628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Item 6. Exhibits</w:t>
              </w:r>
            </w:hyperlink>
          </w:p>
        </w:tc>
        <w:tc>
          <w:tcPr>
            <w:tcW w:w="744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8600" w:type="dxa"/>
            <w:vAlign w:val="bottom"/>
            <w:gridSpan w:val="2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642"/>
        </w:trPr>
        <w:tc>
          <w:tcPr>
            <w:tcW w:w="760" w:type="dxa"/>
            <w:vAlign w:val="bottom"/>
            <w:tcBorders>
              <w:top w:val="single" w:sz="8" w:color="0000EE"/>
            </w:tcBorders>
            <w:gridSpan w:val="2"/>
          </w:tcPr>
          <w:p>
            <w:pPr>
              <w:spacing w:after="0"/>
              <w:rPr>
                <w:sz w:val="24"/>
                <w:szCs w:val="24"/>
                <w:color w:val="auto"/>
              </w:rPr>
            </w:pPr>
          </w:p>
        </w:tc>
        <w:tc>
          <w:tcPr>
            <w:tcW w:w="4140" w:type="dxa"/>
            <w:vAlign w:val="bottom"/>
            <w:gridSpan w:val="13"/>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6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7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jc w:val="center"/>
              <w:ind w:right="30"/>
              <w:spacing w:after="0"/>
              <w:rPr>
                <w:sz w:val="20"/>
                <w:szCs w:val="20"/>
                <w:color w:val="auto"/>
              </w:rPr>
            </w:pPr>
            <w:r>
              <w:rPr>
                <w:rFonts w:ascii="Arial" w:cs="Arial" w:eastAsia="Arial" w:hAnsi="Arial"/>
                <w:sz w:val="18"/>
                <w:szCs w:val="18"/>
                <w:b w:val="1"/>
                <w:bCs w:val="1"/>
                <w:color w:val="auto"/>
              </w:rPr>
              <w:t>ARDELYX,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71"/>
              <w:spacing w:after="0" w:line="129"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line="176" w:lineRule="exact"/>
              <w:rPr>
                <w:sz w:val="20"/>
                <w:szCs w:val="20"/>
                <w:color w:val="auto"/>
              </w:rPr>
            </w:pPr>
            <w:r>
              <w:rPr>
                <w:rFonts w:ascii="Arial" w:cs="Arial" w:eastAsia="Arial" w:hAnsi="Arial"/>
                <w:sz w:val="18"/>
                <w:szCs w:val="18"/>
                <w:color w:val="auto"/>
                <w:w w:val="93"/>
              </w:rPr>
              <w:t>Current assets: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67,745</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75,383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59,704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58,593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10,796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Unbilled license revenue</w:t>
            </w: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4,940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gridSpan w:val="4"/>
          </w:tcPr>
          <w:p>
            <w:pPr>
              <w:ind w:left="320"/>
              <w:spacing w:after="0" w:line="170"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8"/>
                <w:szCs w:val="18"/>
                <w:color w:val="auto"/>
              </w:rPr>
              <w:t>135,320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149,712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8,032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159</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Borders>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w w:val="84"/>
              </w:rPr>
              <w:t>Total assets</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142,837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157,903</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900" w:type="dxa"/>
            <w:vAlign w:val="bottom"/>
            <w:gridSpan w:val="4"/>
          </w:tcPr>
          <w:p>
            <w:pPr>
              <w:spacing w:after="0" w:line="163"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1,761</w:t>
            </w:r>
          </w:p>
        </w:tc>
        <w:tc>
          <w:tcPr>
            <w:tcW w:w="100" w:type="dxa"/>
            <w:vAlign w:val="bottom"/>
          </w:tcPr>
          <w:p>
            <w:pPr>
              <w:spacing w:after="0"/>
              <w:rPr>
                <w:sz w:val="15"/>
                <w:szCs w:val="15"/>
                <w:color w:val="auto"/>
              </w:rPr>
            </w:pPr>
          </w:p>
        </w:tc>
        <w:tc>
          <w:tcPr>
            <w:tcW w:w="24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3,933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Uncharged license fees</w:t>
            </w: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Accrued and other liabilities</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8,784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10,709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gridSpan w:val="4"/>
          </w:tcPr>
          <w:p>
            <w:pPr>
              <w:ind w:left="320"/>
              <w:spacing w:after="0" w:line="170"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8"/>
                <w:szCs w:val="18"/>
                <w:color w:val="auto"/>
              </w:rPr>
              <w:t>13,162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17,871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tcBorders>
              <w:bottom w:val="single" w:sz="8" w:color="CCEEFF"/>
            </w:tcBorders>
            <w:gridSpan w:val="4"/>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13,861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18,591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gridSpan w:val="4"/>
          </w:tcPr>
          <w:p>
            <w:pPr>
              <w:spacing w:after="0" w:line="176"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90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7"/>
                <w:szCs w:val="17"/>
                <w:color w:val="auto"/>
              </w:rPr>
              <w:t>Preferred stock, $0.0001 par value; 5,000,000 shares authorized; no shares issued and</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outstanding as of March 31, 2018 and December 31, 2017, respectively.</w:t>
            </w: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900" w:type="dxa"/>
            <w:vAlign w:val="bottom"/>
            <w:gridSpan w:val="4"/>
          </w:tcPr>
          <w:p>
            <w:pPr>
              <w:ind w:left="120"/>
              <w:spacing w:after="0" w:line="149" w:lineRule="exact"/>
              <w:rPr>
                <w:sz w:val="20"/>
                <w:szCs w:val="20"/>
                <w:color w:val="auto"/>
              </w:rPr>
            </w:pPr>
            <w:r>
              <w:rPr>
                <w:rFonts w:ascii="Arial" w:cs="Arial" w:eastAsia="Arial" w:hAnsi="Arial"/>
                <w:sz w:val="17"/>
                <w:szCs w:val="17"/>
                <w:color w:val="auto"/>
              </w:rPr>
              <w:t>Common stock, $0.0001 par value; 300,000,000 shares authorized; 47,603,568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900" w:type="dxa"/>
            <w:vAlign w:val="bottom"/>
            <w:gridSpan w:val="4"/>
          </w:tcPr>
          <w:p>
            <w:pPr>
              <w:ind w:left="120"/>
              <w:spacing w:after="0" w:line="176" w:lineRule="exact"/>
              <w:rPr>
                <w:sz w:val="20"/>
                <w:szCs w:val="20"/>
                <w:color w:val="auto"/>
              </w:rPr>
            </w:pPr>
            <w:r>
              <w:rPr>
                <w:rFonts w:ascii="Arial" w:cs="Arial" w:eastAsia="Arial" w:hAnsi="Arial"/>
                <w:sz w:val="18"/>
                <w:szCs w:val="18"/>
                <w:color w:val="auto"/>
                <w:w w:val="94"/>
              </w:rPr>
              <w:t>47,534,979 shares issued and outstanding as of March 31, 2018 and December 31, 2017,</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120"/>
              <w:spacing w:after="0" w:line="202" w:lineRule="exact"/>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420,294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417,568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(291,232)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5"/>
              </w:rPr>
              <w:t>(278,214)</w:t>
            </w:r>
          </w:p>
        </w:tc>
        <w:tc>
          <w:tcPr>
            <w:tcW w:w="0" w:type="dxa"/>
            <w:vAlign w:val="bottom"/>
          </w:tcPr>
          <w:p>
            <w:pPr>
              <w:spacing w:after="0"/>
              <w:rPr>
                <w:sz w:val="1"/>
                <w:szCs w:val="1"/>
                <w:color w:val="auto"/>
              </w:rPr>
            </w:pPr>
          </w:p>
        </w:tc>
      </w:tr>
      <w:tr>
        <w:trPr>
          <w:trHeight w:val="176"/>
        </w:trPr>
        <w:tc>
          <w:tcPr>
            <w:tcW w:w="69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69"/>
        </w:trPr>
        <w:tc>
          <w:tcPr>
            <w:tcW w:w="6900" w:type="dxa"/>
            <w:vAlign w:val="bottom"/>
            <w:tcBorders>
              <w:bottom w:val="single" w:sz="8" w:color="CCEEFF"/>
            </w:tcBorders>
            <w:gridSpan w:val="4"/>
          </w:tcPr>
          <w:p>
            <w:pPr>
              <w:spacing w:after="0" w:line="170"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128,976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139,312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tcBorders>
              <w:bottom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142,837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157,903</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7"/>
        <w:spacing w:after="0" w:line="203" w:lineRule="exact"/>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68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1"/>
                <w:szCs w:val="11"/>
                <w:color w:val="auto"/>
              </w:rPr>
            </w:pPr>
          </w:p>
        </w:tc>
      </w:tr>
      <w:tr>
        <w:trPr>
          <w:trHeight w:val="169"/>
        </w:trPr>
        <w:tc>
          <w:tcPr>
            <w:tcW w:w="6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rPr>
              <w:t>Licensing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80" w:type="dxa"/>
            <w:vAlign w:val="bottom"/>
          </w:tcPr>
          <w:p>
            <w:pPr>
              <w:spacing w:after="0"/>
              <w:rPr>
                <w:sz w:val="15"/>
                <w:szCs w:val="15"/>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76"/>
        </w:trPr>
        <w:tc>
          <w:tcPr>
            <w:tcW w:w="6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69"/>
        </w:trPr>
        <w:tc>
          <w:tcPr>
            <w:tcW w:w="680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1,856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4"/>
                <w:szCs w:val="14"/>
                <w:color w:val="auto"/>
              </w:rPr>
            </w:pPr>
          </w:p>
        </w:tc>
      </w:tr>
      <w:tr>
        <w:trPr>
          <w:trHeight w:val="169"/>
        </w:trPr>
        <w:tc>
          <w:tcPr>
            <w:tcW w:w="6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13,350</w:t>
            </w:r>
          </w:p>
        </w:tc>
        <w:tc>
          <w:tcPr>
            <w:tcW w:w="80" w:type="dxa"/>
            <w:vAlign w:val="bottom"/>
          </w:tcPr>
          <w:p>
            <w:pPr>
              <w:spacing w:after="0"/>
              <w:rPr>
                <w:sz w:val="15"/>
                <w:szCs w:val="15"/>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22,387</w:t>
            </w:r>
          </w:p>
        </w:tc>
        <w:tc>
          <w:tcPr>
            <w:tcW w:w="40" w:type="dxa"/>
            <w:vAlign w:val="bottom"/>
          </w:tcPr>
          <w:p>
            <w:pPr>
              <w:spacing w:after="0"/>
              <w:rPr>
                <w:sz w:val="15"/>
                <w:szCs w:val="15"/>
                <w:color w:val="auto"/>
              </w:rPr>
            </w:pPr>
          </w:p>
        </w:tc>
      </w:tr>
      <w:tr>
        <w:trPr>
          <w:trHeight w:val="176"/>
        </w:trPr>
        <w:tc>
          <w:tcPr>
            <w:tcW w:w="6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6,047</w:t>
            </w:r>
          </w:p>
        </w:tc>
        <w:tc>
          <w:tcPr>
            <w:tcW w:w="40" w:type="dxa"/>
            <w:vAlign w:val="bottom"/>
            <w:shd w:val="clear" w:color="auto" w:fill="CCEEFF"/>
          </w:tcPr>
          <w:p>
            <w:pPr>
              <w:spacing w:after="0"/>
              <w:rPr>
                <w:sz w:val="15"/>
                <w:szCs w:val="15"/>
                <w:color w:val="auto"/>
              </w:rPr>
            </w:pPr>
          </w:p>
        </w:tc>
      </w:tr>
      <w:tr>
        <w:trPr>
          <w:trHeight w:val="169"/>
        </w:trPr>
        <w:tc>
          <w:tcPr>
            <w:tcW w:w="680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19,541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28,434</w:t>
            </w:r>
          </w:p>
        </w:tc>
        <w:tc>
          <w:tcPr>
            <w:tcW w:w="40" w:type="dxa"/>
            <w:vAlign w:val="bottom"/>
            <w:tcBorders>
              <w:bottom w:val="single" w:sz="8" w:color="CCEEFF"/>
            </w:tcBorders>
          </w:tcPr>
          <w:p>
            <w:pPr>
              <w:spacing w:after="0"/>
              <w:rPr>
                <w:sz w:val="14"/>
                <w:szCs w:val="14"/>
                <w:color w:val="auto"/>
              </w:rPr>
            </w:pPr>
          </w:p>
        </w:tc>
      </w:tr>
      <w:tr>
        <w:trPr>
          <w:trHeight w:val="169"/>
        </w:trPr>
        <w:tc>
          <w:tcPr>
            <w:tcW w:w="680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(17,685)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(28,434)</w:t>
            </w:r>
          </w:p>
        </w:tc>
        <w:tc>
          <w:tcPr>
            <w:tcW w:w="40" w:type="dxa"/>
            <w:vAlign w:val="bottom"/>
            <w:shd w:val="clear" w:color="auto" w:fill="CCEEFF"/>
          </w:tcPr>
          <w:p>
            <w:pPr>
              <w:spacing w:after="0"/>
              <w:rPr>
                <w:sz w:val="14"/>
                <w:szCs w:val="14"/>
                <w:color w:val="auto"/>
              </w:rPr>
            </w:pPr>
          </w:p>
        </w:tc>
      </w:tr>
      <w:tr>
        <w:trPr>
          <w:trHeight w:val="176"/>
        </w:trPr>
        <w:tc>
          <w:tcPr>
            <w:tcW w:w="68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670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426</w:t>
            </w:r>
          </w:p>
        </w:tc>
        <w:tc>
          <w:tcPr>
            <w:tcW w:w="40" w:type="dxa"/>
            <w:vAlign w:val="bottom"/>
            <w:tcBorders>
              <w:bottom w:val="single" w:sz="8" w:color="CCEEFF"/>
            </w:tcBorders>
          </w:tcPr>
          <w:p>
            <w:pPr>
              <w:spacing w:after="0"/>
              <w:rPr>
                <w:sz w:val="15"/>
                <w:szCs w:val="15"/>
                <w:color w:val="auto"/>
              </w:rPr>
            </w:pPr>
          </w:p>
        </w:tc>
      </w:tr>
      <w:tr>
        <w:trPr>
          <w:trHeight w:val="169"/>
        </w:trPr>
        <w:tc>
          <w:tcPr>
            <w:tcW w:w="6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(17,015)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(28,008)</w:t>
            </w:r>
          </w:p>
        </w:tc>
        <w:tc>
          <w:tcPr>
            <w:tcW w:w="40" w:type="dxa"/>
            <w:vAlign w:val="bottom"/>
            <w:shd w:val="clear" w:color="auto" w:fill="CCEEFF"/>
          </w:tcPr>
          <w:p>
            <w:pPr>
              <w:spacing w:after="0"/>
              <w:rPr>
                <w:sz w:val="14"/>
                <w:szCs w:val="14"/>
                <w:color w:val="auto"/>
              </w:rPr>
            </w:pPr>
          </w:p>
        </w:tc>
      </w:tr>
      <w:tr>
        <w:trPr>
          <w:trHeight w:val="176"/>
        </w:trPr>
        <w:tc>
          <w:tcPr>
            <w:tcW w:w="6800" w:type="dxa"/>
            <w:vAlign w:val="bottom"/>
          </w:tcPr>
          <w:p>
            <w:pPr>
              <w:spacing w:after="0" w:line="176"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89"/>
        </w:trPr>
        <w:tc>
          <w:tcPr>
            <w:tcW w:w="68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(17,019)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(28,008)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0"/>
        </w:trPr>
        <w:tc>
          <w:tcPr>
            <w:tcW w:w="680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(0.36)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(0.59)</w:t>
            </w:r>
          </w:p>
        </w:tc>
        <w:tc>
          <w:tcPr>
            <w:tcW w:w="40" w:type="dxa"/>
            <w:vAlign w:val="bottom"/>
            <w:tcBorders>
              <w:bottom w:val="single" w:sz="8" w:color="CCEEFF"/>
            </w:tcBorders>
          </w:tcPr>
          <w:p>
            <w:pPr>
              <w:spacing w:after="0"/>
              <w:rPr>
                <w:sz w:val="14"/>
                <w:szCs w:val="14"/>
                <w:color w:val="auto"/>
              </w:rPr>
            </w:pPr>
          </w:p>
        </w:tc>
      </w:tr>
      <w:tr>
        <w:trPr>
          <w:trHeight w:val="196"/>
        </w:trPr>
        <w:tc>
          <w:tcPr>
            <w:tcW w:w="6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Shares used in computing net loss per share - basic and diluted</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47,559,366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47,343,234</w:t>
            </w:r>
          </w:p>
        </w:tc>
        <w:tc>
          <w:tcPr>
            <w:tcW w:w="40" w:type="dxa"/>
            <w:vAlign w:val="bottom"/>
            <w:tcBorders>
              <w:bottom w:val="single" w:sz="8" w:color="CCEEFF"/>
            </w:tcBorders>
            <w:shd w:val="clear" w:color="auto" w:fill="CCEEFF"/>
          </w:tcPr>
          <w:p>
            <w:pPr>
              <w:spacing w:after="0"/>
              <w:rPr>
                <w:sz w:val="17"/>
                <w:szCs w:val="17"/>
                <w:color w:val="auto"/>
              </w:rPr>
            </w:pPr>
          </w:p>
        </w:tc>
      </w:tr>
      <w:tr>
        <w:trPr>
          <w:trHeight w:val="163"/>
        </w:trPr>
        <w:tc>
          <w:tcPr>
            <w:tcW w:w="6800" w:type="dxa"/>
            <w:vAlign w:val="bottom"/>
          </w:tcPr>
          <w:p>
            <w:pPr>
              <w:spacing w:after="0" w:line="163" w:lineRule="exact"/>
              <w:rPr>
                <w:sz w:val="20"/>
                <w:szCs w:val="20"/>
                <w:color w:val="auto"/>
              </w:rPr>
            </w:pPr>
            <w:r>
              <w:rPr>
                <w:rFonts w:ascii="Arial" w:cs="Arial" w:eastAsia="Arial" w:hAnsi="Arial"/>
                <w:sz w:val="18"/>
                <w:szCs w:val="18"/>
                <w:b w:val="1"/>
                <w:bCs w:val="1"/>
                <w:color w:val="auto"/>
              </w:rPr>
              <w:t>Comprehensive loss: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6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(17,019)</w:t>
            </w:r>
          </w:p>
        </w:tc>
        <w:tc>
          <w:tcPr>
            <w:tcW w:w="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(28,008)</w:t>
            </w:r>
          </w:p>
        </w:tc>
      </w:tr>
      <w:tr>
        <w:trPr>
          <w:trHeight w:val="176"/>
        </w:trPr>
        <w:tc>
          <w:tcPr>
            <w:tcW w:w="6800" w:type="dxa"/>
            <w:vAlign w:val="bottom"/>
          </w:tcPr>
          <w:p>
            <w:pPr>
              <w:spacing w:after="0" w:line="176" w:lineRule="exact"/>
              <w:rPr>
                <w:sz w:val="20"/>
                <w:szCs w:val="20"/>
                <w:color w:val="auto"/>
              </w:rPr>
            </w:pPr>
            <w:r>
              <w:rPr>
                <w:rFonts w:ascii="Arial" w:cs="Arial" w:eastAsia="Arial" w:hAnsi="Arial"/>
                <w:sz w:val="18"/>
                <w:szCs w:val="18"/>
                <w:color w:val="auto"/>
              </w:rPr>
              <w:t>Unrealized (loss) gain on available-for-sale securities, net of tax</w:t>
            </w:r>
          </w:p>
        </w:tc>
        <w:tc>
          <w:tcPr>
            <w:tcW w:w="100" w:type="dxa"/>
            <w:vAlign w:val="bottom"/>
          </w:tcPr>
          <w:p>
            <w:pPr>
              <w:spacing w:after="0"/>
              <w:rPr>
                <w:sz w:val="15"/>
                <w:szCs w:val="15"/>
                <w:color w:val="auto"/>
              </w:rPr>
            </w:pPr>
          </w:p>
        </w:tc>
        <w:tc>
          <w:tcPr>
            <w:tcW w:w="10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5"/>
                <w:szCs w:val="15"/>
                <w:color w:val="auto"/>
              </w:rPr>
            </w:pPr>
          </w:p>
        </w:tc>
      </w:tr>
      <w:tr>
        <w:trPr>
          <w:trHeight w:val="176"/>
        </w:trPr>
        <w:tc>
          <w:tcPr>
            <w:tcW w:w="68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(17,063)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(27,985)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ind w:left="772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70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1"/>
              <w:spacing w:after="0" w:line="136"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1"/>
              <w:spacing w:after="0" w:line="136" w:lineRule="exact"/>
              <w:rPr>
                <w:sz w:val="20"/>
                <w:szCs w:val="20"/>
                <w:color w:val="auto"/>
              </w:rPr>
            </w:pPr>
            <w:r>
              <w:rPr>
                <w:rFonts w:ascii="Arial" w:cs="Arial" w:eastAsia="Arial" w:hAnsi="Arial"/>
                <w:sz w:val="14"/>
                <w:szCs w:val="14"/>
                <w:b w:val="1"/>
                <w:bCs w:val="1"/>
                <w:color w:val="auto"/>
              </w:rPr>
              <w:t>2017</w:t>
            </w:r>
          </w:p>
        </w:tc>
      </w:tr>
      <w:tr>
        <w:trPr>
          <w:trHeight w:val="169"/>
        </w:trPr>
        <w:tc>
          <w:tcPr>
            <w:tcW w:w="70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6"/>
        </w:trPr>
        <w:tc>
          <w:tcPr>
            <w:tcW w:w="7020" w:type="dxa"/>
            <w:vAlign w:val="bottom"/>
          </w:tcPr>
          <w:p>
            <w:pPr>
              <w:ind w:left="220"/>
              <w:spacing w:after="0" w:line="176" w:lineRule="exact"/>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(17,019)</w:t>
            </w:r>
          </w:p>
        </w:tc>
        <w:tc>
          <w:tcPr>
            <w:tcW w:w="30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(28,008)</w:t>
            </w:r>
          </w:p>
        </w:tc>
      </w:tr>
      <w:tr>
        <w:trPr>
          <w:trHeight w:val="176"/>
        </w:trPr>
        <w:tc>
          <w:tcPr>
            <w:tcW w:w="7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76"/>
        </w:trPr>
        <w:tc>
          <w:tcPr>
            <w:tcW w:w="7020" w:type="dxa"/>
            <w:vAlign w:val="bottom"/>
          </w:tcPr>
          <w:p>
            <w:pPr>
              <w:ind w:left="320"/>
              <w:spacing w:after="0" w:line="176" w:lineRule="exact"/>
              <w:rPr>
                <w:sz w:val="20"/>
                <w:szCs w:val="20"/>
                <w:color w:val="auto"/>
              </w:rPr>
            </w:pPr>
            <w:r>
              <w:rPr>
                <w:rFonts w:ascii="Arial" w:cs="Arial" w:eastAsia="Arial" w:hAnsi="Arial"/>
                <w:sz w:val="18"/>
                <w:szCs w:val="18"/>
                <w:color w:val="auto"/>
              </w:rPr>
              <w:t>Depreciation expense</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594</w:t>
            </w:r>
          </w:p>
        </w:tc>
      </w:tr>
      <w:tr>
        <w:trPr>
          <w:trHeight w:val="176"/>
        </w:trPr>
        <w:tc>
          <w:tcPr>
            <w:tcW w:w="7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r>
      <w:tr>
        <w:trPr>
          <w:trHeight w:val="176"/>
        </w:trPr>
        <w:tc>
          <w:tcPr>
            <w:tcW w:w="7020" w:type="dxa"/>
            <w:vAlign w:val="bottom"/>
          </w:tcPr>
          <w:p>
            <w:pPr>
              <w:ind w:left="320"/>
              <w:spacing w:after="0" w:line="176" w:lineRule="exact"/>
              <w:rPr>
                <w:sz w:val="20"/>
                <w:szCs w:val="20"/>
                <w:color w:val="auto"/>
              </w:rPr>
            </w:pPr>
            <w:r>
              <w:rPr>
                <w:rFonts w:ascii="Arial" w:cs="Arial" w:eastAsia="Arial" w:hAnsi="Arial"/>
                <w:sz w:val="18"/>
                <w:szCs w:val="18"/>
                <w:color w:val="auto"/>
              </w:rPr>
              <w:t>Amortization of deferred compensation for services</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46</w:t>
            </w:r>
          </w:p>
        </w:tc>
      </w:tr>
      <w:tr>
        <w:trPr>
          <w:trHeight w:val="176"/>
        </w:trPr>
        <w:tc>
          <w:tcPr>
            <w:tcW w:w="7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premium on investment securities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r>
      <w:tr>
        <w:trPr>
          <w:trHeight w:val="176"/>
        </w:trPr>
        <w:tc>
          <w:tcPr>
            <w:tcW w:w="7020" w:type="dxa"/>
            <w:vAlign w:val="bottom"/>
          </w:tcPr>
          <w:p>
            <w:pPr>
              <w:ind w:left="320"/>
              <w:spacing w:after="0" w:line="176"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2,425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2,109</w:t>
            </w:r>
          </w:p>
        </w:tc>
      </w:tr>
      <w:tr>
        <w:trPr>
          <w:trHeight w:val="176"/>
        </w:trPr>
        <w:tc>
          <w:tcPr>
            <w:tcW w:w="7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76"/>
        </w:trPr>
        <w:tc>
          <w:tcPr>
            <w:tcW w:w="7020" w:type="dxa"/>
            <w:vAlign w:val="bottom"/>
          </w:tcPr>
          <w:p>
            <w:pPr>
              <w:ind w:left="540"/>
              <w:spacing w:after="0" w:line="176" w:lineRule="exact"/>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10,796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70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(2,228)</w:t>
            </w:r>
          </w:p>
        </w:tc>
      </w:tr>
      <w:tr>
        <w:trPr>
          <w:trHeight w:val="176"/>
        </w:trPr>
        <w:tc>
          <w:tcPr>
            <w:tcW w:w="7020" w:type="dxa"/>
            <w:vAlign w:val="bottom"/>
          </w:tcPr>
          <w:p>
            <w:pPr>
              <w:ind w:left="540"/>
              <w:spacing w:after="0" w:line="176"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(2,117)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858</w:t>
            </w:r>
          </w:p>
        </w:tc>
      </w:tr>
      <w:tr>
        <w:trPr>
          <w:trHeight w:val="176"/>
        </w:trPr>
        <w:tc>
          <w:tcPr>
            <w:tcW w:w="70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(1,305)</w:t>
            </w:r>
          </w:p>
        </w:tc>
      </w:tr>
      <w:tr>
        <w:trPr>
          <w:trHeight w:val="176"/>
        </w:trPr>
        <w:tc>
          <w:tcPr>
            <w:tcW w:w="7020" w:type="dxa"/>
            <w:vAlign w:val="bottom"/>
          </w:tcPr>
          <w:p>
            <w:pPr>
              <w:ind w:left="540"/>
              <w:spacing w:after="0" w:line="176" w:lineRule="exact"/>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(1,945)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1,149</w:t>
            </w: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(6,804)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(26,761)</w:t>
            </w:r>
          </w:p>
        </w:tc>
      </w:tr>
      <w:tr>
        <w:trPr>
          <w:trHeight w:val="169"/>
        </w:trPr>
        <w:tc>
          <w:tcPr>
            <w:tcW w:w="7020" w:type="dxa"/>
            <w:vAlign w:val="bottom"/>
          </w:tcPr>
          <w:p>
            <w:pPr>
              <w:spacing w:after="0" w:line="170"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76"/>
        </w:trPr>
        <w:tc>
          <w:tcPr>
            <w:tcW w:w="7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maturities of investments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37,085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31,872</w:t>
            </w:r>
          </w:p>
        </w:tc>
      </w:tr>
      <w:tr>
        <w:trPr>
          <w:trHeight w:val="176"/>
        </w:trPr>
        <w:tc>
          <w:tcPr>
            <w:tcW w:w="7020" w:type="dxa"/>
            <w:vAlign w:val="bottom"/>
          </w:tcPr>
          <w:p>
            <w:pPr>
              <w:ind w:left="220"/>
              <w:spacing w:after="0" w:line="176" w:lineRule="exact"/>
              <w:rPr>
                <w:sz w:val="20"/>
                <w:szCs w:val="20"/>
                <w:color w:val="auto"/>
              </w:rPr>
            </w:pPr>
            <w:r>
              <w:rPr>
                <w:rFonts w:ascii="Arial" w:cs="Arial" w:eastAsia="Arial" w:hAnsi="Arial"/>
                <w:sz w:val="18"/>
                <w:szCs w:val="18"/>
                <w:color w:val="auto"/>
              </w:rPr>
              <w:t>Sales and redemptions of investments</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850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10,482</w:t>
            </w:r>
          </w:p>
        </w:tc>
      </w:tr>
      <w:tr>
        <w:trPr>
          <w:trHeight w:val="176"/>
        </w:trPr>
        <w:tc>
          <w:tcPr>
            <w:tcW w:w="7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Purchases of investments</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(39,015)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(18,268)</w:t>
            </w:r>
          </w:p>
        </w:tc>
      </w:tr>
      <w:tr>
        <w:trPr>
          <w:trHeight w:val="176"/>
        </w:trPr>
        <w:tc>
          <w:tcPr>
            <w:tcW w:w="70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(1,118)</w:t>
            </w:r>
          </w:p>
        </w:tc>
      </w:tr>
      <w:tr>
        <w:trPr>
          <w:trHeight w:val="169"/>
        </w:trPr>
        <w:tc>
          <w:tcPr>
            <w:tcW w:w="7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22,968</w:t>
            </w:r>
          </w:p>
        </w:tc>
      </w:tr>
      <w:tr>
        <w:trPr>
          <w:trHeight w:val="169"/>
        </w:trPr>
        <w:tc>
          <w:tcPr>
            <w:tcW w:w="7020" w:type="dxa"/>
            <w:vAlign w:val="bottom"/>
          </w:tcPr>
          <w:p>
            <w:pPr>
              <w:spacing w:after="0" w:line="170"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7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issuance of common stock under stock plans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w:t>
            </w:r>
          </w:p>
        </w:tc>
      </w:tr>
      <w:tr>
        <w:trPr>
          <w:trHeight w:val="176"/>
        </w:trPr>
        <w:tc>
          <w:tcPr>
            <w:tcW w:w="7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408</w:t>
            </w:r>
          </w:p>
        </w:tc>
      </w:tr>
      <w:tr>
        <w:trPr>
          <w:trHeight w:val="169"/>
        </w:trPr>
        <w:tc>
          <w:tcPr>
            <w:tcW w:w="70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decrease in cash and cash equivalents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(3,385)</w:t>
            </w:r>
          </w:p>
        </w:tc>
      </w:tr>
      <w:tr>
        <w:trPr>
          <w:trHeight w:val="176"/>
        </w:trPr>
        <w:tc>
          <w:tcPr>
            <w:tcW w:w="7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Cash and cash equivalents at beginning of period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75,383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74,598</w:t>
            </w:r>
          </w:p>
        </w:tc>
      </w:tr>
      <w:tr>
        <w:trPr>
          <w:trHeight w:val="176"/>
        </w:trPr>
        <w:tc>
          <w:tcPr>
            <w:tcW w:w="7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67,745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71,213</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8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Ardelyx, Inc., or “the Company,” is a specialized biopharmaceutical company focused on developing disruptive medicines for the treatment of renal diseases, which affect both the heart and the kidneys. Tenapanor, a first-in-class inhibitor of NHE3, is being evaluated in a second Phase 3 trial for the treatment of hyperphosphatemia in patients with end-stage renal disease, or ESRD, who are on dialysis. The Company is also advancing a small molecule potassium secretagogue program, RDX013, for the potential treatment of hyperkalemia as well as tenapanor for the treatment of people with irritable bowel syndrome with constipation, or IBS-C, for which the Company is preparing to submit a New Drug Application, or NDA, to the United States Food and Drug Administration, or FDA, in the second half of 2018.</w:t>
      </w:r>
    </w:p>
    <w:p>
      <w:pPr>
        <w:spacing w:after="0" w:line="162" w:lineRule="exact"/>
        <w:rPr>
          <w:sz w:val="20"/>
          <w:szCs w:val="20"/>
          <w:color w:val="auto"/>
        </w:rPr>
      </w:pPr>
    </w:p>
    <w:p>
      <w:pPr>
        <w:ind w:right="700" w:firstLine="324"/>
        <w:spacing w:after="0" w:line="454" w:lineRule="auto"/>
        <w:rPr>
          <w:sz w:val="20"/>
          <w:szCs w:val="20"/>
          <w:color w:val="auto"/>
        </w:rPr>
      </w:pPr>
      <w:r>
        <w:rPr>
          <w:rFonts w:ascii="Arial" w:cs="Arial" w:eastAsia="Arial" w:hAnsi="Arial"/>
          <w:sz w:val="18"/>
          <w:szCs w:val="18"/>
          <w:color w:val="auto"/>
        </w:rPr>
        <w:t xml:space="preserve">The Company operates in only one business segment, which is the development of biopharmaceutical products. </w:t>
      </w:r>
      <w:r>
        <w:rPr>
          <w:rFonts w:ascii="Arial" w:cs="Arial" w:eastAsia="Arial" w:hAnsi="Arial"/>
          <w:sz w:val="18"/>
          <w:szCs w:val="18"/>
          <w:b w:val="1"/>
          <w:bCs w:val="1"/>
          <w:i w:val="1"/>
          <w:iCs w:val="1"/>
          <w:color w:val="auto"/>
        </w:rPr>
        <w:t>Basis of Presentation</w:t>
      </w:r>
    </w:p>
    <w:p>
      <w:pPr>
        <w:jc w:val="both"/>
        <w:ind w:firstLine="324"/>
        <w:spacing w:after="0" w:line="237" w:lineRule="auto"/>
        <w:rPr>
          <w:sz w:val="20"/>
          <w:szCs w:val="20"/>
          <w:color w:val="auto"/>
        </w:rPr>
      </w:pPr>
      <w:r>
        <w:rPr>
          <w:rFonts w:ascii="Arial" w:cs="Arial" w:eastAsia="Arial" w:hAnsi="Arial"/>
          <w:sz w:val="16"/>
          <w:szCs w:val="16"/>
          <w:color w:val="auto"/>
        </w:rPr>
        <w:t>These unaudited condensed consolidated financial statements and the related footnote information of the Company have been prepared pursuant to the requirements of the Securities and Exchange Commission, or the SEC, for interim reporting. As permitted under those rules and regulations, certain footnotes or other financial information that are normally required by U.S. generally accepted accounting principles, or U.S. GAAP, have been condensed or omitted pursuant to such rules and regulations. In the opinion of the Company’s management, the accompanying interim unaudited condensed consolidated financial statements include all adjustments (consisting only of normal recurring adjustments) necessary for a fair presentation of the information for the periods presented. The results for the three months ended March 31, 2018, are not necessarily indicative of results to be expected for the entire year ending December 31, 2018, or future operating periods.</w:t>
      </w:r>
    </w:p>
    <w:p>
      <w:pPr>
        <w:spacing w:after="0" w:line="167" w:lineRule="exact"/>
        <w:rPr>
          <w:sz w:val="20"/>
          <w:szCs w:val="20"/>
          <w:color w:val="auto"/>
        </w:rPr>
      </w:pPr>
    </w:p>
    <w:p>
      <w:pPr>
        <w:jc w:val="both"/>
        <w:ind w:firstLine="324"/>
        <w:spacing w:after="0" w:line="187" w:lineRule="exact"/>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2017,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(the “2017 Form 10</w:t>
      </w:r>
      <w:r>
        <w:rPr>
          <w:rFonts w:ascii="MS PGothic" w:cs="MS PGothic" w:eastAsia="MS PGothic" w:hAnsi="MS PGothic"/>
          <w:sz w:val="18"/>
          <w:szCs w:val="18"/>
          <w:color w:val="auto"/>
        </w:rPr>
        <w:t>‑</w:t>
      </w:r>
      <w:r>
        <w:rPr>
          <w:rFonts w:ascii="Arial" w:cs="Arial" w:eastAsia="Arial" w:hAnsi="Arial"/>
          <w:sz w:val="18"/>
          <w:szCs w:val="18"/>
          <w:color w:val="auto"/>
        </w:rPr>
        <w:t>K”). The balance sheet at December 31, 2017, has been derived from the audited consolidated financial statements at that date, as filed with the 2017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accompanying condensed consolidated financial statements include the accounts of Ardelyx, Inc. and its wholly-owned subsidiary, Ardelyx Cayman Islands, which was placed into voluntary liquidation in December 2017, and have been prepared in accordance with U.S. GAAP. Intercompany transactions and balances have been eliminated in consolidation.</w:t>
      </w:r>
    </w:p>
    <w:p>
      <w:pPr>
        <w:spacing w:after="0" w:line="200" w:lineRule="exact"/>
        <w:rPr>
          <w:sz w:val="20"/>
          <w:szCs w:val="20"/>
          <w:color w:val="auto"/>
        </w:rPr>
      </w:pPr>
    </w:p>
    <w:p>
      <w:pPr>
        <w:spacing w:after="0" w:line="335" w:lineRule="exact"/>
        <w:rPr>
          <w:sz w:val="20"/>
          <w:szCs w:val="20"/>
          <w:color w:val="auto"/>
        </w:rPr>
      </w:pPr>
    </w:p>
    <w:p>
      <w:pPr>
        <w:ind w:right="3620"/>
        <w:spacing w:after="0" w:line="456" w:lineRule="auto"/>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in the consolidated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62" w:lineRule="exact"/>
        <w:rPr>
          <w:sz w:val="20"/>
          <w:szCs w:val="20"/>
          <w:color w:val="auto"/>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contract research organizations, or CROs,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investigative sites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related to product manufacturing, development and distribution of clinical supplies;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in connection with preclinical development activities.</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 xml:space="preserve">On January 1, 2018 the Company adopted the new standard for Revenue from Contracts with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Topic 606, on a modified retrospective method as an adjustment to the opening balance of retained earnings of the annual reporting period. On January 1, 2018, the Company recorded an increase in current assets of $5.0 million representing a future receivable related to the first milestone under the Company’s license agreement with Kyowa Hakko Kirin Co., Ltd., or KHK,, which the Company believes is not materially at risk, an increase in current liabilities of $1.0 million representing a future payable related to the corresponding payment to AstraZeneca AB, or AstraZeneca,, in accordance with the Company’s termination agreement with AstraZeneca and a related decrease in its accumulated deficit of approximately $4.0 million as the new standard permits revenue from milestones that possess certain criteria to be recognized earlier of approximately $4.0 million as the new standard contains different recognition criteria related to milestones than under the previous standard, Revenue Recognition, Multiple-Element </w:t>
      </w:r>
      <w:r>
        <w:rPr>
          <w:rFonts w:ascii="Arial" w:cs="Arial" w:eastAsia="Arial" w:hAnsi="Arial"/>
          <w:sz w:val="16"/>
          <w:szCs w:val="16"/>
          <w:i w:val="1"/>
          <w:iCs w:val="1"/>
          <w:color w:val="auto"/>
        </w:rPr>
        <w:t>Arrangements,</w:t>
      </w:r>
      <w:r>
        <w:rPr>
          <w:rFonts w:ascii="Arial" w:cs="Arial" w:eastAsia="Arial" w:hAnsi="Arial"/>
          <w:sz w:val="16"/>
          <w:szCs w:val="16"/>
          <w:color w:val="auto"/>
        </w:rPr>
        <w:t xml:space="preserve"> ASC 605, Licensing revenues.</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The Company enters into licensing agreements which are within the scope of Topic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and future royalties on net sales of licensed products. Each of these payments results in license, collaboration and other revenues, except for revenues from royalties on net sales of licensed products, which are classified as royalty revenues.</w:t>
      </w:r>
    </w:p>
    <w:p>
      <w:pPr>
        <w:spacing w:after="0" w:line="15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performs the following steps: (i) identification of the promised goods or services in the contract;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
        <w:spacing w:after="0" w:line="239" w:lineRule="auto"/>
        <w:tabs>
          <w:tab w:leader="none" w:pos="271"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whether the promised goods or services are performance obligations including whether they are distinct in the context of the contract; (iii) measurement of the transaction price, including the constraint on variable consideration;</w:t>
      </w:r>
    </w:p>
    <w:p>
      <w:pPr>
        <w:jc w:val="both"/>
        <w:ind w:firstLine="3"/>
        <w:spacing w:after="0" w:line="211" w:lineRule="auto"/>
        <w:tabs>
          <w:tab w:leader="none" w:pos="3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and (v) recognition of revenue when (or as) the Company satisfies each performance obligation.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w:t>
      </w:r>
    </w:p>
    <w:p>
      <w:pPr>
        <w:spacing w:after="0" w:line="170"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for either clinical development 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license, collaboration and other revenues when the customer obtains control of the goods, which is upon delivery.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18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which amends the guidance for accounting for revenue from contracts with customers. This ASU supersedes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creates a new Topic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In 2015 and 2016, the FASB issued additional ASUs related to Topic 606 that delayed the effective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guidance and clarified various aspects of the new revenue guidance, including principal versus agent considerations, identifying performance obligations, and licensing, and they include other improvements and practical expedients. The Company adopted this new standard on January 1, 2018 using the modified retrospective transition method.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on adopting Topic 606 on January 1, 2018, has used the modified retrospective transition method with the cumulative effect of initially applying the standard as an adjustment to the opening balance of retained earnings of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annual reporting period that includes the date of initial application. The following adjustments were recorded in the opening balance on January 1, 2018.</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77"/>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5"/>
              </w:rPr>
              <w:t>January 1,</w:t>
            </w:r>
          </w:p>
        </w:tc>
      </w:tr>
      <w:tr>
        <w:trPr>
          <w:trHeight w:val="162"/>
        </w:trPr>
        <w:tc>
          <w:tcPr>
            <w:tcW w:w="4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Due to Topic 606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r>
      <w:tr>
        <w:trPr>
          <w:trHeight w:val="169"/>
        </w:trPr>
        <w:tc>
          <w:tcPr>
            <w:tcW w:w="4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40"/>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5,000</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5"/>
                <w:szCs w:val="15"/>
                <w:color w:val="auto"/>
              </w:rPr>
            </w:pPr>
          </w:p>
        </w:tc>
        <w:tc>
          <w:tcPr>
            <w:tcW w:w="820" w:type="dxa"/>
            <w:vAlign w:val="bottom"/>
            <w:gridSpan w:val="2"/>
          </w:tcPr>
          <w:p>
            <w:pPr>
              <w:ind w:left="440"/>
              <w:spacing w:after="0" w:line="17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r>
      <w:tr>
        <w:trPr>
          <w:trHeight w:val="176"/>
        </w:trPr>
        <w:tc>
          <w:tcPr>
            <w:tcW w:w="43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Accumulated deficit</w:t>
            </w:r>
          </w:p>
        </w:tc>
        <w:tc>
          <w:tcPr>
            <w:tcW w:w="18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4,000</w:t>
            </w: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a result of adopting Topic 606 on January 1, 2018, the following financial statement line items in the Company’s Condensed Consolidated Balance Sheet at March 31, 2018 and the Condensed Consolidated Statement of Income for the three months ended March 31, 2018 were affected.</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4"/>
                <w:szCs w:val="14"/>
                <w:b w:val="1"/>
                <w:bCs w:val="1"/>
                <w:color w:val="auto"/>
                <w:w w:val="96"/>
              </w:rPr>
              <w:t>March 31, 2018</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129"/>
        </w:trPr>
        <w:tc>
          <w:tcPr>
            <w:tcW w:w="2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w w:val="96"/>
              </w:rPr>
              <w:t>As Reported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Under Topic 605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3"/>
              </w:rPr>
              <w:t>Effect of Change</w:t>
            </w:r>
          </w:p>
        </w:tc>
      </w:tr>
      <w:tr>
        <w:trPr>
          <w:trHeight w:val="169"/>
        </w:trPr>
        <w:tc>
          <w:tcPr>
            <w:tcW w:w="27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1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135,320</w:t>
            </w: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130,320</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5,000</w:t>
            </w:r>
          </w:p>
        </w:tc>
        <w:tc>
          <w:tcPr>
            <w:tcW w:w="60" w:type="dxa"/>
            <w:vAlign w:val="bottom"/>
            <w:tcBorders>
              <w:top w:val="single" w:sz="8" w:color="auto"/>
            </w:tcBorders>
            <w:shd w:val="clear" w:color="auto" w:fill="CCEEFF"/>
          </w:tcPr>
          <w:p>
            <w:pPr>
              <w:spacing w:after="0"/>
              <w:rPr>
                <w:sz w:val="14"/>
                <w:szCs w:val="14"/>
                <w:color w:val="auto"/>
              </w:rPr>
            </w:pPr>
          </w:p>
        </w:tc>
      </w:tr>
      <w:tr>
        <w:trPr>
          <w:trHeight w:val="176"/>
        </w:trPr>
        <w:tc>
          <w:tcPr>
            <w:tcW w:w="2780" w:type="dxa"/>
            <w:vAlign w:val="bottom"/>
          </w:tcPr>
          <w:p>
            <w:pPr>
              <w:spacing w:after="0" w:line="176" w:lineRule="exact"/>
              <w:rPr>
                <w:sz w:val="20"/>
                <w:szCs w:val="20"/>
                <w:color w:val="auto"/>
              </w:rPr>
            </w:pPr>
            <w:r>
              <w:rPr>
                <w:rFonts w:ascii="Arial" w:cs="Arial" w:eastAsia="Arial" w:hAnsi="Arial"/>
                <w:sz w:val="18"/>
                <w:szCs w:val="18"/>
                <w:color w:val="auto"/>
              </w:rPr>
              <w:t>Total current liabilities</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13,162</w:t>
            </w:r>
          </w:p>
        </w:tc>
        <w:tc>
          <w:tcPr>
            <w:tcW w:w="40" w:type="dxa"/>
            <w:vAlign w:val="bottom"/>
          </w:tcPr>
          <w:p>
            <w:pPr>
              <w:spacing w:after="0"/>
              <w:rPr>
                <w:sz w:val="15"/>
                <w:szCs w:val="15"/>
                <w:color w:val="auto"/>
              </w:rPr>
            </w:pPr>
          </w:p>
        </w:tc>
        <w:tc>
          <w:tcPr>
            <w:tcW w:w="11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12,162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w w:val="88"/>
              </w:rPr>
              <w:t>1,000</w:t>
            </w:r>
          </w:p>
        </w:tc>
        <w:tc>
          <w:tcPr>
            <w:tcW w:w="60" w:type="dxa"/>
            <w:vAlign w:val="bottom"/>
          </w:tcPr>
          <w:p>
            <w:pPr>
              <w:spacing w:after="0"/>
              <w:rPr>
                <w:sz w:val="15"/>
                <w:szCs w:val="15"/>
                <w:color w:val="auto"/>
              </w:rPr>
            </w:pPr>
          </w:p>
        </w:tc>
      </w:tr>
      <w:tr>
        <w:trPr>
          <w:trHeight w:val="176"/>
        </w:trPr>
        <w:tc>
          <w:tcPr>
            <w:tcW w:w="2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88"/>
              </w:rPr>
              <w:t>(291,232)</w:t>
            </w:r>
          </w:p>
        </w:tc>
        <w:tc>
          <w:tcPr>
            <w:tcW w:w="122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(295,232)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4,000</w:t>
            </w:r>
          </w:p>
        </w:tc>
        <w:tc>
          <w:tcPr>
            <w:tcW w:w="60" w:type="dxa"/>
            <w:vAlign w:val="bottom"/>
            <w:shd w:val="clear" w:color="auto" w:fill="CCEEFF"/>
          </w:tcPr>
          <w:p>
            <w:pPr>
              <w:spacing w:after="0"/>
              <w:rPr>
                <w:sz w:val="15"/>
                <w:szCs w:val="15"/>
                <w:color w:val="auto"/>
              </w:rPr>
            </w:pPr>
          </w:p>
        </w:tc>
      </w:tr>
      <w:tr>
        <w:trPr>
          <w:trHeight w:val="324"/>
        </w:trPr>
        <w:tc>
          <w:tcPr>
            <w:tcW w:w="2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ind w:left="233"/>
              <w:spacing w:after="0"/>
              <w:rPr>
                <w:sz w:val="20"/>
                <w:szCs w:val="20"/>
                <w:color w:val="auto"/>
              </w:rPr>
            </w:pPr>
            <w:r>
              <w:rPr>
                <w:rFonts w:ascii="Arial" w:cs="Arial" w:eastAsia="Arial" w:hAnsi="Arial"/>
                <w:sz w:val="14"/>
                <w:szCs w:val="14"/>
                <w:b w:val="1"/>
                <w:bCs w:val="1"/>
                <w:color w:val="auto"/>
                <w:w w:val="94"/>
              </w:rPr>
              <w:t>Three Months Ended March 31, 2018</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2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As Reported</w:t>
            </w:r>
          </w:p>
        </w:tc>
        <w:tc>
          <w:tcPr>
            <w:tcW w:w="120" w:type="dxa"/>
            <w:vAlign w:val="bottom"/>
          </w:tcPr>
          <w:p>
            <w:pPr>
              <w:spacing w:after="0"/>
              <w:rPr>
                <w:sz w:val="11"/>
                <w:szCs w:val="11"/>
                <w:color w:val="auto"/>
              </w:rPr>
            </w:pPr>
          </w:p>
        </w:tc>
        <w:tc>
          <w:tcPr>
            <w:tcW w:w="11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Under Topic 605</w:t>
            </w:r>
          </w:p>
        </w:tc>
        <w:tc>
          <w:tcPr>
            <w:tcW w:w="4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1"/>
              </w:rPr>
              <w:t>Effect of Change</w:t>
            </w:r>
          </w:p>
        </w:tc>
        <w:tc>
          <w:tcPr>
            <w:tcW w:w="60" w:type="dxa"/>
            <w:vAlign w:val="bottom"/>
          </w:tcPr>
          <w:p>
            <w:pPr>
              <w:spacing w:after="0"/>
              <w:rPr>
                <w:sz w:val="11"/>
                <w:szCs w:val="11"/>
                <w:color w:val="auto"/>
              </w:rPr>
            </w:pPr>
          </w:p>
        </w:tc>
      </w:tr>
      <w:tr>
        <w:trPr>
          <w:trHeight w:val="169"/>
        </w:trPr>
        <w:tc>
          <w:tcPr>
            <w:tcW w:w="27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76"/>
        </w:trPr>
        <w:tc>
          <w:tcPr>
            <w:tcW w:w="2780" w:type="dxa"/>
            <w:vAlign w:val="bottom"/>
          </w:tcPr>
          <w:p>
            <w:pPr>
              <w:ind w:left="100"/>
              <w:spacing w:after="0" w:line="176" w:lineRule="exact"/>
              <w:rPr>
                <w:sz w:val="20"/>
                <w:szCs w:val="20"/>
                <w:color w:val="auto"/>
              </w:rPr>
            </w:pPr>
            <w:r>
              <w:rPr>
                <w:rFonts w:ascii="Arial" w:cs="Arial" w:eastAsia="Arial" w:hAnsi="Arial"/>
                <w:sz w:val="18"/>
                <w:szCs w:val="18"/>
                <w:color w:val="auto"/>
              </w:rPr>
              <w:t>Licensing revenue</w:t>
            </w:r>
          </w:p>
        </w:tc>
        <w:tc>
          <w:tcPr>
            <w:tcW w:w="1300" w:type="dxa"/>
            <w:vAlign w:val="bottom"/>
            <w:gridSpan w:val="3"/>
          </w:tcPr>
          <w:p>
            <w:pPr>
              <w:ind w:left="1200"/>
              <w:spacing w:after="0" w:line="17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40" w:type="dxa"/>
            <w:vAlign w:val="bottom"/>
          </w:tcPr>
          <w:p>
            <w:pPr>
              <w:spacing w:after="0"/>
              <w:rPr>
                <w:sz w:val="15"/>
                <w:szCs w:val="15"/>
                <w:color w:val="auto"/>
              </w:rPr>
            </w:pPr>
          </w:p>
        </w:tc>
        <w:tc>
          <w:tcPr>
            <w:tcW w:w="11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2,320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w:t>
            </w:r>
          </w:p>
        </w:tc>
        <w:tc>
          <w:tcPr>
            <w:tcW w:w="4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w:t>
            </w:r>
          </w:p>
        </w:tc>
      </w:tr>
      <w:tr>
        <w:trPr>
          <w:trHeight w:val="176"/>
        </w:trPr>
        <w:tc>
          <w:tcPr>
            <w:tcW w:w="2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revenue</w:t>
            </w: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May 2017, FASB issued ASU No. 2017-09, Compensation-Stock Compensation (Topic 718) - Scope of Modification Accounting (ASU 2017-09). The amendments included in this update provide guidance about which changes to the terms or conditions of a share-based payment award require an entity to apply modification accounting. The amendments in this update will be applied prospectively to an award modified on or after the adoption date. On January 1, 2018, we adopted ASU 2017-09 and the adoption of this standard did not have a material impact on the Company’s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replaces most current lease guidance when it becomes effective. This standard update intends to increase the transparency and improve comparability by requiring entities to recognize assets and liabilities on the balance sheet for all leases, with certain exceptions. The new standard states that a lessee will recognize a lease liability for the obligation to make lease payments and a right-of-use asset for the right to use the underlying asset for the lease term. Leases will be classified as either finance or operating, with classification affecting the pattern of expense recognition in the consolidated statements of operations. The new guidance will be effective for the Company starting in the first quarter of fiscal 2019. Early adoption is permitted. The Company plans to adopt the new guidance effective January 1, 2019, and is currently evaluating the effect that this guidance will have on its consolidated financial statements and related disclosures.</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has reviewed all other significant newly-issued accounting pronouncements and concluded that they either are not applicable to the Company’s operations or no material effect is expected on its condensed consolidated financial statements as a result of future adoption.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INVESTMENTS</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Securities classified as cash, cash equivalents and short-term investments as of March 31, 2018 and December 31, 2017, are summarized below (in thousands). Estimated fair value is based on quoted market prices for these investments.</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4"/>
                <w:szCs w:val="14"/>
                <w:b w:val="1"/>
                <w:bCs w:val="1"/>
                <w:color w:val="auto"/>
                <w:w w:val="94"/>
              </w:rPr>
              <w:t>March 31, 2018</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Amortized Cost</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92"/>
              </w:rPr>
              <w:t>Gross Unrealized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4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Gains</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w w:val="91"/>
              </w:rPr>
              <w:t>Losses</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5,506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57,491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57,491</w:t>
            </w:r>
          </w:p>
        </w:tc>
        <w:tc>
          <w:tcPr>
            <w:tcW w:w="0" w:type="dxa"/>
            <w:vAlign w:val="bottom"/>
          </w:tcPr>
          <w:p>
            <w:pPr>
              <w:spacing w:after="0"/>
              <w:rPr>
                <w:sz w:val="1"/>
                <w:szCs w:val="1"/>
                <w:color w:val="auto"/>
              </w:rPr>
            </w:pPr>
          </w:p>
        </w:tc>
      </w:tr>
      <w:tr>
        <w:trPr>
          <w:trHeight w:val="176"/>
        </w:trPr>
        <w:tc>
          <w:tcPr>
            <w:tcW w:w="2480" w:type="dxa"/>
            <w:vAlign w:val="bottom"/>
          </w:tcPr>
          <w:p>
            <w:pPr>
              <w:ind w:left="220"/>
              <w:spacing w:after="0" w:line="176" w:lineRule="exact"/>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1,200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5"/>
              </w:rPr>
              <w:t>Total cash and cash equivalents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67,747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20"/>
              <w:spacing w:after="0" w:line="17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67,745</w:t>
            </w:r>
          </w:p>
        </w:tc>
        <w:tc>
          <w:tcPr>
            <w:tcW w:w="0" w:type="dxa"/>
            <w:vAlign w:val="bottom"/>
          </w:tcPr>
          <w:p>
            <w:pPr>
              <w:spacing w:after="0"/>
              <w:rPr>
                <w:sz w:val="1"/>
                <w:szCs w:val="1"/>
                <w:color w:val="auto"/>
              </w:rPr>
            </w:pPr>
          </w:p>
        </w:tc>
      </w:tr>
      <w:tr>
        <w:trPr>
          <w:trHeight w:val="176"/>
        </w:trPr>
        <w:tc>
          <w:tcPr>
            <w:tcW w:w="2480" w:type="dxa"/>
            <w:vAlign w:val="bottom"/>
          </w:tcPr>
          <w:p>
            <w:pPr>
              <w:spacing w:after="0" w:line="176" w:lineRule="exact"/>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27,332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27,272</w:t>
            </w:r>
          </w:p>
        </w:tc>
        <w:tc>
          <w:tcPr>
            <w:tcW w:w="0" w:type="dxa"/>
            <w:vAlign w:val="bottom"/>
          </w:tcPr>
          <w:p>
            <w:pPr>
              <w:spacing w:after="0"/>
              <w:rPr>
                <w:sz w:val="1"/>
                <w:szCs w:val="1"/>
                <w:color w:val="auto"/>
              </w:rPr>
            </w:pPr>
          </w:p>
        </w:tc>
      </w:tr>
      <w:tr>
        <w:trPr>
          <w:trHeight w:val="176"/>
        </w:trPr>
        <w:tc>
          <w:tcPr>
            <w:tcW w:w="2480" w:type="dxa"/>
            <w:vAlign w:val="bottom"/>
          </w:tcPr>
          <w:p>
            <w:pPr>
              <w:ind w:left="320"/>
              <w:spacing w:after="0" w:line="176" w:lineRule="exact"/>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28,512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28,493</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3,949</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169"/>
        </w:trPr>
        <w:tc>
          <w:tcPr>
            <w:tcW w:w="2480" w:type="dxa"/>
            <w:vAlign w:val="bottom"/>
            <w:tcBorders>
              <w:bottom w:val="single" w:sz="8" w:color="CCEEFF"/>
            </w:tcBorders>
          </w:tcPr>
          <w:p>
            <w:pPr>
              <w:ind w:left="100"/>
              <w:spacing w:after="0" w:line="170" w:lineRule="exact"/>
              <w:rPr>
                <w:sz w:val="20"/>
                <w:szCs w:val="20"/>
                <w:color w:val="auto"/>
              </w:rPr>
            </w:pPr>
            <w:r>
              <w:rPr>
                <w:rFonts w:ascii="Arial" w:cs="Arial" w:eastAsia="Arial" w:hAnsi="Arial"/>
                <w:sz w:val="18"/>
                <w:szCs w:val="18"/>
                <w:color w:val="auto"/>
              </w:rPr>
              <w:t>Total short-term investments</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59,793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ind w:left="420"/>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59,704</w:t>
            </w:r>
          </w:p>
        </w:tc>
        <w:tc>
          <w:tcPr>
            <w:tcW w:w="0" w:type="dxa"/>
            <w:vAlign w:val="bottom"/>
          </w:tcPr>
          <w:p>
            <w:pPr>
              <w:spacing w:after="0"/>
              <w:rPr>
                <w:sz w:val="1"/>
                <w:szCs w:val="1"/>
                <w:color w:val="auto"/>
              </w:rPr>
            </w:pPr>
          </w:p>
        </w:tc>
      </w:tr>
      <w:tr>
        <w:trPr>
          <w:trHeight w:val="129"/>
        </w:trPr>
        <w:tc>
          <w:tcPr>
            <w:tcW w:w="248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Total cash equivalents and</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127,540</w:t>
            </w:r>
          </w:p>
        </w:tc>
        <w:tc>
          <w:tcPr>
            <w:tcW w:w="32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127,449</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investments</w:t>
            </w:r>
          </w:p>
        </w:tc>
        <w:tc>
          <w:tcPr>
            <w:tcW w:w="32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Amortized Cost</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92"/>
              </w:rPr>
              <w:t>Gross Unrealized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4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Gains</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w w:val="91"/>
              </w:rPr>
              <w:t>Losses</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5,882</w:t>
            </w:r>
          </w:p>
        </w:tc>
        <w:tc>
          <w:tcPr>
            <w:tcW w:w="3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68,651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68,651</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850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129"/>
        </w:trPr>
        <w:tc>
          <w:tcPr>
            <w:tcW w:w="248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Total cash equivalents and</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32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investments</w:t>
            </w:r>
          </w:p>
        </w:tc>
        <w:tc>
          <w:tcPr>
            <w:tcW w:w="32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line="176" w:lineRule="exact"/>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securities</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176"/>
        </w:trPr>
        <w:tc>
          <w:tcPr>
            <w:tcW w:w="2480" w:type="dxa"/>
            <w:vAlign w:val="bottom"/>
          </w:tcPr>
          <w:p>
            <w:pPr>
              <w:ind w:left="220"/>
              <w:spacing w:after="0" w:line="176" w:lineRule="exact"/>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26,853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26,827</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19,584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19,570</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8,209</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short-term investments</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58,640</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420"/>
              <w:spacing w:after="0" w:line="17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w:t>
            </w: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r>
        <w:trPr>
          <w:trHeight w:val="129"/>
        </w:trPr>
        <w:tc>
          <w:tcPr>
            <w:tcW w:w="2480" w:type="dxa"/>
            <w:vAlign w:val="bottom"/>
          </w:tcPr>
          <w:p>
            <w:pPr>
              <w:ind w:left="100"/>
              <w:spacing w:after="0" w:line="129" w:lineRule="exact"/>
              <w:rPr>
                <w:sz w:val="20"/>
                <w:szCs w:val="20"/>
                <w:color w:val="auto"/>
              </w:rPr>
            </w:pPr>
            <w:r>
              <w:rPr>
                <w:rFonts w:ascii="Arial" w:cs="Arial" w:eastAsia="Arial" w:hAnsi="Arial"/>
                <w:sz w:val="14"/>
                <w:szCs w:val="14"/>
                <w:color w:val="auto"/>
              </w:rPr>
              <w:t>Total cash equivalents and</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134,023</w:t>
            </w:r>
          </w:p>
        </w:tc>
        <w:tc>
          <w:tcPr>
            <w:tcW w:w="3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34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133,976</w:t>
            </w:r>
          </w:p>
        </w:tc>
        <w:tc>
          <w:tcPr>
            <w:tcW w:w="0" w:type="dxa"/>
            <w:vAlign w:val="bottom"/>
          </w:tcPr>
          <w:p>
            <w:pPr>
              <w:spacing w:after="0"/>
              <w:rPr>
                <w:sz w:val="1"/>
                <w:szCs w:val="1"/>
                <w:color w:val="auto"/>
              </w:rPr>
            </w:pPr>
          </w:p>
        </w:tc>
      </w:tr>
      <w:tr>
        <w:trPr>
          <w:trHeight w:val="189"/>
        </w:trPr>
        <w:tc>
          <w:tcPr>
            <w:tcW w:w="2480" w:type="dxa"/>
            <w:vAlign w:val="bottom"/>
          </w:tcPr>
          <w:p>
            <w:pPr>
              <w:ind w:left="100"/>
              <w:spacing w:after="0" w:line="189" w:lineRule="exact"/>
              <w:rPr>
                <w:sz w:val="20"/>
                <w:szCs w:val="20"/>
                <w:color w:val="auto"/>
              </w:rPr>
            </w:pPr>
            <w:r>
              <w:rPr>
                <w:rFonts w:ascii="Arial" w:cs="Arial" w:eastAsia="Arial" w:hAnsi="Arial"/>
                <w:sz w:val="18"/>
                <w:szCs w:val="18"/>
                <w:color w:val="auto"/>
              </w:rPr>
              <w:t>investments</w:t>
            </w:r>
          </w:p>
        </w:tc>
        <w:tc>
          <w:tcPr>
            <w:tcW w:w="3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the Company’s condensed consolidated balance sheets. The Company uses the specific identification method to determine the amount of realized gains or losses on sales of marketable securities. Realized gains or losses have been insignificant and are included in “other income, net” in the consolidated condensed statement of operations.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All available-for-sale securities held as of March 31, 2018,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March 31, 2018, no investment was in a continuous unrealized loss position for more than one year and the Company believes that is more likely than not the investments will be held until maturity or a forecasted recovery of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ind w:left="320"/>
              <w:spacing w:after="0"/>
              <w:rPr>
                <w:sz w:val="20"/>
                <w:szCs w:val="20"/>
                <w:color w:val="auto"/>
              </w:rPr>
            </w:pPr>
            <w:r>
              <w:rPr>
                <w:rFonts w:ascii="Arial" w:cs="Arial" w:eastAsia="Arial" w:hAnsi="Arial"/>
                <w:sz w:val="18"/>
                <w:szCs w:val="18"/>
                <w:color w:val="auto"/>
              </w:rPr>
              <w:t>Level 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800" w:type="dxa"/>
            <w:vAlign w:val="bottom"/>
          </w:tcPr>
          <w:p>
            <w:pPr>
              <w:jc w:val="right"/>
              <w:spacing w:after="0"/>
              <w:rPr>
                <w:sz w:val="20"/>
                <w:szCs w:val="20"/>
                <w:color w:val="auto"/>
              </w:rPr>
            </w:pPr>
            <w:r>
              <w:rPr>
                <w:rFonts w:ascii="Arial" w:cs="Arial" w:eastAsia="Arial" w:hAnsi="Arial"/>
                <w:sz w:val="18"/>
                <w:szCs w:val="18"/>
                <w:color w:val="auto"/>
                <w:w w:val="98"/>
              </w:rPr>
              <w:t>Valuations are based on quoted prices in active markets for identical assets or liabilities and readily</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w w:val="92"/>
              </w:rPr>
              <w:t>accessible by the Company at the reporting date. Examples of assets and liabilities utilizing Level 1 inputs</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w w:val="98"/>
              </w:rPr>
              <w:t>are certain money market funds, U.S. Treasuries and trading securities with quoted prices on active</w:t>
            </w: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0" w:type="dxa"/>
            <w:vAlign w:val="bottom"/>
          </w:tcPr>
          <w:p>
            <w:pPr>
              <w:ind w:left="40"/>
              <w:spacing w:after="0"/>
              <w:rPr>
                <w:sz w:val="20"/>
                <w:szCs w:val="20"/>
                <w:color w:val="auto"/>
              </w:rPr>
            </w:pPr>
            <w:r>
              <w:rPr>
                <w:rFonts w:ascii="Arial" w:cs="Arial" w:eastAsia="Arial" w:hAnsi="Arial"/>
                <w:sz w:val="18"/>
                <w:szCs w:val="18"/>
                <w:color w:val="auto"/>
              </w:rPr>
              <w:t>markets.</w:t>
            </w:r>
          </w:p>
        </w:tc>
      </w:tr>
      <w:tr>
        <w:trPr>
          <w:trHeight w:val="337"/>
        </w:trPr>
        <w:tc>
          <w:tcPr>
            <w:tcW w:w="1000" w:type="dxa"/>
            <w:vAlign w:val="bottom"/>
          </w:tcPr>
          <w:p>
            <w:pPr>
              <w:ind w:left="320"/>
              <w:spacing w:after="0"/>
              <w:rPr>
                <w:sz w:val="20"/>
                <w:szCs w:val="20"/>
                <w:color w:val="auto"/>
              </w:rPr>
            </w:pPr>
            <w:r>
              <w:rPr>
                <w:rFonts w:ascii="Arial" w:cs="Arial" w:eastAsia="Arial" w:hAnsi="Arial"/>
                <w:sz w:val="18"/>
                <w:szCs w:val="18"/>
                <w:color w:val="auto"/>
              </w:rPr>
              <w:t>Level 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800" w:type="dxa"/>
            <w:vAlign w:val="bottom"/>
          </w:tcPr>
          <w:p>
            <w:pPr>
              <w:jc w:val="right"/>
              <w:spacing w:after="0"/>
              <w:rPr>
                <w:sz w:val="20"/>
                <w:szCs w:val="20"/>
                <w:color w:val="auto"/>
              </w:rPr>
            </w:pPr>
            <w:r>
              <w:rPr>
                <w:rFonts w:ascii="Arial" w:cs="Arial" w:eastAsia="Arial" w:hAnsi="Arial"/>
                <w:sz w:val="18"/>
                <w:szCs w:val="18"/>
                <w:color w:val="auto"/>
                <w:w w:val="95"/>
              </w:rPr>
              <w:t>Valuations based on inputs other than Level 1 that are observable, either directly or indirectly, such as</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w w:val="94"/>
              </w:rPr>
              <w:t>quoted prices for similar assets or liabilities; quoted prices in markets that are not active; or other inputs</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w w:val="92"/>
              </w:rPr>
              <w:t>that are observable or can be corroborated by observable market data for substantially the full term of the</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rPr>
              <w:t>assets or liabilities. Examples of assets and liabilities utilizing Level 2 inputs are corporate bonds,</w:t>
            </w: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0" w:type="dxa"/>
            <w:vAlign w:val="bottom"/>
          </w:tcPr>
          <w:p>
            <w:pPr>
              <w:ind w:left="40"/>
              <w:spacing w:after="0"/>
              <w:rPr>
                <w:sz w:val="20"/>
                <w:szCs w:val="20"/>
                <w:color w:val="auto"/>
              </w:rPr>
            </w:pPr>
            <w:r>
              <w:rPr>
                <w:rFonts w:ascii="Arial" w:cs="Arial" w:eastAsia="Arial" w:hAnsi="Arial"/>
                <w:sz w:val="18"/>
                <w:szCs w:val="18"/>
                <w:color w:val="auto"/>
              </w:rPr>
              <w:t>commercial paper, certificates of deposit and over-the-counter derivatives.</w:t>
            </w:r>
          </w:p>
        </w:tc>
      </w:tr>
      <w:tr>
        <w:trPr>
          <w:trHeight w:val="337"/>
        </w:trPr>
        <w:tc>
          <w:tcPr>
            <w:tcW w:w="1000" w:type="dxa"/>
            <w:vAlign w:val="bottom"/>
          </w:tcPr>
          <w:p>
            <w:pPr>
              <w:ind w:left="320"/>
              <w:spacing w:after="0"/>
              <w:rPr>
                <w:sz w:val="20"/>
                <w:szCs w:val="20"/>
                <w:color w:val="auto"/>
              </w:rPr>
            </w:pPr>
            <w:r>
              <w:rPr>
                <w:rFonts w:ascii="Arial" w:cs="Arial" w:eastAsia="Arial" w:hAnsi="Arial"/>
                <w:sz w:val="18"/>
                <w:szCs w:val="18"/>
                <w:color w:val="auto"/>
              </w:rPr>
              <w:t>Level 3</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7800" w:type="dxa"/>
            <w:vAlign w:val="bottom"/>
          </w:tcPr>
          <w:p>
            <w:pPr>
              <w:jc w:val="right"/>
              <w:spacing w:after="0"/>
              <w:rPr>
                <w:sz w:val="20"/>
                <w:szCs w:val="20"/>
                <w:color w:val="auto"/>
              </w:rPr>
            </w:pPr>
            <w:r>
              <w:rPr>
                <w:rFonts w:ascii="Arial" w:cs="Arial" w:eastAsia="Arial" w:hAnsi="Arial"/>
                <w:sz w:val="18"/>
                <w:szCs w:val="18"/>
                <w:color w:val="auto"/>
                <w:w w:val="98"/>
              </w:rPr>
              <w:t>Valuations based on unobservable inputs in which there is little or no market data, which require the</w:t>
            </w: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0" w:type="dxa"/>
            <w:vAlign w:val="bottom"/>
          </w:tcPr>
          <w:p>
            <w:pPr>
              <w:ind w:left="40"/>
              <w:spacing w:after="0"/>
              <w:rPr>
                <w:sz w:val="20"/>
                <w:szCs w:val="20"/>
                <w:color w:val="auto"/>
              </w:rPr>
            </w:pPr>
            <w:r>
              <w:rPr>
                <w:rFonts w:ascii="Arial" w:cs="Arial" w:eastAsia="Arial" w:hAnsi="Arial"/>
                <w:sz w:val="18"/>
                <w:szCs w:val="18"/>
                <w:color w:val="auto"/>
              </w:rPr>
              <w:t>Company to develop its own assumptions.</w:t>
            </w:r>
          </w:p>
        </w:tc>
      </w:tr>
      <w:tr>
        <w:trPr>
          <w:trHeight w:val="607"/>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tcPr>
          <w:p>
            <w:pPr>
              <w:jc w:val="right"/>
              <w:ind w:right="4350"/>
              <w:spacing w:after="0"/>
              <w:rPr>
                <w:sz w:val="20"/>
                <w:szCs w:val="20"/>
                <w:color w:val="auto"/>
              </w:rPr>
            </w:pPr>
            <w:r>
              <w:rPr>
                <w:rFonts w:ascii="Arial" w:cs="Arial" w:eastAsia="Arial" w:hAnsi="Arial"/>
                <w:sz w:val="18"/>
                <w:szCs w:val="18"/>
                <w:color w:val="auto"/>
              </w:rPr>
              <w:t>10</w:t>
            </w:r>
          </w:p>
        </w:tc>
      </w:tr>
      <w:tr>
        <w:trPr>
          <w:trHeight w:val="102"/>
        </w:trPr>
        <w:tc>
          <w:tcPr>
            <w:tcW w:w="10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8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by level within the fair value hierarchy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244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2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6"/>
        </w:trPr>
        <w:tc>
          <w:tcPr>
            <w:tcW w:w="2440" w:type="dxa"/>
            <w:vAlign w:val="bottom"/>
          </w:tcPr>
          <w:p>
            <w:pPr>
              <w:ind w:left="100"/>
              <w:spacing w:after="0" w:line="176" w:lineRule="exact"/>
              <w:rPr>
                <w:sz w:val="20"/>
                <w:szCs w:val="20"/>
                <w:color w:val="auto"/>
              </w:rPr>
            </w:pPr>
            <w:r>
              <w:rPr>
                <w:rFonts w:ascii="Arial" w:cs="Arial" w:eastAsia="Arial" w:hAnsi="Arial"/>
                <w:sz w:val="18"/>
                <w:szCs w:val="18"/>
                <w:color w:val="auto"/>
              </w:rPr>
              <w:t>Money market funds</w:t>
            </w:r>
          </w:p>
        </w:tc>
        <w:tc>
          <w:tcPr>
            <w:tcW w:w="82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57,491</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57,491</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U.S. treasury securities</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tcPr>
          <w:p>
            <w:pPr>
              <w:ind w:left="100"/>
              <w:spacing w:after="0" w:line="176" w:lineRule="exact"/>
              <w:rPr>
                <w:sz w:val="20"/>
                <w:szCs w:val="20"/>
                <w:color w:val="auto"/>
              </w:rPr>
            </w:pPr>
            <w:r>
              <w:rPr>
                <w:rFonts w:ascii="Arial" w:cs="Arial" w:eastAsia="Arial" w:hAnsi="Arial"/>
                <w:sz w:val="18"/>
                <w:szCs w:val="18"/>
                <w:color w:val="auto"/>
              </w:rPr>
              <w:t>Corporate bonds</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29,820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29,820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Commercial paper</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29,693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29,693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Asset-backed securities</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3,939</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3,939</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121,943</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58,491</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63,452</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line="170" w:lineRule="exact"/>
              <w:rPr>
                <w:sz w:val="20"/>
                <w:szCs w:val="20"/>
                <w:color w:val="auto"/>
              </w:rPr>
            </w:pPr>
            <w:r>
              <w:rPr>
                <w:rFonts w:ascii="Arial" w:cs="Arial" w:eastAsia="Arial" w:hAnsi="Arial"/>
                <w:sz w:val="18"/>
                <w:szCs w:val="18"/>
                <w:color w:val="auto"/>
              </w:rPr>
              <w:t>—</w:t>
            </w:r>
          </w:p>
        </w:tc>
      </w:tr>
      <w:tr>
        <w:trPr>
          <w:trHeight w:val="324"/>
        </w:trPr>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29"/>
        </w:trPr>
        <w:tc>
          <w:tcPr>
            <w:tcW w:w="244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2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6"/>
        </w:trPr>
        <w:tc>
          <w:tcPr>
            <w:tcW w:w="2440" w:type="dxa"/>
            <w:vAlign w:val="bottom"/>
          </w:tcPr>
          <w:p>
            <w:pPr>
              <w:ind w:left="100"/>
              <w:spacing w:after="0" w:line="176" w:lineRule="exact"/>
              <w:rPr>
                <w:sz w:val="20"/>
                <w:szCs w:val="20"/>
                <w:color w:val="auto"/>
              </w:rPr>
            </w:pPr>
            <w:r>
              <w:rPr>
                <w:rFonts w:ascii="Arial" w:cs="Arial" w:eastAsia="Arial" w:hAnsi="Arial"/>
                <w:sz w:val="18"/>
                <w:szCs w:val="18"/>
                <w:color w:val="auto"/>
              </w:rPr>
              <w:t>Money market funds</w:t>
            </w:r>
          </w:p>
        </w:tc>
        <w:tc>
          <w:tcPr>
            <w:tcW w:w="82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68,651</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68,651</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U.S. treasury securities</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tcPr>
          <w:p>
            <w:pPr>
              <w:ind w:left="100"/>
              <w:spacing w:after="0" w:line="176" w:lineRule="exact"/>
              <w:rPr>
                <w:sz w:val="20"/>
                <w:szCs w:val="20"/>
                <w:color w:val="auto"/>
              </w:rPr>
            </w:pPr>
            <w:r>
              <w:rPr>
                <w:rFonts w:ascii="Arial" w:cs="Arial" w:eastAsia="Arial" w:hAnsi="Arial"/>
                <w:sz w:val="18"/>
                <w:szCs w:val="18"/>
                <w:color w:val="auto"/>
              </w:rPr>
              <w:t>Corporate bonds</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26,827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26,827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Commercial paper</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20,420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20,420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Asset-backed securities</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8,203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8,203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24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128,094</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72,644</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55,450</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line="170"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Where quoted prices are available in an active market, securities are classified as Level 1. The Company classifies money market funds, U.S. treasury securities and U.S. government-sponsored agency bonds as Level 1. When quoted market prices are not available for the specific security, then the Company estimates fair value by using benchmark yields, reported trades, broker/dealer quotes and issuer spreads. The Company classifies corporate bonds, commercial paper and asset-backed securities as Level 2. In certain cases, where there is limited activity or less transparency around inputs to valuation, securities are classified as Level 3. There were no transfers between Level 1 and Level 2 during the periods presented.</w:t>
      </w:r>
    </w:p>
    <w:p>
      <w:pPr>
        <w:spacing w:after="0" w:line="161"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March 31, 2018 and December 31, 2017, due to their short-term nature.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following table presents stock-based compensation expense recognized for stock options, restricted stock units, or RSUs, performance-based restricted stock units, or PRSUs, and the Company’s employee stock purchase program, or ESPP, in the Company’s statements of operations (in thousands):</w:t>
      </w:r>
    </w:p>
    <w:p>
      <w:pPr>
        <w:spacing w:after="0" w:line="158"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Three Months Ended</w:t>
      </w:r>
    </w:p>
    <w:p>
      <w:pPr>
        <w:ind w:left="69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4"/>
              <w:spacing w:after="0" w:line="136" w:lineRule="exact"/>
              <w:rPr>
                <w:sz w:val="20"/>
                <w:szCs w:val="20"/>
                <w:color w:val="auto"/>
              </w:rPr>
            </w:pPr>
            <w:r>
              <w:rPr>
                <w:rFonts w:ascii="Arial" w:cs="Arial" w:eastAsia="Arial" w:hAnsi="Arial"/>
                <w:sz w:val="14"/>
                <w:szCs w:val="14"/>
                <w:b w:val="1"/>
                <w:bCs w:val="1"/>
                <w:color w:val="auto"/>
                <w:w w:val="96"/>
              </w:rPr>
              <w:t>2018</w:t>
            </w:r>
          </w:p>
        </w:tc>
        <w:tc>
          <w:tcPr>
            <w:tcW w:w="800" w:type="dxa"/>
            <w:vAlign w:val="bottom"/>
            <w:tcBorders>
              <w:top w:val="single" w:sz="8" w:color="auto"/>
            </w:tcBorders>
            <w:gridSpan w:val="2"/>
          </w:tcPr>
          <w:p>
            <w:pPr>
              <w:jc w:val="right"/>
              <w:ind w:right="90"/>
              <w:spacing w:after="0" w:line="136"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907</w:t>
            </w:r>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$ 1,031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tcPr>
          <w:p>
            <w:pPr>
              <w:spacing w:after="0" w:line="176" w:lineRule="exact"/>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1,518</w:t>
            </w:r>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tcBorders>
              <w:top w:val="single" w:sz="8" w:color="CCEEFF"/>
              <w:bottom w:val="single" w:sz="8" w:color="CCEEFF"/>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2,425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$ 2,109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January 2017, the Company granted PRSU awards to certain employees which vest upon the achievement of specified performance conditions, subject to the employees’ continued service relationship with the Company. None vested during the three months ended March 31, 2018. However, the related compensation cost is recognized as an expense over the estimated vesting period when achievement of the milestone is considered probable. The expense recognized for these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awards is based on the grant date fair value of the Company’s common stock multiplied by the number of units granted. The Company recognized $0.1 million of related expense during the three months ended March 31, 2018, respectively.</w:t>
      </w:r>
    </w:p>
    <w:p>
      <w:pPr>
        <w:spacing w:after="0" w:line="147"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At March 31, 2018, the Company had $16.0 million, $1.9 million, $0.5 million and $0.1 million of total unrecognized compensation expense, net of estimated forfeitures, related to stock option grants, RSU grants, PRSUs and the ESPP, respectively, that will be recognized over an average vesting period of 3.0 years, 1.2 years, 1.2 years and 0.4 years,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the three months ended March 31, 2018 and 2017, employees exercised options to purchase zero and 19,301 shares, respectively, of the Company's common stock, with insignificant net proceeds in the three months ended March 31,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For the three months ended March 31, 2018 and 2017, the Company issued zero and 15,188 shares, respectively, of its common stock upon vesting of restricted stock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In February 2018, the Company sold 68,589 shares under the ESPP. The shares were purchased at a purchase price of $4.38 per share with proceeds to the Company of approximately $0.3 million. In February 2017, the Company sold 42,845 shares under the ESPP. The shares were purchased at a purchase price of $8.77 per share with proceeds to the Company of approximately $0.4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SHARE</w:t>
      </w:r>
    </w:p>
    <w:p>
      <w:pPr>
        <w:spacing w:after="0" w:line="189"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months ended March 31, 2018 and 2017, all potential common shares were determined to be anti-dilutive. The following table sets forth the computation of net loss per common share (in thousands, except share and per share amounts):</w:t>
      </w:r>
    </w:p>
    <w:p>
      <w:pPr>
        <w:spacing w:after="0" w:line="16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Three Months Ended</w:t>
      </w:r>
    </w:p>
    <w:p>
      <w:pPr>
        <w:ind w:left="758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68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4"/>
              <w:spacing w:after="0" w:line="136"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4"/>
              <w:spacing w:after="0" w:line="136"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1"/>
                <w:szCs w:val="11"/>
                <w:color w:val="auto"/>
              </w:rPr>
            </w:pPr>
          </w:p>
        </w:tc>
      </w:tr>
      <w:tr>
        <w:trPr>
          <w:trHeight w:val="169"/>
        </w:trPr>
        <w:tc>
          <w:tcPr>
            <w:tcW w:w="68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3"/>
        </w:trPr>
        <w:tc>
          <w:tcPr>
            <w:tcW w:w="6800" w:type="dxa"/>
            <w:vAlign w:val="bottom"/>
          </w:tcPr>
          <w:p>
            <w:pPr>
              <w:ind w:left="120"/>
              <w:spacing w:after="0" w:line="176"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(17,019)</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(28,008)</w:t>
            </w:r>
          </w:p>
        </w:tc>
      </w:tr>
      <w:tr>
        <w:trPr>
          <w:trHeight w:val="176"/>
        </w:trPr>
        <w:tc>
          <w:tcPr>
            <w:tcW w:w="6800" w:type="dxa"/>
            <w:vAlign w:val="bottom"/>
            <w:tcBorders>
              <w:top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76"/>
        </w:trPr>
        <w:tc>
          <w:tcPr>
            <w:tcW w:w="68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Weighted average common shares outstanding - basic and diluted</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0"/>
              </w:rPr>
              <w:t>47,559,366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3"/>
              </w:rPr>
              <w:t>47,343,234</w:t>
            </w:r>
          </w:p>
        </w:tc>
        <w:tc>
          <w:tcPr>
            <w:tcW w:w="40" w:type="dxa"/>
            <w:vAlign w:val="bottom"/>
            <w:tcBorders>
              <w:bottom w:val="single" w:sz="8" w:color="CCEEFF"/>
            </w:tcBorders>
          </w:tcPr>
          <w:p>
            <w:pPr>
              <w:spacing w:after="0"/>
              <w:rPr>
                <w:sz w:val="15"/>
                <w:szCs w:val="15"/>
                <w:color w:val="auto"/>
              </w:rPr>
            </w:pPr>
          </w:p>
        </w:tc>
      </w:tr>
      <w:tr>
        <w:trPr>
          <w:trHeight w:val="176"/>
        </w:trPr>
        <w:tc>
          <w:tcPr>
            <w:tcW w:w="680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Net loss per share - basic and diluted</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(0.36)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(0.59)</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the three months ended March 31, 2018 and 2017, the total number of securities that could potentially dilute basic net loss per share in the future that were not included in the computation of diluted net loss per share because the effect would have been antidilutive was 8.0 million and 6.1 million,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AND OTHER LIABILITIES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and other liabilities consist of the following (in thousands):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80" w:type="dxa"/>
            <w:vAlign w:val="bottom"/>
            <w:gridSpan w:val="3"/>
          </w:tcPr>
          <w:p>
            <w:pPr>
              <w:ind w:left="1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3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69"/>
        </w:trPr>
        <w:tc>
          <w:tcPr>
            <w:tcW w:w="4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Accrued clinical and non-clinical expenses</w:t>
            </w: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3,912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5,447</w:t>
            </w:r>
          </w:p>
        </w:tc>
        <w:tc>
          <w:tcPr>
            <w:tcW w:w="60" w:type="dxa"/>
            <w:vAlign w:val="bottom"/>
            <w:shd w:val="clear" w:color="auto" w:fill="CCEEFF"/>
          </w:tcPr>
          <w:p>
            <w:pPr>
              <w:spacing w:after="0"/>
              <w:rPr>
                <w:sz w:val="14"/>
                <w:szCs w:val="14"/>
                <w:color w:val="auto"/>
              </w:rPr>
            </w:pPr>
          </w:p>
        </w:tc>
      </w:tr>
      <w:tr>
        <w:trPr>
          <w:trHeight w:val="176"/>
        </w:trPr>
        <w:tc>
          <w:tcPr>
            <w:tcW w:w="4340" w:type="dxa"/>
            <w:vAlign w:val="bottom"/>
          </w:tcPr>
          <w:p>
            <w:pPr>
              <w:spacing w:after="0" w:line="176" w:lineRule="exact"/>
              <w:rPr>
                <w:sz w:val="20"/>
                <w:szCs w:val="20"/>
                <w:color w:val="auto"/>
              </w:rPr>
            </w:pPr>
            <w:r>
              <w:rPr>
                <w:rFonts w:ascii="Arial" w:cs="Arial" w:eastAsia="Arial" w:hAnsi="Arial"/>
                <w:sz w:val="18"/>
                <w:szCs w:val="18"/>
                <w:color w:val="auto"/>
              </w:rPr>
              <w:t>Accrued contract manufacturing</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3,309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3,980</w:t>
            </w:r>
          </w:p>
        </w:tc>
        <w:tc>
          <w:tcPr>
            <w:tcW w:w="60" w:type="dxa"/>
            <w:vAlign w:val="bottom"/>
          </w:tcPr>
          <w:p>
            <w:pPr>
              <w:spacing w:after="0"/>
              <w:rPr>
                <w:sz w:val="15"/>
                <w:szCs w:val="15"/>
                <w:color w:val="auto"/>
              </w:rPr>
            </w:pPr>
          </w:p>
        </w:tc>
      </w:tr>
      <w:tr>
        <w:trPr>
          <w:trHeight w:val="176"/>
        </w:trPr>
        <w:tc>
          <w:tcPr>
            <w:tcW w:w="4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professional and consulting services</w:t>
            </w: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5"/>
                <w:szCs w:val="15"/>
                <w:color w:val="auto"/>
              </w:rPr>
            </w:pPr>
          </w:p>
        </w:tc>
      </w:tr>
      <w:tr>
        <w:trPr>
          <w:trHeight w:val="176"/>
        </w:trPr>
        <w:tc>
          <w:tcPr>
            <w:tcW w:w="43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984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752</w:t>
            </w:r>
          </w:p>
        </w:tc>
        <w:tc>
          <w:tcPr>
            <w:tcW w:w="60" w:type="dxa"/>
            <w:vAlign w:val="bottom"/>
            <w:tcBorders>
              <w:bottom w:val="single" w:sz="8" w:color="CCEEFF"/>
            </w:tcBorders>
          </w:tcPr>
          <w:p>
            <w:pPr>
              <w:spacing w:after="0"/>
              <w:rPr>
                <w:sz w:val="15"/>
                <w:szCs w:val="15"/>
                <w:color w:val="auto"/>
              </w:rPr>
            </w:pPr>
          </w:p>
        </w:tc>
      </w:tr>
      <w:tr>
        <w:trPr>
          <w:trHeight w:val="176"/>
        </w:trPr>
        <w:tc>
          <w:tcPr>
            <w:tcW w:w="4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8,784</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10,709</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319" w:lineRule="exact"/>
        <w:rPr>
          <w:sz w:val="20"/>
          <w:szCs w:val="20"/>
          <w:color w:val="auto"/>
        </w:rPr>
      </w:pPr>
    </w:p>
    <w:p>
      <w:pPr>
        <w:ind w:right="3900"/>
        <w:spacing w:after="0" w:line="456" w:lineRule="auto"/>
        <w:rPr>
          <w:sz w:val="20"/>
          <w:szCs w:val="20"/>
          <w:color w:val="auto"/>
        </w:rPr>
      </w:pPr>
      <w:r>
        <w:rPr>
          <w:rFonts w:ascii="Arial" w:cs="Arial" w:eastAsia="Arial" w:hAnsi="Arial"/>
          <w:sz w:val="18"/>
          <w:szCs w:val="18"/>
          <w:b w:val="1"/>
          <w:bCs w:val="1"/>
          <w:color w:val="auto"/>
        </w:rPr>
        <w:t xml:space="preserve">NOTE 8. COLLABORATION AND LICENSING AGREEMENTS </w:t>
      </w:r>
      <w:r>
        <w:rPr>
          <w:rFonts w:ascii="Arial" w:cs="Arial" w:eastAsia="Arial" w:hAnsi="Arial"/>
          <w:sz w:val="18"/>
          <w:szCs w:val="18"/>
          <w:b w:val="1"/>
          <w:bCs w:val="1"/>
          <w:i w:val="1"/>
          <w:iCs w:val="1"/>
          <w:color w:val="auto"/>
        </w:rPr>
        <w:t>Kyowa Hakko Kirin Co., Ltd., or KHK</w:t>
      </w:r>
    </w:p>
    <w:p>
      <w:pPr>
        <w:spacing w:after="0" w:line="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November 2017, the Company entered into an exclusive license agreement with KHK, or the KHK Agreement, for the development, commercialization and distribution of tenapanor in Japan for cardiorenal indications. The Company assessed these arrangements in accordance with Topic 606 and concluded that the contract counterparty, KHK, is a customer. Under the terms of the KHK Agreement, the Company received $30.0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 Additionally, on January 1, 2018, the Company recorded an increase in current assets of $5.0 million as well as in current liabilities of $1.0 million related to the first milestone under the KHK Agreement which the Company believes is not materially at risk, reflecting revenues and cost of revenue, respectively, that would have been recognized in the fourth quarter 2017 if the Company had adopted Topic 606 prior to January 1, 2018.</w:t>
      </w:r>
    </w:p>
    <w:p>
      <w:pPr>
        <w:spacing w:after="0" w:line="1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addition to the up-front license fee of $30.0 million, the Company may be entitled to receive up to $55.0 million in total development milestones and 8.5 billion yen in commercialization milestones, as well as reimbursement of cost plus a reasonable overhead for the supply of product and high-teen royalties on net sales throughout the term of the agreement.</w:t>
      </w:r>
    </w:p>
    <w:p>
      <w:pPr>
        <w:spacing w:after="0" w:line="147" w:lineRule="exact"/>
        <w:rPr>
          <w:sz w:val="20"/>
          <w:szCs w:val="20"/>
          <w:color w:val="auto"/>
        </w:rPr>
      </w:pPr>
    </w:p>
    <w:p>
      <w:pPr>
        <w:ind w:right="1540" w:firstLine="324"/>
        <w:spacing w:after="0" w:line="510" w:lineRule="auto"/>
        <w:rPr>
          <w:sz w:val="20"/>
          <w:szCs w:val="20"/>
          <w:color w:val="auto"/>
        </w:rPr>
      </w:pPr>
      <w:r>
        <w:rPr>
          <w:rFonts w:ascii="Arial" w:cs="Arial" w:eastAsia="Arial" w:hAnsi="Arial"/>
          <w:sz w:val="16"/>
          <w:szCs w:val="16"/>
          <w:color w:val="auto"/>
        </w:rPr>
        <w:t xml:space="preserve">There was no revenue recorded in the period ended March 31, 2018 related to the KHK Agreement. </w:t>
      </w:r>
      <w:r>
        <w:rPr>
          <w:rFonts w:ascii="Arial" w:cs="Arial" w:eastAsia="Arial" w:hAnsi="Arial"/>
          <w:sz w:val="16"/>
          <w:szCs w:val="16"/>
          <w:b w:val="1"/>
          <w:bCs w:val="1"/>
          <w:i w:val="1"/>
          <w:iCs w:val="1"/>
          <w:color w:val="auto"/>
        </w:rPr>
        <w:t>Shanghai Fosun Pharmaceutical Industrial Development Co. Ltd., or Fosun Pharma</w:t>
      </w:r>
    </w:p>
    <w:p>
      <w:pPr>
        <w:spacing w:after="0" w:line="1"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Topic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16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In addition, the Company may be entitled to additional development and commercialization milestones of up to $113.0 million, as well as reimbursement of cost plus a reasonable overhead for the supply of product and tiered royalties on net sales ranging from the mid-teens to 20%.</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was no revenue recorded in the period ended March 31, 2018 related to the Fosun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or Knight</w:t>
      </w:r>
    </w:p>
    <w:p>
      <w:pPr>
        <w:spacing w:after="0" w:line="18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Topic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16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Under the terms of the agreement, the Company is eligible to receive up to CAD 25 million in total payments including an up-front payment and development and sales milestones, reimbursement of supply costs on a schedule specifying cost per tablet, with a reasonable mark up for overhead, as well as double-digit tiered royalties on net sales.</w:t>
      </w:r>
    </w:p>
    <w:p>
      <w:pPr>
        <w:spacing w:after="0" w:line="16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In the period ended March 31, 2018, there was $2.3 million of revenue recorded related to the Knight Agreement and $0.5 million of cost of revenue pursuant to the AstraZeneca Termination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85" w:lineRule="exact"/>
        <w:rPr>
          <w:sz w:val="20"/>
          <w:szCs w:val="20"/>
          <w:color w:val="auto"/>
        </w:rPr>
      </w:pPr>
    </w:p>
    <w:p>
      <w:pPr>
        <w:jc w:val="both"/>
        <w:ind w:firstLine="324"/>
        <w:spacing w:after="0" w:line="209" w:lineRule="auto"/>
        <w:rPr>
          <w:sz w:val="20"/>
          <w:szCs w:val="20"/>
          <w:color w:val="auto"/>
        </w:rPr>
      </w:pPr>
      <w:r>
        <w:rPr>
          <w:rFonts w:ascii="Arial" w:cs="Arial" w:eastAsia="Arial" w:hAnsi="Arial"/>
          <w:sz w:val="18"/>
          <w:szCs w:val="18"/>
          <w:color w:val="auto"/>
        </w:rPr>
        <w:t>In June 2015, the Company entered into a termination agreement with AstraZeneca, or the Termination Agreement, pursuant to which the Company remains liable to pay AstraZeneca license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To date in aggregate, the Company has recognized $9.9 million of the $75.0 million, recorded as cost of revenue comprising (i) $6.0 million and $2.4 million related to the KHK Agreement and Fosun Agreement, respectively, recorded in 2017 (ii) $1.0 million related to the KHK Agreement associated with a future milestone which the Company believes is not materially at risk for which the Company recorded an increase in current liabilities in the period ended March 31, 2018 reflecting the future payable to AstraZeneca and (iii) $0.5 million related to the Knight Agreement recorded in the period ended March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8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left="980" w:hanging="971"/>
        <w:spacing w:after="0" w:line="23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jc w:val="both"/>
        <w:ind w:firstLine="324"/>
        <w:spacing w:after="0" w:line="181"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consolidated financial statements and notes thereto included elsewhere in this report and with the audited consolidated financial statements and related notes thereto included as part of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2017.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w:t>
      </w:r>
    </w:p>
    <w:p>
      <w:pPr>
        <w:spacing w:after="0" w:line="18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are a specialized biopharmaceutical company focused on developing first-in-class, disruptive medicines for the treatment of renal diseases, which affect both the heart and the kidneys. This includes patients with end-stage renal disease, or ESRD, who suffer from elevated serum phosphorus, or hyperphosphatemia; and patients with chronic kidney disease, or CKD, and/or heart failure who have elevated serum potassium, or hyperkalemia. We have also developed a number of programs directed toward treating gastrointestinal, or GI, disorders, including the treatment of irritable bowel syndrome with constipation, or IBS-C.</w:t>
      </w:r>
    </w:p>
    <w:p>
      <w:pPr>
        <w:spacing w:after="0" w:line="16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portfolio is led by the development of tenapanor, a first-in-class inhibitor of NHE3. In our renal pipeline, tenapanor is being evaluated in a second Phase 3 trial for the treatment of hyperphosphatemia in patients with ESRD who are on dialysis. We are also advancing a small molecule potassium secretagogue program, RDX013, for the potential treatment of hyperkalemia.</w:t>
      </w:r>
    </w:p>
    <w:p>
      <w:pPr>
        <w:spacing w:after="0" w:line="16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have also developed tenapanor for the treatment of people with irritable bowel syndrome with constipation, or IBS-C. In 2017, we completed the T3MPO program for this indication, including two Phase 3 studies, both of which achieved statistical significance for the primary endpoint, and a long-term safety extension study. Based on the results of the T3MPO clinical program in IBS-C, we currently plan to submit our first NDA to FDA in the second half of 2018 for tenapanor for the treatment of IBS-C.</w:t>
      </w:r>
    </w:p>
    <w:p>
      <w:pPr>
        <w:spacing w:after="0" w:line="16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16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activities, including developing our clinical product candidate tenapanor and developing our proprietary drug discovery and design platform. We have not generated any revenues from product sales and have no products approved for commercialization.</w:t>
      </w:r>
    </w:p>
    <w:p>
      <w:pPr>
        <w:spacing w:after="0" w:line="16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We expect to incur operating losses for the foreseeable future as we prepare for the development and commercialization of tenapanor, including costs associated with completing the on-going Phase 3 development program for tenapanor for the treatment of hyperphosphatemia in patients with ESRD on dialysis, as well as the advancement of our research programs into the preclinical stage and the progression of our early stage research. To date, we have funded our operations from the sale and issuance of common stock, convertible preferred stock, funds from our former collaboration partnerships with AstraZeneca AB, or AstraZeneca, and Sanofi SA, or Sanofi, and funds from our recent license agreements with Kyowa Hakko Kirin Co., Ltd., or KHK, Shanghai Fosun Pharmaceutical Industrial Development Co. Ltd., or Fosun Pharma, and Knight Therapeutics Inc., or Knight.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have not generated any revenue from product sales. Our past revenue performance is not necessarily indicative of results to be expected for the entire year ending December 31, 2018, or future operating periods. Our non-product revenue cannot always be predicted since it is dependent upon achievement of certain milestones. See “NOTE 2. SUMMARY OF SIGNIFICANT ACCOUNTING POLICIES” for further detail.</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During the first quarter of 2018, we executed license agreements with Knight for the development, commercialization and distribution of tenapanor for hyperphosphatemia and IBS-C in Canada. Under the terms of the Knight license agreements, the Company received a nonrefundable payment of CAD 3 million, or U.S. $2.3 million, in up-front license fees, which was recorded as revenue when the contracts were executed. The agreement also provides for development and commercialization milestone payments, which will be recorded as revenue when we achieve the underlying milestone.</w:t>
      </w:r>
    </w:p>
    <w:p>
      <w:pPr>
        <w:spacing w:after="0" w:line="15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 xml:space="preserve">On January 1, 2018 we adopted the new standard for Revenue from Contracts with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Topic 606, on a modified retrospective method as an adjustment to the opening balance of retained earnings of the annual reporting period. On January 1, 2018, we recorded an increase in current assets of $5.0 million reflecting a future receivable related to the first milestone under our license with KHK, which we believe is not materially at risk, an increase in current liabilities of $1.0 million reflecting a future payable related to the corresponding payment to AstraZeneca, in accordance with our termination agreement with AstraZeneca and a related decrease in its accumulated deficit of approximately $4.0 million as the new standard permits revenue from certain milestones to be recognized earlier of approximately $4.0 million as the new standard contains different recognition criteria related to milestones than under the previous standard, Topic 605.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Cost of revenue currently represents payments due to AstraZeneca, who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 these expenses as cost of revenue when we recognize the revenue that generates our liability for these license payments. To date in aggregate, we have recognized $9.9 million of the $75.0 million, recorded as cost of revenue comprising (i) $6.0 million and $2.4 million related to the KHK Agreement and Fosun Agreement, respectively, recorded in 2017 (ii) $1.0 million related to the KHK Agreement associated with a future milestone which we believe is not materially at risk for which we recorded an increase in current liabilities in the period ended March 31, 2018 reflecting the future payable to AstraZeneca and (iii) $0.5 million related to the Knight Agreement recorded in the period ended March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We recognize all research and development expenses as they are incurred to support the discovery, development and manufacturing of our product candidates. Research and development expenses consist of the following:</w:t>
      </w:r>
    </w:p>
    <w:p>
      <w:pPr>
        <w:spacing w:after="0" w:line="147" w:lineRule="exact"/>
        <w:rPr>
          <w:sz w:val="20"/>
          <w:szCs w:val="20"/>
          <w:color w:val="auto"/>
        </w:rPr>
      </w:pPr>
    </w:p>
    <w:p>
      <w:pPr>
        <w:jc w:val="both"/>
        <w:ind w:left="660" w:hanging="333"/>
        <w:spacing w:after="0" w:line="224" w:lineRule="auto"/>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external research and development expenses incurred under agreements with consultants, third-party CROs and investigative sites where a substantial portion of our clinical studies are conducted, and with contract manufacturing organizations where our clinical supplies are produced;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expenses associated with supplies and materials consumed in connection with our research operations;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7"/>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other costs associated with regulatory, clinical and non-clinical development activities;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58" w:lineRule="auto"/>
        <w:tabs>
          <w:tab w:leader="none" w:pos="660" w:val="left"/>
        </w:tabs>
        <w:numPr>
          <w:ilvl w:val="0"/>
          <w:numId w:val="8"/>
        </w:numPr>
        <w:rPr>
          <w:rFonts w:ascii="Arial" w:cs="Arial" w:eastAsia="Arial" w:hAnsi="Arial"/>
          <w:sz w:val="17"/>
          <w:szCs w:val="17"/>
          <w:color w:val="231F20"/>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information technology expense and other supplies.</w:t>
      </w:r>
    </w:p>
    <w:p>
      <w:pPr>
        <w:spacing w:after="0" w:line="14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expect to continue to make substantial investments in research and development activities as we progress the development of tenapanor, as well as our other product candidates, advance our research programs into the preclinical stage and continue our early stage research. The process of conducting preclinical studies and clinical trials necessary to obtain regulatory approval is costly and time consuming. We may never succeed in achieving marketing approval for any of our product candidates, including tenapanor. Additionally, if marketing approval is received for tenapanor for the treatment of IBS-C, we may not be successful in securing one or more collaboration partners to commercialize tenapanor in the United States and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68"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General and administrative expenses consist primarily of salaries and related costs, including stock-based compensation. Other general and administrative expenses include facility related costs and professional fees for legal, accounting, investor relations and other consulting services.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anticipate that our general and administrative expenses will increase substantially in the future primarily because of</w:t>
      </w:r>
    </w:p>
    <w:p>
      <w:pPr>
        <w:spacing w:after="0" w:line="8" w:lineRule="exact"/>
        <w:rPr>
          <w:sz w:val="20"/>
          <w:szCs w:val="20"/>
          <w:color w:val="auto"/>
        </w:rPr>
      </w:pPr>
    </w:p>
    <w:p>
      <w:pPr>
        <w:jc w:val="both"/>
        <w:ind w:firstLine="3"/>
        <w:spacing w:after="0" w:line="218" w:lineRule="auto"/>
        <w:tabs>
          <w:tab w:leader="none" w:pos="22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pre-commercial activities and personnel costs to support the potential launch of tenapanor for the treatment of hyperphosphatemia in ESRD patients on dialysis and (ii) expenses related to costs of operating as a public company primarily preparing for future integrated audits.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provision for income taxes was insignificant for the three months ended March 31, 2018 and zero for the three months ended March 31, 2017. We expect to generate a net loss for the year ending December 31, 2018. Our deferred tax assets continue to be fully offset by a valuation allowance.</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 Tax Cuts and Jobs Act ("TCJA") makes broad and complex changes to the U.S. tax code, including, but not limited to, reducing the U.S. federal corporate tax rate from 35% to 21%, effective January 1, 2018. The Company was able to determine a reasonable estimate of certain effects of the TCJA and has therefore recognized the provisional tax impacts related to the revaluation of deferred tax assets and liabilities. The Securities and Exchange Commission has provided accounting and reporting guidance that allows the Company to report provisional amounts within a measurement period of up to one year from the date of enactment due to the complexities inherent in adopting the TCJA. The ultimate impact may differ from provisional amounts, possibly materially, due to, among other things, additional analysis, changes in interpretations and assumptions the Company has made, additional regulatory guidance that may be issued, and actions the Company may take as a result of the TCJA. As of March 31, 2018, the Company still considers its accounting for the impacts of the new law to be provisional and will continue to assess the impact of the recently enacted tax law on its business and condensed consolidated financial statements over the next nine months.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Polices and Estimates</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upon our unaudited condensed consolidated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at the date of the financial statements, as well as the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consider certain accounting policies related to research and development expense, accruals and stock-based compensation to be critical policies. Other than the implementation of Topic 606 there have been no changes to our critical accounting policies since we filed our 2017 Form 10-K with the SEC on March 14, 2018. For a description of our critical accounting policies, please refer to our Form 10-K we filed with the SEC on March 14,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months ended March 31, 2018 and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160" w:firstLine="324"/>
        <w:spacing w:after="0" w:line="235" w:lineRule="auto"/>
        <w:rPr>
          <w:sz w:val="20"/>
          <w:szCs w:val="20"/>
          <w:color w:val="auto"/>
        </w:rPr>
      </w:pPr>
      <w:r>
        <w:rPr>
          <w:rFonts w:ascii="Arial" w:cs="Arial" w:eastAsia="Arial" w:hAnsi="Arial"/>
          <w:sz w:val="18"/>
          <w:szCs w:val="18"/>
          <w:color w:val="auto"/>
        </w:rPr>
        <w:t>Revenue for the three months ended March 31, 2018, as compared to the same period in the prior year, 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29"/>
        </w:trPr>
        <w:tc>
          <w:tcPr>
            <w:tcW w:w="920" w:type="dxa"/>
            <w:vAlign w:val="bottom"/>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38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920" w:type="dxa"/>
            <w:vAlign w:val="bottom"/>
          </w:tcPr>
          <w:p>
            <w:pPr>
              <w:spacing w:after="0"/>
              <w:rPr>
                <w:sz w:val="14"/>
                <w:szCs w:val="14"/>
                <w:color w:val="auto"/>
              </w:rPr>
            </w:pPr>
          </w:p>
        </w:tc>
        <w:tc>
          <w:tcPr>
            <w:tcW w:w="51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Licensing revenue</w:t>
            </w: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2,320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76"/>
        </w:trPr>
        <w:tc>
          <w:tcPr>
            <w:tcW w:w="920" w:type="dxa"/>
            <w:vAlign w:val="bottom"/>
          </w:tcPr>
          <w:p>
            <w:pPr>
              <w:spacing w:after="0"/>
              <w:rPr>
                <w:sz w:val="15"/>
                <w:szCs w:val="15"/>
                <w:color w:val="auto"/>
              </w:rPr>
            </w:pPr>
          </w:p>
        </w:tc>
        <w:tc>
          <w:tcPr>
            <w:tcW w:w="5160" w:type="dxa"/>
            <w:vAlign w:val="bottom"/>
            <w:gridSpan w:val="2"/>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5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85" w:lineRule="exact"/>
        <w:rPr>
          <w:sz w:val="20"/>
          <w:szCs w:val="20"/>
          <w:color w:val="auto"/>
        </w:rPr>
      </w:pPr>
    </w:p>
    <w:p>
      <w:pPr>
        <w:ind w:right="20" w:firstLine="324"/>
        <w:spacing w:after="0" w:line="224" w:lineRule="auto"/>
        <w:rPr>
          <w:sz w:val="20"/>
          <w:szCs w:val="20"/>
          <w:color w:val="auto"/>
        </w:rPr>
      </w:pPr>
      <w:r>
        <w:rPr>
          <w:rFonts w:ascii="Arial" w:cs="Arial" w:eastAsia="Arial" w:hAnsi="Arial"/>
          <w:sz w:val="18"/>
          <w:szCs w:val="18"/>
          <w:color w:val="auto"/>
        </w:rPr>
        <w:t>Revenue were $2.3 million for the three months ended March 31, 2018, an increase of $2.3 million, compared to zero for the three months ended March 31, 2017. The increase in licensing revenue of $2.3 million was related to the license fees payment we received.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240" w:firstLine="324"/>
        <w:spacing w:after="0" w:line="235" w:lineRule="auto"/>
        <w:rPr>
          <w:sz w:val="20"/>
          <w:szCs w:val="20"/>
          <w:color w:val="auto"/>
        </w:rPr>
      </w:pPr>
      <w:r>
        <w:rPr>
          <w:rFonts w:ascii="Arial" w:cs="Arial" w:eastAsia="Arial" w:hAnsi="Arial"/>
          <w:sz w:val="18"/>
          <w:szCs w:val="18"/>
          <w:color w:val="auto"/>
        </w:rPr>
        <w:t>Cost of revenue for the three months ended March 31, 2018, as compared to the same period in the prior year, 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920" w:type="dxa"/>
            <w:vAlign w:val="bottom"/>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36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1"/>
                <w:szCs w:val="11"/>
                <w:color w:val="auto"/>
              </w:rPr>
            </w:pPr>
          </w:p>
        </w:tc>
      </w:tr>
      <w:tr>
        <w:trPr>
          <w:trHeight w:val="169"/>
        </w:trPr>
        <w:tc>
          <w:tcPr>
            <w:tcW w:w="920" w:type="dxa"/>
            <w:vAlign w:val="bottom"/>
          </w:tcPr>
          <w:p>
            <w:pPr>
              <w:spacing w:after="0"/>
              <w:rPr>
                <w:sz w:val="14"/>
                <w:szCs w:val="14"/>
                <w:color w:val="auto"/>
              </w:rPr>
            </w:pPr>
          </w:p>
        </w:tc>
        <w:tc>
          <w:tcPr>
            <w:tcW w:w="50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5020" w:type="dxa"/>
            <w:vAlign w:val="bottom"/>
            <w:gridSpan w:val="2"/>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464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5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44" w:lineRule="exact"/>
        <w:rPr>
          <w:sz w:val="20"/>
          <w:szCs w:val="20"/>
          <w:color w:val="auto"/>
        </w:rPr>
      </w:pPr>
    </w:p>
    <w:p>
      <w:pPr>
        <w:jc w:val="both"/>
        <w:ind w:right="120" w:firstLine="324"/>
        <w:spacing w:after="0" w:line="238" w:lineRule="auto"/>
        <w:rPr>
          <w:sz w:val="20"/>
          <w:szCs w:val="20"/>
          <w:color w:val="auto"/>
        </w:rPr>
      </w:pPr>
      <w:r>
        <w:rPr>
          <w:rFonts w:ascii="Arial" w:cs="Arial" w:eastAsia="Arial" w:hAnsi="Arial"/>
          <w:sz w:val="17"/>
          <w:szCs w:val="17"/>
          <w:color w:val="auto"/>
        </w:rPr>
        <w:t>Cost of revenue were $0.5 million for the three months ended March 31, 2018, an increase of $0.5 million, compared to zero for the three months ended March 31, 2017. The increase in cost of revenue of $0.5 million was due to the license fees paid to AstraZeneca pursuant to the Termination Agreement, corresponding to the revenue realized.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Research and development expenses for the three months ended March 31, 2018, as compared to the same period in the prior year, were as follows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29"/>
        </w:trPr>
        <w:tc>
          <w:tcPr>
            <w:tcW w:w="5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9"/>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51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13,350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22,387</w:t>
            </w: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(9,037)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Research and development expenses were $13.4 million for the three months ended March 31, 2018, a decrease of $9.0 million, or 40%, compared to $22.4 million for the three months ended March 31, 2017. The decrease consisted of a $7.0 million decrease in our external program costs and a $2.0 million decrease in our internal program costs.</w:t>
      </w:r>
    </w:p>
    <w:p>
      <w:pPr>
        <w:spacing w:after="0" w:line="161"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The decrease in our external program costs of $7.0 million was due to a decrease of $3.1 million primarily related to a decrease in expenses incurred for clinical development activities related to the completion of our tenapanor IBS-C Phase 3 clinical program as well as our first tenapanor hyperphosphatemia Phase 3 clinical trial offset partially by an increase due to the start of our second tenapanor hyperphosphatemia Phase 3 study. Additionally, $3.3 million of the decrease is related to discontinuation of the RDX7675 program and $0.6 million is related to the reduction of activities associated with the RDX8940 program.</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decrease in our internal costs of $2.0 million was primarily due to a decrease in salaries and related costs, including stock-based compensation costs, primarily as a result of a reduction in work force during the third quarter of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General and administrative expenses for the three months ended March 31, 2018, as compared to the same period in the prior year, were as follows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1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50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9"/>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1"/>
                <w:szCs w:val="11"/>
                <w:color w:val="auto"/>
              </w:rPr>
            </w:pPr>
          </w:p>
        </w:tc>
      </w:tr>
      <w:tr>
        <w:trPr>
          <w:trHeight w:val="169"/>
        </w:trPr>
        <w:tc>
          <w:tcPr>
            <w:tcW w:w="50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6,191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6,047</w:t>
            </w:r>
          </w:p>
        </w:tc>
        <w:tc>
          <w:tcPr>
            <w:tcW w:w="60" w:type="dxa"/>
            <w:vAlign w:val="bottom"/>
            <w:shd w:val="clear" w:color="auto" w:fill="CCEEFF"/>
          </w:tcPr>
          <w:p>
            <w:pPr>
              <w:spacing w:after="0"/>
              <w:rPr>
                <w:sz w:val="14"/>
                <w:szCs w:val="14"/>
                <w:color w:val="auto"/>
              </w:rPr>
            </w:pPr>
          </w:p>
        </w:tc>
      </w:tr>
      <w:tr>
        <w:trPr>
          <w:trHeight w:val="176"/>
        </w:trPr>
        <w:tc>
          <w:tcPr>
            <w:tcW w:w="508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144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5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2 %</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General and administrative expenses were $6.2 million for the three months ended March 31, 2018, an increase of $0.2 million, or 2%, compared to $6.0 million for the three months ended March 31, 2017, remaining relatively flat. The increase was primarily due to an increase in stock-based compensation expense, partially offset by a reduction in salaries and related costs due to reduction in work force during the third quarter of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displays a summary of our cash, cash equivalents and short-term investments as of March 31, 2018 and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2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67,745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ind w:right="34"/>
              <w:spacing w:after="0" w:line="170" w:lineRule="exact"/>
              <w:rPr>
                <w:sz w:val="20"/>
                <w:szCs w:val="20"/>
                <w:color w:val="auto"/>
              </w:rPr>
            </w:pPr>
            <w:r>
              <w:rPr>
                <w:rFonts w:ascii="Arial" w:cs="Arial" w:eastAsia="Arial" w:hAnsi="Arial"/>
                <w:sz w:val="18"/>
                <w:szCs w:val="18"/>
                <w:color w:val="auto"/>
              </w:rPr>
              <w:t>75,383</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7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Short-term investments</w:t>
            </w:r>
          </w:p>
        </w:tc>
        <w:tc>
          <w:tcPr>
            <w:tcW w:w="2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59,704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
              <w:spacing w:after="0" w:line="176" w:lineRule="exact"/>
              <w:rPr>
                <w:sz w:val="20"/>
                <w:szCs w:val="20"/>
                <w:color w:val="auto"/>
              </w:rPr>
            </w:pPr>
            <w:r>
              <w:rPr>
                <w:rFonts w:ascii="Arial" w:cs="Arial" w:eastAsia="Arial" w:hAnsi="Arial"/>
                <w:sz w:val="18"/>
                <w:szCs w:val="18"/>
                <w:color w:val="auto"/>
              </w:rPr>
              <w:t>58,593</w:t>
            </w: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27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liquid funds</w:t>
            </w:r>
          </w:p>
        </w:tc>
        <w:tc>
          <w:tcPr>
            <w:tcW w:w="2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127,449</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CCEEFF"/>
            </w:tcBorders>
            <w:shd w:val="clear" w:color="auto" w:fill="CCEEFF"/>
          </w:tcPr>
          <w:p>
            <w:pPr>
              <w:jc w:val="right"/>
              <w:ind w:right="34"/>
              <w:spacing w:after="0" w:line="170" w:lineRule="exact"/>
              <w:rPr>
                <w:sz w:val="20"/>
                <w:szCs w:val="20"/>
                <w:color w:val="auto"/>
              </w:rPr>
            </w:pPr>
            <w:r>
              <w:rPr>
                <w:rFonts w:ascii="Arial" w:cs="Arial" w:eastAsia="Arial" w:hAnsi="Arial"/>
                <w:sz w:val="18"/>
                <w:szCs w:val="18"/>
                <w:color w:val="auto"/>
              </w:rPr>
              <w:t>133,976</w:t>
            </w:r>
          </w:p>
        </w:tc>
        <w:tc>
          <w:tcPr>
            <w:tcW w:w="900" w:type="dxa"/>
            <w:vAlign w:val="bottom"/>
          </w:tcPr>
          <w:p>
            <w:pPr>
              <w:spacing w:after="0"/>
              <w:rPr>
                <w:sz w:val="16"/>
                <w:szCs w:val="16"/>
                <w:color w:val="auto"/>
              </w:rPr>
            </w:pPr>
          </w:p>
        </w:tc>
      </w:tr>
      <w:tr>
        <w:trPr>
          <w:trHeight w:val="797"/>
        </w:trPr>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40" w:type="dxa"/>
            <w:vAlign w:val="bottom"/>
          </w:tcPr>
          <w:p>
            <w:pPr>
              <w:jc w:val="right"/>
              <w:ind w:right="15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Our primary sources of cash have been primarily from past equity financings and collaboration partnerships, including past collaboration partnerships with AstraZeneca and Sanofi and recent collaboration partnerships with KHK Fosun Pharma, and Knight. 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62"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believe that our existing capital resources as of March 31, 2018 will be sufficient to meet our projected operating requirements for at least the next 12-months. We have based this estimate on assumptions that may prove to be wrong, and we could utilize our available capital resources sooner than we currently expect. Further,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enter into additional collaboration partnerships with third-parties to participate in their development and commercialization, our future funding requirements will depend on many factors, including the following:</w:t>
      </w:r>
    </w:p>
    <w:p>
      <w:pPr>
        <w:spacing w:after="0" w:line="167" w:lineRule="exact"/>
        <w:rPr>
          <w:sz w:val="20"/>
          <w:szCs w:val="20"/>
          <w:color w:val="auto"/>
        </w:rPr>
      </w:pPr>
    </w:p>
    <w:p>
      <w:pPr>
        <w:jc w:val="both"/>
        <w:ind w:left="660" w:hanging="333"/>
        <w:spacing w:after="0" w:line="219"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progress, timing, scope, results and costs of our Phase 3 clinical trial programs evaluating tenapanor for the treatment of hyperphosphatemia in ESRD patients on dialysis, the submission of an NDA with the FDA to request marketing authorization for tenapanor for the treatment of IBS-C, as well as our decision whether or not to pursue other indications for tenapanor;</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our ability to successfully commercialize tenapanor, either alone or with one or more collaboration partners;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10"/>
        </w:numPr>
        <w:rPr>
          <w:rFonts w:ascii="Arial" w:cs="Arial" w:eastAsia="Arial" w:hAnsi="Arial"/>
          <w:sz w:val="16"/>
          <w:szCs w:val="16"/>
          <w:color w:val="231F20"/>
        </w:rPr>
      </w:pPr>
      <w:r>
        <w:rPr>
          <w:rFonts w:ascii="Arial" w:cs="Arial" w:eastAsia="Arial" w:hAnsi="Arial"/>
          <w:sz w:val="16"/>
          <w:szCs w:val="16"/>
          <w:color w:val="auto"/>
        </w:rPr>
        <w:t>the manufacturing costs of tenapanor, and the availability of one or more suppliers for tenapanor at reasonable costs;</w:t>
      </w:r>
    </w:p>
    <w:p>
      <w:pPr>
        <w:spacing w:after="0" w:line="207"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0"/>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number and scope of research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 and</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12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5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r>
      <w:tr>
        <w:trPr>
          <w:trHeight w:val="169"/>
        </w:trPr>
        <w:tc>
          <w:tcPr>
            <w:tcW w:w="5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used in operating activities</w:t>
            </w:r>
          </w:p>
        </w:tc>
        <w:tc>
          <w:tcPr>
            <w:tcW w:w="200" w:type="dxa"/>
            <w:vAlign w:val="bottom"/>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(6,804)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(26,761)</w:t>
            </w:r>
          </w:p>
        </w:tc>
        <w:tc>
          <w:tcPr>
            <w:tcW w:w="60" w:type="dxa"/>
            <w:vAlign w:val="bottom"/>
            <w:gridSpan w:val="2"/>
            <w:shd w:val="clear" w:color="auto" w:fill="CCEEFF"/>
          </w:tcPr>
          <w:p>
            <w:pPr>
              <w:spacing w:after="0"/>
              <w:rPr>
                <w:sz w:val="14"/>
                <w:szCs w:val="14"/>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Cash (used in) provided by investing activities</w:t>
            </w:r>
          </w:p>
        </w:tc>
        <w:tc>
          <w:tcPr>
            <w:tcW w:w="200" w:type="dxa"/>
            <w:vAlign w:val="bottom"/>
          </w:tcPr>
          <w:p>
            <w:pPr>
              <w:spacing w:after="0"/>
              <w:rPr>
                <w:sz w:val="15"/>
                <w:szCs w:val="15"/>
                <w:color w:val="auto"/>
              </w:rPr>
            </w:pPr>
          </w:p>
        </w:tc>
        <w:tc>
          <w:tcPr>
            <w:tcW w:w="9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(1,135)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22,968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provided by financing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5140" w:type="dxa"/>
            <w:vAlign w:val="bottom"/>
          </w:tcPr>
          <w:p>
            <w:pPr>
              <w:spacing w:after="0" w:line="170" w:lineRule="exact"/>
              <w:rPr>
                <w:sz w:val="20"/>
                <w:szCs w:val="20"/>
                <w:color w:val="auto"/>
              </w:rPr>
            </w:pPr>
            <w:r>
              <w:rPr>
                <w:rFonts w:ascii="Arial" w:cs="Arial" w:eastAsia="Arial" w:hAnsi="Arial"/>
                <w:sz w:val="18"/>
                <w:szCs w:val="18"/>
                <w:color w:val="auto"/>
              </w:rPr>
              <w:t>Net decrease in cash and cash equivalents</w:t>
            </w:r>
          </w:p>
        </w:tc>
        <w:tc>
          <w:tcPr>
            <w:tcW w:w="20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(7,638)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(3,385)</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8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Net cash used in operating activities during the three months ended March 31, 2018, was approximately $6.8 million. The net loss of $17.0 million was adjusted for non-cash charges of $3.1 million related to depreciation, amortization and stock-based compensation expense, and an increase to cash of $7.1 million related to other working capital items associated with changes in our net operating assets and liabilities primarily related to a decrease of receivables related to the Fosun Agreement offset by working capital related to clinical development and manufacturing of tenapanor.</w:t>
      </w:r>
    </w:p>
    <w:p>
      <w:pPr>
        <w:spacing w:after="0" w:line="159"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Net cash used in operating activities during the three months ended March 31, 2017 was approximately $26.8 million. The net loss of $28.0 million was adjusted for (i) an increase of accounts payable and accrued liabilities of $0.7 million primarily due to expenses incurred for the clinical manufacturing, process development, and clinical development activities for tenapanor, RDX7675 and RDX8940, (ii) non-cash charges of $0.6 million for depreciation and amortization and $2.1 million for stock-based compensation and (iii) a decrease in pre-payments of $2.2 million to vendors for clinical development and manufacturing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used in investing activities was $1.1 million for the three months ended March 31, 2018, primarily due to purchases of investments of $39.0 million offset by maturities of short-term investments of $37.1 million and redemptions of investments of $0.8 million.</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Net cash provided by investing activities was $23.0 million for the three months ended March 31, 2017 and was primarily due to maturities and sales of short-term investments of $42.4 million. This was offset by purchases of short-term investments of $18.3 million and acquisition of property and equipment of $1.1 million related to the expansion of our laboratory and related equipment.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8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Net cash provided by financing activities for the three months ended March 31, 2018, was $0.3 million, primarily due to proceeds from issuance of common stock under the employee stock purchase plan, or ESPP.</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Net cash provided by financing activities for the three months ended March 31, 2017 was $0.4 million and was primarily due to proceeds from issuance of common stock under the ESPP and 2014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324"/>
        <w:spacing w:after="0" w:line="203" w:lineRule="exact"/>
        <w:rPr>
          <w:sz w:val="20"/>
          <w:szCs w:val="20"/>
          <w:color w:val="auto"/>
        </w:rPr>
      </w:pPr>
      <w:r>
        <w:rPr>
          <w:rFonts w:ascii="Arial" w:cs="Arial" w:eastAsia="Arial" w:hAnsi="Arial"/>
          <w:sz w:val="18"/>
          <w:szCs w:val="18"/>
          <w:color w:val="auto"/>
        </w:rPr>
        <w:t>Refer to Note 2 in the notes to our unaudited interim condensed consolidated financial statements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a discussion of recent accounting pronouncements.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firstLine="324"/>
        <w:spacing w:after="0" w:line="203" w:lineRule="exact"/>
        <w:rPr>
          <w:sz w:val="20"/>
          <w:szCs w:val="20"/>
          <w:color w:val="auto"/>
        </w:rPr>
      </w:pPr>
      <w:r>
        <w:rPr>
          <w:rFonts w:ascii="Arial" w:cs="Arial" w:eastAsia="Arial" w:hAnsi="Arial"/>
          <w:sz w:val="18"/>
          <w:szCs w:val="18"/>
          <w:color w:val="auto"/>
        </w:rPr>
        <w:t>There have been no material changes in the sources and effects of our market risk compared to the disclosures in Item 7A of our 2017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firstLine="324"/>
        <w:spacing w:after="0" w:line="182" w:lineRule="exact"/>
        <w:rPr>
          <w:sz w:val="20"/>
          <w:szCs w:val="20"/>
          <w:color w:val="auto"/>
        </w:rPr>
      </w:pPr>
      <w:r>
        <w:rPr>
          <w:rFonts w:ascii="Arial" w:cs="Arial" w:eastAsia="Arial" w:hAnsi="Arial"/>
          <w:sz w:val="18"/>
          <w:szCs w:val="18"/>
          <w:color w:val="auto"/>
        </w:rPr>
        <w:t>As required by Rule 13a</w:t>
      </w:r>
      <w:r>
        <w:rPr>
          <w:rFonts w:ascii="MS PGothic" w:cs="MS PGothic" w:eastAsia="MS PGothic" w:hAnsi="MS PGothic"/>
          <w:sz w:val="18"/>
          <w:szCs w:val="18"/>
          <w:color w:val="auto"/>
        </w:rPr>
        <w:t>‑</w:t>
      </w:r>
      <w:r>
        <w:rPr>
          <w:rFonts w:ascii="Arial" w:cs="Arial" w:eastAsia="Arial" w:hAnsi="Arial"/>
          <w:sz w:val="18"/>
          <w:szCs w:val="18"/>
          <w:color w:val="auto"/>
        </w:rPr>
        <w:t>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Exchange Act) as of March 31, 2018.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March 31, 2018, our disclosure controls and procedures were effective at a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March 31, 2018, there is no litigation pending that would reasonably be expected to have a material adverse effect on our results of operations and financial condition.</w:t>
      </w: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firstLine="324"/>
        <w:spacing w:after="0" w:line="185"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March 31, 2018, we had an accumulated deficit of $291.2 million.</w:t>
      </w:r>
    </w:p>
    <w:p>
      <w:pPr>
        <w:spacing w:after="0" w:line="163"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expect that our operating losses will substantially increase for the foreseeable future as we prepare for the potential commercialization of, and incur manufacturing and development costs for, tenapanor, including costs associated with completing the ongoing Phase 3 development of tenapanor for the treatment of hyperphosphatemia in ESRD patients on dialysis, preparing the new drug application, or NDA, for submission to the U.S. Food and Drug Administration, or FDA, to request marketing authorization for tenapanor for the treatment of patients with IBS-C, and continuing our discovery and research activities.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163"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85"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tenapanor for one or more indications, either on our own, or with one or more collaboration partners. We do not anticipate generating revenue from product sales for the foreseeable future. Our ability to generate future revenue from product sales or pursuant to milestone payments depends heavily on many factors, including but not limited to:</w:t>
      </w:r>
    </w:p>
    <w:p>
      <w:pPr>
        <w:spacing w:after="0" w:line="165"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successful completion of nonclinical and clinical development of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obtaining regulatory approvals for tenapanor, either on our own, or with one or more collaboration partners;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identify a collaboration partnership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1"/>
        </w:numPr>
        <w:rPr>
          <w:rFonts w:ascii="Arial" w:cs="Arial" w:eastAsia="Arial" w:hAnsi="Arial"/>
          <w:sz w:val="16"/>
          <w:szCs w:val="16"/>
          <w:color w:val="231F20"/>
        </w:rPr>
      </w:pPr>
      <w:r>
        <w:rPr>
          <w:rFonts w:ascii="Arial" w:cs="Arial" w:eastAsia="Arial" w:hAnsi="Arial"/>
          <w:sz w:val="16"/>
          <w:szCs w:val="16"/>
          <w:color w:val="auto"/>
        </w:rPr>
        <w:t>our ability to successfully commercialize tenapanor, either on our own, or with one or more collaboration partners;</w:t>
      </w:r>
    </w:p>
    <w:p>
      <w:pPr>
        <w:spacing w:after="0" w:line="207" w:lineRule="exact"/>
        <w:rPr>
          <w:rFonts w:ascii="Arial" w:cs="Arial" w:eastAsia="Arial" w:hAnsi="Arial"/>
          <w:sz w:val="16"/>
          <w:szCs w:val="16"/>
          <w:color w:val="231F20"/>
        </w:rPr>
      </w:pPr>
    </w:p>
    <w:p>
      <w:pPr>
        <w:jc w:val="both"/>
        <w:ind w:left="660" w:hanging="333"/>
        <w:spacing w:after="0" w:line="224"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if approved;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obtaining market acceptance of tenapanor, if approved, as a viable treatment option for the indications for which it is approved;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identifying, assessing, acquiring, in-licensing and/or developing new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negotiating favorable terms in any collaboration partnership, licensing or other arrangements into which we may enter;</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In cases where we are successful in obtaining regulatory approvals to market tenapanor for one or more indications,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If the number of patients suitable for tenapanor is not as significant as we estimate, the indications approved by regulatory authorities are narrower than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7"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completing the clinical program for tenapanor for the treatment of hyperphosphatemia in ESRD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64" w:lineRule="exact"/>
        <w:rPr>
          <w:sz w:val="20"/>
          <w:szCs w:val="20"/>
          <w:color w:val="auto"/>
        </w:rPr>
      </w:pPr>
    </w:p>
    <w:p>
      <w:pPr>
        <w:jc w:val="both"/>
        <w:ind w:left="660" w:hanging="333"/>
        <w:spacing w:after="0" w:line="219"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progress, timing, scope, results and costs of our Phase 3 clinical trial programs evaluating tenapanor for the treatment of hyperphosphatemia in ESRD patients on dialysis, the submission of an NDA with the FDA to request marketing authorization for tenapanor for the treatment of IBS-C, as well as our decision whether or not to pursue other indications for tenapanor;</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7"/>
          <w:szCs w:val="17"/>
          <w:color w:val="231F20"/>
        </w:rPr>
      </w:pPr>
      <w:r>
        <w:rPr>
          <w:rFonts w:ascii="Arial" w:cs="Arial" w:eastAsia="Arial" w:hAnsi="Arial"/>
          <w:sz w:val="17"/>
          <w:szCs w:val="17"/>
          <w:color w:val="auto"/>
        </w:rPr>
        <w:t>our ability to successfully commercialize tenapanor, either alone or with one or more collaboration partners;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2"/>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 and</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w:t>
      </w:r>
    </w:p>
    <w:p>
      <w:pPr>
        <w:spacing w:after="0" w:line="163"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reduce or terminate our research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b w:val="1"/>
          <w:bCs w:val="1"/>
          <w:i w:val="1"/>
          <w:iCs w:val="1"/>
          <w:color w:val="auto"/>
        </w:rPr>
        <w:t>We are substantially dependent on the success of our lead product candidate, tenapanor, which may not be successful in further nonclinical studies or clinical trials, receive regulatory approval or be successfully commercialized.</w:t>
      </w:r>
    </w:p>
    <w:p>
      <w:pPr>
        <w:spacing w:after="0" w:line="10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63" w:lineRule="exact"/>
        <w:rPr>
          <w:sz w:val="20"/>
          <w:szCs w:val="20"/>
          <w:color w:val="auto"/>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61"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demonstrated, and to manufacture supplies of tenapanor and to develop, validate and maintain commercially viable manufacturing processes that are compliant with cGMP, requirements;</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the FDA or foreign regulatory authorities require additional nonclinical and/or clinical studies, which could delay the commercialization of tenapanor;</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the FDA or foreign regulatory authorities require us to conduct clinical trials in addition to those anticipated prior to approval to market tenapanor;</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manage the complex pricing and reimbursement negotiations associated with marketing the same product at different doses for separate indications, if tenapanor is approved for marketing and sale by the FDA or foreign regulatory authorities for both IBS-C and hyperphosphatemia in dialysis patients;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obtaining and sustaining an adequate level of coverage and reimbursement for tenapanor by third-party payors;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As tenapanor is a first-in-class drug, there is a higher likelihood that approval may not be attained as compared to a class of drugs with approved products. While tenapanor met the primary endpoint in two Phase 3 clinical studies evaluating tenapanor for the treatment of patients with IBS-C, there can be no assurance that our NDA that we plan to submit for this indication, once submitted, will be accepted by FDA or that we will receive marketing authorization from FDA. Although tenapanor met the primary endpoint in the first Phase 3 clinical trial for the treatment of hyperphosphatemia in ESRD patients on dialysis, there can be no assurances that the second Phase 3 trial of tenapanor in this indication will achieve the primary endpoint, or that tenapanor will receive regulatory approval for this indication.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and we may encounter substantial delays in our Phase 3 clinical study of tenapanor for the treatment of hyperphosphatemia. Furthermore, results of earlier studies and trials may not be predictive of future trial results.</w:t>
      </w:r>
    </w:p>
    <w:p>
      <w:pPr>
        <w:spacing w:after="0" w:line="147"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Although tenapanor met the primary endpoint in the first Phase 3 clinical trial for the treatment of hyperphosphatemia in ESRD patients on dialysis, there can be no assurances that the second Phase 3 trial results of tenapanor in that indication will show the desired safety and efficacy.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Phase 3 program for tenapanor for the treatment of hyperphosphatemia is completed, and despite the completion of our Phase 3 program for tenapanor for IBS-C, the results for one or both indications may not be sufficient to obtain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We do not know whether our second Phase 3 clinical trial for tenapanor for the treatment of hyperphosphatemia will enroll an adequate number of patients on time or be completed on schedule, if at all. Clinical trials can be delayed or terminated for a variety of reasons, including delay or failure to:</w:t>
      </w:r>
    </w:p>
    <w:p>
      <w:pPr>
        <w:spacing w:after="0" w:line="163" w:lineRule="exact"/>
        <w:rPr>
          <w:sz w:val="20"/>
          <w:szCs w:val="20"/>
          <w:color w:val="auto"/>
        </w:rPr>
      </w:pPr>
    </w:p>
    <w:p>
      <w:pPr>
        <w:jc w:val="both"/>
        <w:ind w:left="660" w:hanging="333"/>
        <w:spacing w:after="0" w:line="224"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obtain institutional review board, or IRB, approval at each site;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recruit suitable patients in a timely manner to participate in our trials;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have patients complete a trial or return for post-treatment follow-up;</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ensure that clinical sites observe trial protocol, comply with good clinical practices, or GCPs, or continue to participate in a trial;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address any patient safety concerns that arise during the course of a trial;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address any conflicts with new or existing laws or regulations; 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initiate or add a sufficient number of clinical trial sites.</w:t>
      </w:r>
    </w:p>
    <w:p>
      <w:pPr>
        <w:spacing w:after="0" w:line="18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62"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We could also encounter delays if our Phase 3 clinical trial is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6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Further, if there are delays in the completion of, or termination of, the Phase 3 clinical trial for tenapanor for the treatment of hyperphosphatemia, the commercial prospects of tenapanor for such indication may be harmed, and our ability to generate revenue from product sales of tenapanor for such indication will be delayed. In addition, any delays in completing the clinical trial will increase costs, slow down our regulatory approval process for tenapanor for hyperphosphatemia and jeopardize the ability to commence product sales and generate revenue from product sales for this indication. Any of these occurrences may significantly harm our business, financial condition and prospects. In addition, many of the factors that may cause, or lead to, a delay in the completion of the Phase 3 clinical trial may also ultimately lead to the denial of regulatory approval.</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Even if we successfully obtain regulatory approval for tenapanor, it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4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Even if tenapanor obtains FDA or other regulatory approvals, and is ultimately commercialized for one or more indications, it may not achieve market acceptance among physicians, patients, third-party payors, patient advocacy groups,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and the medical community. Market acceptance of tenapanor, in the event that marketing approval is obtained, depends on a number of factors, including:</w:t>
      </w:r>
    </w:p>
    <w:p>
      <w:pPr>
        <w:spacing w:after="0" w:line="162" w:lineRule="exact"/>
        <w:rPr>
          <w:sz w:val="20"/>
          <w:szCs w:val="20"/>
          <w:color w:val="auto"/>
        </w:rPr>
      </w:pPr>
    </w:p>
    <w:p>
      <w:pPr>
        <w:ind w:left="660" w:hanging="333"/>
        <w:spacing w:after="0" w:line="25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tenapanor for IBS-C in the United States, our ability to obtain a collaboration partner for commercialization and the strength of such collaboration partner’s marketing and distribution organizations;</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demonstrated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18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6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18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6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willingness to pay for tenapanor, if approved, on the part of physicians and patients;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 and</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Any failure by us to obtain a collaboration partner for the commercialization of tenapanor in the United States for IBS-C and any failure of tenapanor to achieve market acceptance, sufficient third-party coverage or reimbursement, or commercial success, should it receive regulatory approval, would adversely affect our results of operations.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43"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currently do not have a sales organization. In order to commercialize or co-promote tenapanor or any of our other product candidates, we must enter collaborative relationships with one or more third parties, or build internal marketing, sales, distribution, managerial and other non-technical capabilities. There can be no assurances that we will be successful in establishing collaborative relationships in a timely manner or on terms that are acceptable to us. If tenapanor receives regulatory approval and we have not entered collaborative relationships for the commercialization of tenapanor in the United States, we would have to establish appropriate sales organizations with technical expertise supporting distribution capabilities to commercialize the product candidate, which will be expensive and time consuming, or delay the commercial launch of tenapanor for such indication.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If we are unable to enter collaborative relationships a timely manner, or on acceptable terms, and/or we fail or are delayed in the development of our internal sales, marketing and distribution capabilities, we may choose to delay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commercialization of our products and/or the commercialization of our products could be adversely impacted, and we may not be able to successfully commercialize our product candidates.</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7"/>
          <w:szCs w:val="17"/>
          <w:color w:val="auto"/>
        </w:rPr>
        <w:t>A key element of our strategy has been focused on the expansion of our pipeline of product candidates utilizing our proprietary drug discovery and design platform and to advance such product candidates through clinical development. In December 2016, we filed an IND to commence clinical development of RDX8940 in the United States. In August 2017, we completed a comprehensive strategic review of our operations, assessing several core areas, to optimally position the company to advance towards delivering on multiple significant opportunities with our late-stage portfolio and execute on our strategic objectives. This review resulted in the prioritization of resources to focus on the upcoming milestones for the late-stage programs, a delay in the development of a number of earlier-stage programs, including RDX8940, and a reduction in workforce. RDX8940 and those product candidates that are in the discovery and lead identification stages of preclinical development will require substantial preclinical and clinical development, testing and regulatory approval prior to commercialization, and we may not be able to access the capital necessary to fund such efforts on acceptable terms.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71"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62" w:lineRule="exact"/>
        <w:rPr>
          <w:sz w:val="20"/>
          <w:szCs w:val="20"/>
          <w:color w:val="auto"/>
        </w:rPr>
      </w:pPr>
    </w:p>
    <w:p>
      <w:pPr>
        <w:jc w:val="both"/>
        <w:ind w:left="660" w:hanging="333"/>
        <w:spacing w:after="0" w:line="224"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7"/>
          <w:szCs w:val="17"/>
          <w:color w:val="231F20"/>
        </w:rPr>
      </w:pPr>
      <w:r>
        <w:rPr>
          <w:rFonts w:ascii="Arial" w:cs="Arial" w:eastAsia="Arial" w:hAnsi="Arial"/>
          <w:sz w:val="17"/>
          <w:szCs w:val="17"/>
          <w:color w:val="auto"/>
        </w:rPr>
        <w:t>product candidates we develop may nevertheless be covered by third parties’ patents or other exclusive rights;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7"/>
        </w:numPr>
        <w:rPr>
          <w:rFonts w:ascii="Arial" w:cs="Arial" w:eastAsia="Arial" w:hAnsi="Arial"/>
          <w:sz w:val="16"/>
          <w:szCs w:val="16"/>
          <w:color w:val="231F20"/>
        </w:rPr>
      </w:pPr>
      <w:r>
        <w:rPr>
          <w:rFonts w:ascii="Arial" w:cs="Arial" w:eastAsia="Arial" w:hAnsi="Arial"/>
          <w:sz w:val="16"/>
          <w:szCs w:val="16"/>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24"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have developed a proprietary drug discovery and design platform to enable the identification, screening, testing, design and development of new product candidates, and have developed APECCS as a component of this of this platform. We utilize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renal diseases, we may need to further develop our proprietary drug discovery and design platform to enhance its usefulness in the identification, screening, testing, design and development of new product candidates for the treatment of renal diseases. There can be no assurances that we will be successful in such additional development of our platform or that our platform will yield product candidates for the treatment of renal diseases.</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63"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17"/>
          <w:szCs w:val="17"/>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regulatory approval, if any. If tenapanor or any of our other product candidates receives marketing approval and we or others later identify undesirable side effects caused by the product candidate, the ability to market the product candidates could be compromised.</w:t>
      </w:r>
    </w:p>
    <w:p>
      <w:pPr>
        <w:spacing w:after="0" w:line="161"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0"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163"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184" w:lineRule="exact"/>
        <w:rPr>
          <w:rFonts w:ascii="Arial" w:cs="Arial" w:eastAsia="Arial" w:hAnsi="Arial"/>
          <w:sz w:val="18"/>
          <w:szCs w:val="18"/>
          <w:color w:val="231F20"/>
        </w:rPr>
      </w:pPr>
    </w:p>
    <w:p>
      <w:pPr>
        <w:jc w:val="both"/>
        <w:ind w:left="660" w:hanging="333"/>
        <w:spacing w:after="0" w:line="216"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62"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7"/>
          <w:szCs w:val="17"/>
          <w:color w:val="231F20"/>
        </w:rPr>
      </w:pPr>
      <w:r>
        <w:rPr>
          <w:rFonts w:ascii="Arial" w:cs="Arial" w:eastAsia="Arial" w:hAnsi="Arial"/>
          <w:sz w:val="17"/>
          <w:szCs w:val="17"/>
          <w:color w:val="auto"/>
        </w:rPr>
        <w:t>we, or a collaboration partner, may be subject to fines, injunctions or the imposition of civil or criminal penalties;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The biotechnology and pharmaceutical industries are highly competitive, and we face significant competition from companies in the biotechnology, pharmaceutical and other related markets that are researching and marketing products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designed to address diseases that we are currently developing products to treat. If approved for marketing by the FDA or other regulatory agencies, tenapanor, as well as our other product candidates, would compete against existing treatments.</w:t>
      </w:r>
    </w:p>
    <w:p>
      <w:pPr>
        <w:spacing w:after="0" w:line="124"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example, tenapanor will, if approved, compete directly with phosphate binders for the treatment of hyperphosphatemia in ESRD patients on dialysis. The various types of phosphate binders commercialized in the United States include the following:</w:t>
      </w:r>
    </w:p>
    <w:p>
      <w:pPr>
        <w:spacing w:after="0" w:line="163"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Lanthanum carbonate (Fosrenol marketed by Shire)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Sevelamer hydrochloride (Renagel, marketed by Sanofi)</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Sevelamer carbonate (Renvela, marketed by Sanofi)</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Sucroferric oxyhydroxide (Velphoro, marketed by Vifor Fresenius)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Ferric citrate (Auryxia, marketed by Keryx)</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hydrochloride form of sevelamer, Renagel, was launched in the United States by Genzyme Corporation in 1998 prior to its acquisition by Sanofi, and the carbonate form, Renvela, was launched in 2008. Sanofi booked €802 million ($0.98 billion) in worldwide sales of sevelamer during 2017.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6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5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We are also aware of three prescription products marketed for IBS-C: (i) Linzess (linaclotide), marketed by Ironwood Pharmaceuticals and Allergan, (ii) Amitiza (lubiprostone), marketed by Takeda and Sucampo, a wholly-owned subsidiary of Mallinckrodt, and (iii) Trulance (plecanatide), marketed by Synergy Pharmaceuticals.</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On August 7, 2017, our Board of Directors approved a restructuring plan, pursuant to which we reduced our workforce by 29%, resulting in 75 remaining employees. We will need to manage our operations and clinical trials, and continue our development and pre-commercial activities for our product candidates with this reduced workforce. Our management and personnel, and systems currently in place may not be adequate to support our current activities or future growth. Our need to effectively execute our business strategy requires that we:</w:t>
      </w:r>
    </w:p>
    <w:p>
      <w:pPr>
        <w:spacing w:after="0" w:line="162" w:lineRule="exact"/>
        <w:rPr>
          <w:sz w:val="20"/>
          <w:szCs w:val="20"/>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manage our clinical trials effectively, including the Phase 3 trial of tenapanor which is being conducted at multiple trial sites;</w:t>
      </w:r>
    </w:p>
    <w:p>
      <w:pPr>
        <w:spacing w:after="0" w:line="161" w:lineRule="exact"/>
        <w:rPr>
          <w:rFonts w:ascii="Arial" w:cs="Arial" w:eastAsia="Arial" w:hAnsi="Arial"/>
          <w:sz w:val="18"/>
          <w:szCs w:val="18"/>
          <w:color w:val="231F20"/>
        </w:rPr>
      </w:pPr>
    </w:p>
    <w:p>
      <w:pPr>
        <w:ind w:left="640" w:hanging="286"/>
        <w:spacing w:after="0" w:line="235" w:lineRule="auto"/>
        <w:tabs>
          <w:tab w:leader="none" w:pos="640" w:val="left"/>
        </w:tabs>
        <w:numPr>
          <w:ilvl w:val="1"/>
          <w:numId w:val="21"/>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61" w:lineRule="exact"/>
        <w:rPr>
          <w:rFonts w:ascii="Arial" w:cs="Arial" w:eastAsia="Arial" w:hAnsi="Arial"/>
          <w:sz w:val="18"/>
          <w:szCs w:val="18"/>
          <w:color w:val="231F20"/>
        </w:rPr>
      </w:pPr>
    </w:p>
    <w:p>
      <w:pPr>
        <w:ind w:left="640" w:hanging="286"/>
        <w:spacing w:after="0"/>
        <w:tabs>
          <w:tab w:leader="none" w:pos="640" w:val="left"/>
        </w:tabs>
        <w:numPr>
          <w:ilvl w:val="1"/>
          <w:numId w:val="21"/>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pacing w:after="0" w:line="207" w:lineRule="exact"/>
        <w:rPr>
          <w:rFonts w:ascii="Arial" w:cs="Arial" w:eastAsia="Arial" w:hAnsi="Arial"/>
          <w:sz w:val="16"/>
          <w:szCs w:val="16"/>
          <w:color w:val="231F20"/>
        </w:rPr>
      </w:pPr>
    </w:p>
    <w:p>
      <w:pPr>
        <w:ind w:left="640" w:hanging="286"/>
        <w:spacing w:after="0"/>
        <w:tabs>
          <w:tab w:leader="none" w:pos="640" w:val="left"/>
        </w:tabs>
        <w:numPr>
          <w:ilvl w:val="1"/>
          <w:numId w:val="21"/>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We rely completely on third parties to manufacture our nonclinical and clinical drug supplies, and we intend to rely on third parties to produce commercial supplies of tenapanor, if approved. Our business would be harmed if those third parties fail to obtain approval of the FDA, Competent Authorities of the Member States of the EEA or comparable regulatory authorities, fail to provide us with sufficient quantities of drug product, or fail to do so at acceptable quality levels or prices.</w:t>
      </w:r>
    </w:p>
    <w:p>
      <w:pPr>
        <w:spacing w:after="0" w:line="162"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any drug products must be approved by the FDA pursuant to inspections that will be conducted after an NDA is submitted to the FDA. We do not control the manufacturing process of our product candidates, and we are completely dependent on our contract manufacturing partners for compliance with the regulatory requirements, known as cGMPs, for manufacture of both active drug substances and finished drug products.</w:t>
      </w:r>
    </w:p>
    <w:p>
      <w:pPr>
        <w:spacing w:after="0" w:line="165"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62"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We rely on our manufacturers to purchase from third-party suppliers the materials necessary to produce our product candidates for our clinical studies. There are a limited number of suppliers for raw materials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63"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63"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of the recent legislation, beginning in 2025, ESRD-related drugs may be included in the bundle and separate Medicare reimbursement will no longer be available for such drugs, as it is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increase faster than increases in reimbursement levels.</w:t>
      </w:r>
    </w:p>
    <w:p>
      <w:pPr>
        <w:spacing w:after="0" w:line="16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downward pressure on healthcare costs in general, particularly prescription drugs and surgical procedures and other treatments, has become very intense. As a result, increasingly high barriers are being erected to the entry of new products.</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62"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66"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We are highly dependent on the services of our President and Chief Executive Officer, Michael Raab, our Chief Operating Officer, Reginald Seeto, MBBS, and our Chief Development Officer, David Rosenbaum, Ph.D. If we are not able to retain these members of our management team, or recruit additional management, clinical and scientific personnel, our business will suffer.</w:t>
      </w:r>
    </w:p>
    <w:p>
      <w:pPr>
        <w:spacing w:after="0" w:line="16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personnel. In particular, we are highly dependent upon Michael Raab, our President and Chief Executive Officer, Reginald Seeto, MBBS, our Chief Operating Officer and David Rosenbaum, Ph.D., our Chief Development Officer. The loss of services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of any of these individuals could delay or impair the successful development of our product pipeline, completion of our planned clinical trials or the commercialization of our product candidates. Although we have entered into employment agreements with our senior management team, including Mr. Raab and Drs. Seeto and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6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data security breaches, which could adversely affect our business.</w:t>
      </w:r>
    </w:p>
    <w:p>
      <w:pPr>
        <w:spacing w:after="0" w:line="162"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systems to support business processes as well as internal and external communications. Despite the implementation of security measures, the size and complexity of our internal computer systems, and those of our CROs and other contractors, make them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significantly increase our costs to recover or reproduce the data. In addition, our systems are potentially vulnerable to data security breaches, whether by employees or others, which may expose sensitive data to unauthorized persons. Such data security breaches could lead to the loss of trade secrets or other intellectual property, or could lead to the public exposure of personal information of our employees, clinical trial patients, customers, and others. Such disruptions and breaches of security could expose us to liability and have a material adverse effect on the operating results and financial condition of our business.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30"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earlier of (1) the last day of the fiscal year following the fifth anniversary of the completion of our IPO (December 31, 2019), (2) the last day of the fiscal year in which we have total annual gross revenue of at least $1.07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16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62"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Hakko Kirin Co., Ltd. for commercialization of tenapanor for hyperphosphatemia in Japan, with Shanghai Fosun Pharmaceutical Industrial Development Co. Ltd. for commercialization of tenapanor for hyperphosphatemia and IBS-C in China and related territories, and in Canada with Knight Therapeutics Inc. for commercialization of tenapanor for IBS-C and hyperphosphatemia. We also expect to form one or more additional collaboration partnerships in connection with the commercialization of tenapanor, if approved.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such additional collaboration partnerships for tenapanor for IBS-C commercialization or for any future product candidates and programs on terms that are acceptable to us, or at all. With respect to tenapanor, this may be because third parties may not view tenapanor for the treatment of IBS-C as having sufficient potential to be successfully commercialized. If we are unable to establish a collaboration partnership for the commercialization of IBS-C in the United States, the commercialization of tenapanor for IBS-C, if approved,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6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may consider strategic transactions, such as acquisitions of companies, asset purchases, and 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63" w:lineRule="exact"/>
        <w:rPr>
          <w:sz w:val="20"/>
          <w:szCs w:val="20"/>
          <w:color w:val="auto"/>
        </w:rPr>
      </w:pPr>
    </w:p>
    <w:p>
      <w:pPr>
        <w:ind w:left="660" w:hanging="333"/>
        <w:spacing w:after="0" w:line="235" w:lineRule="auto"/>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 to pay for acquisitions;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seek and obtain approval to commercialize our product candidates outside of the United States, or otherwise engage in business outside of the United States, a variety of risks associated with international operations could materially adversely affect our business.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In addition to Japan, China and Canada, we or our collaboration partners may decide to seek marketing approval for certain of our product candidates outside the United States or otherwise engage in business outside the United States, including entering into contractual agreements with third-parties. We expect that we will be subject to additional risks related to entering these international business markets and relationships, including:</w:t>
      </w:r>
    </w:p>
    <w:p>
      <w:pPr>
        <w:spacing w:after="0" w:line="163"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200" w:lineRule="exact"/>
        <w:rPr>
          <w:rFonts w:ascii="Arial" w:cs="Arial" w:eastAsia="Arial" w:hAnsi="Arial"/>
          <w:sz w:val="18"/>
          <w:szCs w:val="18"/>
          <w:color w:val="231F20"/>
        </w:rPr>
      </w:pPr>
    </w:p>
    <w:p>
      <w:pPr>
        <w:spacing w:after="0" w:line="200" w:lineRule="exact"/>
        <w:rPr>
          <w:rFonts w:ascii="Arial" w:cs="Arial" w:eastAsia="Arial" w:hAnsi="Arial"/>
          <w:sz w:val="18"/>
          <w:szCs w:val="18"/>
          <w:color w:val="231F20"/>
        </w:rPr>
      </w:pPr>
    </w:p>
    <w:p>
      <w:pPr>
        <w:spacing w:after="0" w:line="216" w:lineRule="exact"/>
        <w:rPr>
          <w:rFonts w:ascii="Arial" w:cs="Arial" w:eastAsia="Arial" w:hAnsi="Arial"/>
          <w:sz w:val="18"/>
          <w:szCs w:val="18"/>
          <w:color w:val="231F20"/>
        </w:rPr>
      </w:pPr>
    </w:p>
    <w:p>
      <w:pPr>
        <w:ind w:left="4440"/>
        <w:spacing w:after="0"/>
        <w:rPr>
          <w:rFonts w:ascii="Arial" w:cs="Arial" w:eastAsia="Arial" w:hAnsi="Arial"/>
          <w:sz w:val="18"/>
          <w:szCs w:val="18"/>
          <w:color w:val="231F20"/>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production shortages resulting from any events affecting raw material supply or manufacturing capabilities abroad;</w:t>
      </w:r>
    </w:p>
    <w:p>
      <w:pPr>
        <w:spacing w:after="0" w:line="207" w:lineRule="exact"/>
        <w:rPr>
          <w:rFonts w:ascii="Arial" w:cs="Arial" w:eastAsia="Arial" w:hAnsi="Arial"/>
          <w:sz w:val="16"/>
          <w:szCs w:val="16"/>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7"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capital and credit markets. We cannot anticipate all the ways in which the global economic climate and global financial market conditions could adversely impact our business in the future.</w:t>
      </w:r>
    </w:p>
    <w:p>
      <w:pPr>
        <w:spacing w:after="0" w:line="162"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63"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63"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We have not submitted an application or obtained marketing approval for any of our product candidates anywhere in the world.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65"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warning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4"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6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62" w:lineRule="exact"/>
        <w:rPr>
          <w:sz w:val="20"/>
          <w:szCs w:val="20"/>
          <w:color w:val="auto"/>
        </w:rPr>
      </w:pPr>
    </w:p>
    <w:p>
      <w:pPr>
        <w:ind w:left="660" w:hanging="333"/>
        <w:spacing w:after="0" w:line="235" w:lineRule="auto"/>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61"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63"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warning letters, fines or holds on clinical trials;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18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6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65"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6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63"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6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65"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approved, tenapanor and our other product candidates may cause or contribute to adverse medical events that we are required to report to regulatory agencies and if we fail to do so we could be subject to sanctions that would materially harm our business.</w:t>
      </w:r>
    </w:p>
    <w:p>
      <w:pPr>
        <w:spacing w:after="0" w:line="163" w:lineRule="exact"/>
        <w:rPr>
          <w:sz w:val="20"/>
          <w:szCs w:val="20"/>
          <w:color w:val="auto"/>
        </w:rPr>
      </w:pPr>
    </w:p>
    <w:p>
      <w:pPr>
        <w:jc w:val="both"/>
        <w:ind w:firstLine="324"/>
        <w:spacing w:after="0" w:line="209" w:lineRule="auto"/>
        <w:rPr>
          <w:sz w:val="20"/>
          <w:szCs w:val="20"/>
          <w:color w:val="auto"/>
        </w:rPr>
      </w:pPr>
      <w:r>
        <w:rPr>
          <w:rFonts w:ascii="Arial" w:cs="Arial" w:eastAsia="Arial" w:hAnsi="Arial"/>
          <w:sz w:val="18"/>
          <w:szCs w:val="18"/>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 curtailment of our operations, any of which could adversely affect our ability to operate our business and our results of operations.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6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161"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6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63" w:lineRule="exact"/>
        <w:rPr>
          <w:sz w:val="20"/>
          <w:szCs w:val="20"/>
          <w:color w:val="auto"/>
        </w:rPr>
      </w:pPr>
    </w:p>
    <w:p>
      <w:pPr>
        <w:jc w:val="both"/>
        <w:ind w:left="660" w:hanging="333"/>
        <w:spacing w:after="0" w:line="232" w:lineRule="auto"/>
        <w:tabs>
          <w:tab w:leader="none" w:pos="660"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62" w:lineRule="exact"/>
        <w:rPr>
          <w:rFonts w:ascii="Arial" w:cs="Arial" w:eastAsia="Arial" w:hAnsi="Arial"/>
          <w:sz w:val="17"/>
          <w:szCs w:val="17"/>
          <w:color w:val="231F20"/>
        </w:rPr>
      </w:pPr>
    </w:p>
    <w:p>
      <w:pPr>
        <w:jc w:val="both"/>
        <w:ind w:left="660" w:hanging="333"/>
        <w:spacing w:after="0" w:line="224"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63" w:lineRule="exact"/>
        <w:rPr>
          <w:rFonts w:ascii="Arial" w:cs="Arial" w:eastAsia="Arial" w:hAnsi="Arial"/>
          <w:sz w:val="18"/>
          <w:szCs w:val="18"/>
          <w:color w:val="231F20"/>
        </w:rPr>
      </w:pPr>
    </w:p>
    <w:p>
      <w:pPr>
        <w:jc w:val="both"/>
        <w:ind w:left="660" w:hanging="333"/>
        <w:spacing w:after="0" w:line="249" w:lineRule="auto"/>
        <w:tabs>
          <w:tab w:leader="none" w:pos="660" w:val="left"/>
        </w:tabs>
        <w:numPr>
          <w:ilvl w:val="0"/>
          <w:numId w:val="32"/>
        </w:numPr>
        <w:rPr>
          <w:rFonts w:ascii="Arial" w:cs="Arial" w:eastAsia="Arial" w:hAnsi="Arial"/>
          <w:sz w:val="16"/>
          <w:szCs w:val="16"/>
          <w:color w:val="231F20"/>
        </w:rPr>
      </w:pPr>
      <w:r>
        <w:rPr>
          <w:rFonts w:ascii="Arial" w:cs="Arial" w:eastAsia="Arial" w:hAnsi="Arial"/>
          <w:sz w:val="16"/>
          <w:szCs w:val="16"/>
          <w:color w:val="auto"/>
        </w:rPr>
        <w:t>the federal physician sunshine requirements under the Affordable Care Act,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33"/>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6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62" w:lineRule="exact"/>
        <w:rPr>
          <w:sz w:val="20"/>
          <w:szCs w:val="20"/>
          <w:color w:val="auto"/>
        </w:rPr>
      </w:pPr>
    </w:p>
    <w:p>
      <w:pPr>
        <w:ind w:left="660" w:hanging="333"/>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68"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We currently expect that federal and state legislatures within the United States and foreign governments will continue to consider changes to existing healthcare legislation, and we currently expect that the current Presidential Administration and U.S. Congress will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66"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to providers of 2% per fiscal year that will remain in effect through 2025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APECCS, we could be forced to stop our use of APECCS or modify our processes to avoid infringement, which may not be possible at a reasonable cost, if at all, and which could result in substantial delay in our use of APECCS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40"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5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business. Further, if we encounter delays in our clinical trials, the period of time during which we or our collaboration partners could market tenapanor or other product candidates under patent protection would be reduced.</w:t>
      </w:r>
    </w:p>
    <w:p>
      <w:pPr>
        <w:spacing w:after="0" w:line="14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62"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w:t>
      </w:r>
    </w:p>
    <w:p>
      <w:pPr>
        <w:spacing w:after="0" w:line="163"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Therefore, obtaining and enforcing biopharmaceutical patents is costly, time consuming and inherently uncertain. In addition, the United States has recently enacted and is currently implementing wide-ranging patent reform legislation, including the Leahy-Smith America Invents Act signed into law on September 16, 2011. That Act includes a number of significant changes to U.S. patent law. These include provisions that affect the way patent applications are prosecuted and new venues and opportunities for competitors to challenge patent portfolios. Because of that Act, the U.S. patent system is now a “first to file” system, which may make it more difficult to obtain patent protection for inventions and increase the uncertainties and costs surrounding the prosecution of our or our collaboration partners’ patent applications and the enforcement or defense of our or our collaboration partners’ issued patents, all of which could materially adversely affect our business, results of operations and financial condition.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8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6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courts in the United States and foreign countries may affect our ability to obtain and enforce adequate intellectual property protection for our technology.</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2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3"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63" w:lineRule="exact"/>
        <w:rPr>
          <w:sz w:val="20"/>
          <w:szCs w:val="20"/>
          <w:color w:val="auto"/>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Phase 3 clinical trial for tenapanor for hyperphosphatemia;</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35"/>
        </w:numPr>
        <w:rPr>
          <w:rFonts w:ascii="Arial" w:cs="Arial" w:eastAsia="Arial" w:hAnsi="Arial"/>
          <w:sz w:val="16"/>
          <w:szCs w:val="16"/>
          <w:color w:val="231F20"/>
        </w:rPr>
      </w:pPr>
      <w:r>
        <w:rPr>
          <w:rFonts w:ascii="Arial" w:cs="Arial" w:eastAsia="Arial" w:hAnsi="Arial"/>
          <w:sz w:val="16"/>
          <w:szCs w:val="16"/>
          <w:color w:val="auto"/>
        </w:rPr>
        <w:t>announcements of regulatory approval, a complete response letter or a refuse to file letter to tenapanor, or specific label restrictions or patient populations for its use, or changes or delays in the regulatory review process;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announcements relating to our current or future collaboration partnerships;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announcements of therapeutic innovations or new products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success of our testing and clinical trials;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failure to meet any of our projected timelines or goals with regard to the clinical development of any of our product candidates, including the Phase 3 clinical trial for tenapanor for hyperphosphatemia;</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failure to meet any of our projected timelines with regard to the filing of the NDA for tenapanor for IBS-C;</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success of our efforts to acquire or license or discover additional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success of our efforts to obtain adequate intellectual property protection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pharmaceutical industry in general;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United States equity markets;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One of our stockholders owns a significant percentage of our stock and, together with our management, will be able to exert significant control over matters subject to stockholder approval.</w:t>
      </w:r>
    </w:p>
    <w:p>
      <w:pPr>
        <w:spacing w:after="0" w:line="162"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As of March 31, 2018, entities affiliated with New Enterprise Associates, or NEA, a venture capital fund associated with one of our directors, collectively beneficially owned approximately 29.6% of our common stock, and NEA together with our executive officers and directors beneficially owned approximately 34.4% of our capital stock, including outstanding restricted stock units that will vest within 60 days of March 31, 2018, and warrants and stock options exercisable for shares of our common stock within 60 days of March 31, 2018. Therefore, these stockholders may be able to determine all matters requiring stockholder approval, and the entities affiliated with NEA alone will have significant ability to influence decisions through their ownership position. For example, these stockholders may be able to influence or control elections of directors, amendments to our organizational documents, or approval of any merger, sale of assets, or other major corporate transaction. This may prevent or discourage unsolicited acquisition proposals or offers for our common stock that certain stockholders may feel are in their best interest as one of our stockholders.</w:t>
      </w:r>
    </w:p>
    <w:p>
      <w:pPr>
        <w:spacing w:after="0" w:line="16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0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the trading price of our common stock could decline. As of March 31, 2018, we had 47,603,568 shares of common stock outstanding. Of those shares, approximately 14.4 million were held by current directors, executive officers and other affiliates, or may otherwise be subject to Rule 144 under the Securities Act of 1933, or the Securities Act.</w:t>
      </w:r>
    </w:p>
    <w:p>
      <w:pPr>
        <w:spacing w:after="0" w:line="15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As of March 31, 2018, approximately 0.6 million shares of common stock issuable upon vesting of outstanding restricted stock units and approximately 5.2 million shares of common stock issuable upon exercise of outstanding options were eligible for sale in the public market to the extent permitted by the provisions of the applicable vesting schedules, and Rule 144 and Rule 701 under the Securities Act. In addition, as of March 31, 2018,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6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As of March 31, 2018, the holders of approximately 5.6 million shares of our outstanding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47" w:lineRule="exact"/>
        <w:rPr>
          <w:sz w:val="20"/>
          <w:szCs w:val="20"/>
          <w:color w:val="auto"/>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38"/>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47" w:lineRule="exact"/>
        <w:rPr>
          <w:sz w:val="20"/>
          <w:szCs w:val="20"/>
          <w:color w:val="auto"/>
        </w:rPr>
      </w:pPr>
    </w:p>
    <w:p>
      <w:pPr>
        <w:jc w:val="both"/>
        <w:ind w:left="660" w:hanging="333"/>
        <w:spacing w:after="0" w:line="259" w:lineRule="auto"/>
        <w:tabs>
          <w:tab w:leader="none" w:pos="660" w:val="left"/>
        </w:tabs>
        <w:numPr>
          <w:ilvl w:val="0"/>
          <w:numId w:val="39"/>
        </w:numPr>
        <w:rPr>
          <w:rFonts w:ascii="Arial" w:cs="Arial" w:eastAsia="Arial" w:hAnsi="Arial"/>
          <w:sz w:val="16"/>
          <w:szCs w:val="16"/>
          <w:color w:val="231F20"/>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believed to be in or not opposed to the best interests of the registrant and, with respect to any criminal proceeding, had no reasonable cause to believe such person’s conduct was unlawful.</w:t>
      </w:r>
    </w:p>
    <w:p>
      <w:pPr>
        <w:spacing w:after="0" w:line="162" w:lineRule="exact"/>
        <w:rPr>
          <w:sz w:val="20"/>
          <w:szCs w:val="20"/>
          <w:color w:val="auto"/>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57" w:lineRule="exact"/>
        <w:rPr>
          <w:sz w:val="20"/>
          <w:szCs w:val="20"/>
          <w:color w:val="auto"/>
        </w:rPr>
      </w:pPr>
    </w:p>
    <w:p>
      <w:pPr>
        <w:ind w:right="1700"/>
        <w:spacing w:after="0" w:line="456"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Unregistered Sales of Equity Securities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4"/>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18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720" w:type="dxa"/>
            <w:vAlign w:val="bottom"/>
            <w:gridSpan w:val="13"/>
          </w:tcPr>
          <w:p>
            <w:pPr>
              <w:ind w:left="240"/>
              <w:spacing w:after="0"/>
              <w:rPr>
                <w:sz w:val="20"/>
                <w:szCs w:val="20"/>
                <w:color w:val="auto"/>
              </w:rPr>
            </w:pPr>
            <w:r>
              <w:rPr>
                <w:rFonts w:ascii="Arial" w:cs="Arial" w:eastAsia="Arial" w:hAnsi="Arial"/>
                <w:sz w:val="18"/>
                <w:szCs w:val="18"/>
                <w:b w:val="1"/>
                <w:bCs w:val="1"/>
                <w:color w:val="auto"/>
              </w:rPr>
              <w:t>Exhibits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4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10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8"/>
                <w:szCs w:val="8"/>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200" w:type="dxa"/>
            <w:vAlign w:val="bottom"/>
            <w:vMerge w:val="restart"/>
          </w:tcPr>
          <w:p>
            <w:pPr>
              <w:spacing w:after="0"/>
              <w:rPr>
                <w:sz w:val="8"/>
                <w:szCs w:val="8"/>
                <w:color w:val="auto"/>
              </w:rPr>
            </w:pPr>
          </w:p>
        </w:tc>
        <w:tc>
          <w:tcPr>
            <w:tcW w:w="7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Date</w:t>
            </w:r>
          </w:p>
        </w:tc>
        <w:tc>
          <w:tcPr>
            <w:tcW w:w="180" w:type="dxa"/>
            <w:vAlign w:val="bottom"/>
            <w:vMerge w:val="restart"/>
          </w:tcPr>
          <w:p>
            <w:pPr>
              <w:spacing w:after="0"/>
              <w:rPr>
                <w:sz w:val="8"/>
                <w:szCs w:val="8"/>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80" w:type="dxa"/>
            <w:vAlign w:val="bottom"/>
            <w:vMerge w:val="restart"/>
          </w:tcPr>
          <w:p>
            <w:pPr>
              <w:spacing w:after="0"/>
              <w:rPr>
                <w:sz w:val="8"/>
                <w:szCs w:val="8"/>
                <w:color w:val="auto"/>
              </w:rPr>
            </w:pPr>
          </w:p>
        </w:tc>
        <w:tc>
          <w:tcPr>
            <w:tcW w:w="7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Filed</w:t>
            </w: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10.0 #</w:t>
            </w:r>
          </w:p>
        </w:tc>
        <w:tc>
          <w:tcPr>
            <w:tcW w:w="200" w:type="dxa"/>
            <w:vAlign w:val="bottom"/>
          </w:tcPr>
          <w:p>
            <w:pPr>
              <w:spacing w:after="0"/>
              <w:rPr>
                <w:sz w:val="24"/>
                <w:szCs w:val="24"/>
                <w:color w:val="auto"/>
              </w:rPr>
            </w:pPr>
          </w:p>
        </w:tc>
        <w:tc>
          <w:tcPr>
            <w:tcW w:w="39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Second Amended and Restated Change in Control and</w:t>
              </w:r>
            </w:hyperlink>
          </w:p>
        </w:tc>
        <w:tc>
          <w:tcPr>
            <w:tcW w:w="80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20" w:type="dxa"/>
            <w:vAlign w:val="bottom"/>
            <w:gridSpan w:val="13"/>
          </w:tcPr>
          <w:p>
            <w:pPr>
              <w:spacing w:after="0" w:line="156" w:lineRule="exact"/>
              <w:rPr>
                <w:rFonts w:ascii="Arial" w:cs="Arial" w:eastAsia="Arial" w:hAnsi="Arial"/>
                <w:sz w:val="18"/>
                <w:szCs w:val="18"/>
                <w:color w:val="0000EE"/>
              </w:rPr>
            </w:pPr>
            <w:hyperlink w:anchor="page62">
              <w:r>
                <w:rPr>
                  <w:rFonts w:ascii="Arial" w:cs="Arial" w:eastAsia="Arial" w:hAnsi="Arial"/>
                  <w:sz w:val="18"/>
                  <w:szCs w:val="18"/>
                  <w:color w:val="0000EE"/>
                </w:rPr>
                <w:t>Severance Agreement by and between Ardelyx, Inc. and</w:t>
              </w:r>
            </w:hyperlink>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60" w:type="dxa"/>
            <w:vAlign w:val="bottom"/>
            <w:tcBorders>
              <w:top w:val="single" w:sz="8" w:color="0000EE"/>
            </w:tcBorders>
            <w:gridSpan w:val="9"/>
          </w:tcPr>
          <w:p>
            <w:pPr>
              <w:spacing w:after="0" w:line="156" w:lineRule="exact"/>
              <w:rPr>
                <w:rFonts w:ascii="Arial" w:cs="Arial" w:eastAsia="Arial" w:hAnsi="Arial"/>
                <w:sz w:val="18"/>
                <w:szCs w:val="18"/>
                <w:color w:val="0000EE"/>
              </w:rPr>
            </w:pPr>
            <w:hyperlink w:anchor="page62">
              <w:r>
                <w:rPr>
                  <w:rFonts w:ascii="Arial" w:cs="Arial" w:eastAsia="Arial" w:hAnsi="Arial"/>
                  <w:sz w:val="18"/>
                  <w:szCs w:val="18"/>
                  <w:color w:val="0000EE"/>
                </w:rPr>
                <w:t>Elizabeth Grammer.</w:t>
              </w:r>
            </w:hyperlink>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10.1 #</w:t>
            </w:r>
          </w:p>
        </w:tc>
        <w:tc>
          <w:tcPr>
            <w:tcW w:w="200" w:type="dxa"/>
            <w:vAlign w:val="bottom"/>
          </w:tcPr>
          <w:p>
            <w:pPr>
              <w:spacing w:after="0"/>
              <w:rPr>
                <w:sz w:val="24"/>
                <w:szCs w:val="24"/>
                <w:color w:val="auto"/>
              </w:rPr>
            </w:pPr>
          </w:p>
        </w:tc>
        <w:tc>
          <w:tcPr>
            <w:tcW w:w="39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Second Amended and Restated Change in Control and</w:t>
              </w:r>
            </w:hyperlink>
          </w:p>
        </w:tc>
        <w:tc>
          <w:tcPr>
            <w:tcW w:w="80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20" w:type="dxa"/>
            <w:vAlign w:val="bottom"/>
            <w:gridSpan w:val="13"/>
          </w:tcPr>
          <w:p>
            <w:pPr>
              <w:spacing w:after="0" w:line="156" w:lineRule="exact"/>
              <w:rPr>
                <w:rFonts w:ascii="Arial" w:cs="Arial" w:eastAsia="Arial" w:hAnsi="Arial"/>
                <w:sz w:val="18"/>
                <w:szCs w:val="18"/>
                <w:color w:val="0000EE"/>
              </w:rPr>
            </w:pPr>
            <w:hyperlink w:anchor="page72">
              <w:r>
                <w:rPr>
                  <w:rFonts w:ascii="Arial" w:cs="Arial" w:eastAsia="Arial" w:hAnsi="Arial"/>
                  <w:sz w:val="18"/>
                  <w:szCs w:val="18"/>
                  <w:color w:val="0000EE"/>
                </w:rPr>
                <w:t>Severance Agreement by and between Ardelyx, Inc. and</w:t>
              </w:r>
            </w:hyperlink>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David P. Rosenbaum, Ph.D.</w:t>
              </w:r>
            </w:hyperlink>
          </w:p>
        </w:tc>
        <w:tc>
          <w:tcPr>
            <w:tcW w:w="2060" w:type="dxa"/>
            <w:vAlign w:val="bottom"/>
            <w:tcBorders>
              <w:top w:val="single" w:sz="8" w:color="0000EE"/>
            </w:tcBorders>
            <w:gridSpan w:val="5"/>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4720" w:type="dxa"/>
            <w:vAlign w:val="bottom"/>
            <w:gridSpan w:val="1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Certification of Chief Executive Officer Pursuant to</w:t>
              </w:r>
            </w:hyperlink>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Section 302 of the Sarbanes-Oxley Act of 2002.</w:t>
              </w:r>
            </w:hyperlink>
          </w:p>
        </w:tc>
        <w:tc>
          <w:tcPr>
            <w:tcW w:w="260" w:type="dxa"/>
            <w:vAlign w:val="bottom"/>
            <w:tcBorders>
              <w:top w:val="single" w:sz="8" w:color="0000EE"/>
            </w:tcBorders>
            <w:gridSpan w:val="2"/>
          </w:tcPr>
          <w:p>
            <w:pPr>
              <w:spacing w:after="0"/>
              <w:rPr>
                <w:sz w:val="13"/>
                <w:szCs w:val="13"/>
                <w:color w:val="auto"/>
              </w:rPr>
            </w:pPr>
          </w:p>
        </w:tc>
        <w:tc>
          <w:tcPr>
            <w:tcW w:w="6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4720" w:type="dxa"/>
            <w:vAlign w:val="bottom"/>
            <w:gridSpan w:val="1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Certification of Chief Financial Officer Pursuant to</w:t>
              </w:r>
            </w:hyperlink>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Section 302 of the Sarbanes-Oxley Act of 2002.</w:t>
              </w:r>
            </w:hyperlink>
          </w:p>
        </w:tc>
        <w:tc>
          <w:tcPr>
            <w:tcW w:w="220" w:type="dxa"/>
            <w:vAlign w:val="bottom"/>
            <w:tcBorders>
              <w:top w:val="single" w:sz="8" w:color="0000EE"/>
            </w:tcBorders>
          </w:tcPr>
          <w:p>
            <w:pPr>
              <w:spacing w:after="0"/>
              <w:rPr>
                <w:sz w:val="13"/>
                <w:szCs w:val="13"/>
                <w:color w:val="auto"/>
              </w:rPr>
            </w:pPr>
          </w:p>
        </w:tc>
        <w:tc>
          <w:tcPr>
            <w:tcW w:w="6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43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Chief Executive Officer and Chief Financial</w:t>
              </w:r>
            </w:hyperlink>
          </w:p>
        </w:tc>
        <w:tc>
          <w:tcPr>
            <w:tcW w:w="38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20" w:type="dxa"/>
            <w:vAlign w:val="bottom"/>
            <w:gridSpan w:val="13"/>
          </w:tcPr>
          <w:p>
            <w:pPr>
              <w:spacing w:after="0" w:line="15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Officer Pursuant to Section 906 of the Sarbanes-Oxley Act of</w:t>
              </w:r>
            </w:hyperlink>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4"/>
              </w:rPr>
            </w:pPr>
            <w:hyperlink w:anchor="page84">
              <w:r>
                <w:rPr>
                  <w:rFonts w:ascii="Arial" w:cs="Arial" w:eastAsia="Arial" w:hAnsi="Arial"/>
                  <w:sz w:val="18"/>
                  <w:szCs w:val="18"/>
                  <w:color w:val="0000EE"/>
                  <w:w w:val="84"/>
                </w:rPr>
                <w:t>2002.</w:t>
              </w:r>
            </w:hyperlink>
          </w:p>
        </w:tc>
        <w:tc>
          <w:tcPr>
            <w:tcW w:w="14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14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4720" w:type="dxa"/>
            <w:vAlign w:val="bottom"/>
            <w:gridSpan w:val="13"/>
          </w:tcPr>
          <w:p>
            <w:pPr>
              <w:spacing w:after="0"/>
              <w:rPr>
                <w:sz w:val="20"/>
                <w:szCs w:val="20"/>
                <w:color w:val="auto"/>
              </w:rPr>
            </w:pPr>
            <w:r>
              <w:rPr>
                <w:rFonts w:ascii="Arial" w:cs="Arial" w:eastAsia="Arial" w:hAnsi="Arial"/>
                <w:sz w:val="18"/>
                <w:szCs w:val="18"/>
                <w:color w:val="auto"/>
              </w:rPr>
              <w:t>The following financial statements, formatted in XBRL:</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ind w:left="740" w:right="3820" w:hanging="8"/>
        <w:spacing w:after="0" w:line="236" w:lineRule="auto"/>
        <w:tabs>
          <w:tab w:leader="none" w:pos="955" w:val="left"/>
        </w:tabs>
        <w:numPr>
          <w:ilvl w:val="1"/>
          <w:numId w:val="41"/>
        </w:numPr>
        <w:rPr>
          <w:rFonts w:ascii="Arial" w:cs="Arial" w:eastAsia="Arial" w:hAnsi="Arial"/>
          <w:sz w:val="16"/>
          <w:szCs w:val="16"/>
          <w:color w:val="auto"/>
        </w:rPr>
      </w:pPr>
      <w:r>
        <w:rPr>
          <w:rFonts w:ascii="Arial" w:cs="Arial" w:eastAsia="Arial" w:hAnsi="Arial"/>
          <w:sz w:val="16"/>
          <w:szCs w:val="16"/>
          <w:color w:val="auto"/>
        </w:rPr>
        <w:t>Condensed Consolidated Balance Sheets as of March 31, 2018 and December 31, 2017, (ii) Condensed Consolidated Statements of Operations and Comprehensive Loss for the three months ended March 31, 2018 and 2017, (iii) Condensed Consolidated Statements of Cash Flows for the three months ended March 31, 2018 and 2017; and (iv) Notes to Unaudited Condensed Consolidated Financial Statements.</w:t>
      </w:r>
    </w:p>
    <w:p>
      <w:pPr>
        <w:spacing w:after="0" w:line="176" w:lineRule="exact"/>
        <w:rPr>
          <w:rFonts w:ascii="Arial" w:cs="Arial" w:eastAsia="Arial" w:hAnsi="Arial"/>
          <w:sz w:val="16"/>
          <w:szCs w:val="16"/>
          <w:color w:val="auto"/>
        </w:rPr>
      </w:pPr>
    </w:p>
    <w:p>
      <w:pPr>
        <w:ind w:left="300" w:hanging="297"/>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6160" w:type="dxa"/>
            <w:vAlign w:val="bottom"/>
            <w:gridSpan w:val="2"/>
          </w:tcPr>
          <w:p>
            <w:pPr>
              <w:ind w:left="1580"/>
              <w:spacing w:after="0"/>
              <w:rPr>
                <w:sz w:val="20"/>
                <w:szCs w:val="20"/>
                <w:color w:val="auto"/>
              </w:rPr>
            </w:pPr>
            <w:r>
              <w:rPr>
                <w:rFonts w:ascii="Arial" w:cs="Arial" w:eastAsia="Arial" w:hAnsi="Arial"/>
                <w:sz w:val="18"/>
                <w:szCs w:val="18"/>
                <w:b w:val="1"/>
                <w:bCs w:val="1"/>
                <w:color w:val="auto"/>
              </w:rPr>
              <w:t>Ardelyx, Inc.</w:t>
            </w:r>
          </w:p>
        </w:tc>
      </w:tr>
      <w:tr>
        <w:trPr>
          <w:trHeight w:val="500"/>
        </w:trPr>
        <w:tc>
          <w:tcPr>
            <w:tcW w:w="2900" w:type="dxa"/>
            <w:vAlign w:val="bottom"/>
          </w:tcPr>
          <w:p>
            <w:pPr>
              <w:spacing w:after="0"/>
              <w:rPr>
                <w:sz w:val="20"/>
                <w:szCs w:val="20"/>
                <w:color w:val="auto"/>
              </w:rPr>
            </w:pPr>
            <w:r>
              <w:rPr>
                <w:rFonts w:ascii="Arial" w:cs="Arial" w:eastAsia="Arial" w:hAnsi="Arial"/>
                <w:sz w:val="18"/>
                <w:szCs w:val="18"/>
                <w:color w:val="auto"/>
              </w:rPr>
              <w:t>Date: May 8, 2018</w:t>
            </w:r>
          </w:p>
        </w:tc>
        <w:tc>
          <w:tcPr>
            <w:tcW w:w="6160" w:type="dxa"/>
            <w:vAlign w:val="bottom"/>
            <w:gridSpan w:val="2"/>
          </w:tcPr>
          <w:p>
            <w:pPr>
              <w:ind w:left="1580"/>
              <w:spacing w:after="0"/>
              <w:rPr>
                <w:sz w:val="20"/>
                <w:szCs w:val="20"/>
                <w:color w:val="auto"/>
              </w:rPr>
            </w:pPr>
            <w:r>
              <w:rPr>
                <w:rFonts w:ascii="Arial" w:cs="Arial" w:eastAsia="Arial" w:hAnsi="Arial"/>
                <w:sz w:val="18"/>
                <w:szCs w:val="18"/>
                <w:color w:val="auto"/>
              </w:rPr>
              <w:t>By: /s/ Mark Kaufmann</w:t>
            </w:r>
          </w:p>
        </w:tc>
      </w:tr>
      <w:tr>
        <w:trPr>
          <w:trHeight w:val="142"/>
        </w:trPr>
        <w:tc>
          <w:tcPr>
            <w:tcW w:w="2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2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b w:val="1"/>
                <w:bCs w:val="1"/>
                <w:color w:val="auto"/>
              </w:rPr>
              <w:t>Mark Kaufmann</w:t>
            </w:r>
          </w:p>
        </w:tc>
      </w:tr>
      <w:tr>
        <w:trPr>
          <w:trHeight w:val="176"/>
        </w:trPr>
        <w:tc>
          <w:tcPr>
            <w:tcW w:w="2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280" w:type="dxa"/>
            <w:vAlign w:val="bottom"/>
          </w:tcPr>
          <w:p>
            <w:pPr>
              <w:spacing w:after="0" w:line="176" w:lineRule="exact"/>
              <w:rPr>
                <w:sz w:val="20"/>
                <w:szCs w:val="20"/>
                <w:color w:val="auto"/>
              </w:rPr>
            </w:pPr>
            <w:r>
              <w:rPr>
                <w:rFonts w:ascii="Arial" w:cs="Arial" w:eastAsia="Arial" w:hAnsi="Arial"/>
                <w:sz w:val="18"/>
                <w:szCs w:val="18"/>
                <w:b w:val="1"/>
                <w:bCs w:val="1"/>
                <w:color w:val="auto"/>
              </w:rPr>
              <w:t>Chief Financial Officer</w:t>
            </w:r>
          </w:p>
        </w:tc>
      </w:tr>
      <w:tr>
        <w:trPr>
          <w:trHeight w:val="234"/>
        </w:trPr>
        <w:tc>
          <w:tcPr>
            <w:tcW w:w="2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805"/>
        </w:trPr>
        <w:tc>
          <w:tcPr>
            <w:tcW w:w="2900" w:type="dxa"/>
            <w:vAlign w:val="bottom"/>
          </w:tcPr>
          <w:p>
            <w:pPr>
              <w:spacing w:after="0"/>
              <w:rPr>
                <w:sz w:val="24"/>
                <w:szCs w:val="24"/>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4280" w:type="dxa"/>
            <w:vAlign w:val="bottom"/>
          </w:tcPr>
          <w:p>
            <w:pPr>
              <w:spacing w:after="0"/>
              <w:rPr>
                <w:sz w:val="24"/>
                <w:szCs w:val="24"/>
                <w:color w:val="auto"/>
              </w:rPr>
            </w:pPr>
          </w:p>
        </w:tc>
      </w:tr>
      <w:tr>
        <w:trPr>
          <w:trHeight w:val="102"/>
        </w:trPr>
        <w:tc>
          <w:tcPr>
            <w:tcW w:w="29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CHANGE IN CONTROL SEVERANCE AGREEMENT</w:t>
      </w:r>
    </w:p>
    <w:p>
      <w:pPr>
        <w:spacing w:after="0" w:line="212"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This Second Amended and Restated Change in Control Severance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this 7</w:t>
      </w:r>
      <w:r>
        <w:rPr>
          <w:rFonts w:ascii="Arial" w:cs="Arial" w:eastAsia="Arial" w:hAnsi="Arial"/>
          <w:sz w:val="10"/>
          <w:szCs w:val="10"/>
          <w:color w:val="auto"/>
        </w:rPr>
        <w:t>th</w:t>
      </w:r>
      <w:r>
        <w:rPr>
          <w:rFonts w:ascii="Arial" w:cs="Arial" w:eastAsia="Arial" w:hAnsi="Arial"/>
          <w:sz w:val="21"/>
          <w:szCs w:val="21"/>
          <w:color w:val="auto"/>
        </w:rPr>
        <w:t xml:space="preserve"> day of May 2018 by and between Elizabeth Grammer (the “</w:t>
      </w:r>
      <w:r>
        <w:rPr>
          <w:rFonts w:ascii="Arial" w:cs="Arial" w:eastAsia="Arial" w:hAnsi="Arial"/>
          <w:sz w:val="21"/>
          <w:szCs w:val="21"/>
          <w:u w:val="single" w:color="auto"/>
          <w:color w:val="auto"/>
        </w:rPr>
        <w:t>Executive</w:t>
      </w:r>
      <w:r>
        <w:rPr>
          <w:rFonts w:ascii="Arial" w:cs="Arial" w:eastAsia="Arial" w:hAnsi="Arial"/>
          <w:sz w:val="21"/>
          <w:szCs w:val="21"/>
          <w:color w:val="auto"/>
        </w:rPr>
        <w:t>”) and Ardelyx, Inc. (the “</w:t>
      </w:r>
      <w:r>
        <w:rPr>
          <w:rFonts w:ascii="Arial" w:cs="Arial" w:eastAsia="Arial" w:hAnsi="Arial"/>
          <w:sz w:val="21"/>
          <w:szCs w:val="21"/>
          <w:u w:val="single" w:color="auto"/>
          <w:color w:val="auto"/>
        </w:rPr>
        <w:t>Company</w:t>
      </w:r>
      <w:r>
        <w:rPr>
          <w:rFonts w:ascii="Arial" w:cs="Arial" w:eastAsia="Arial" w:hAnsi="Arial"/>
          <w:sz w:val="21"/>
          <w:szCs w:val="21"/>
          <w:color w:val="auto"/>
        </w:rPr>
        <w:t>”), effective as January 16, 2018 (the “</w:t>
      </w:r>
      <w:r>
        <w:rPr>
          <w:rFonts w:ascii="Arial" w:cs="Arial" w:eastAsia="Arial" w:hAnsi="Arial"/>
          <w:sz w:val="21"/>
          <w:szCs w:val="21"/>
          <w:u w:val="single" w:color="auto"/>
          <w:color w:val="auto"/>
        </w:rPr>
        <w:t>Effective Date</w:t>
      </w:r>
      <w:r>
        <w:rPr>
          <w:rFonts w:ascii="Arial" w:cs="Arial" w:eastAsia="Arial" w:hAnsi="Arial"/>
          <w:sz w:val="21"/>
          <w:szCs w:val="21"/>
          <w:color w:val="auto"/>
        </w:rPr>
        <w:t>”). This Agreement amends and restates in its entirety that certain Amended and Restated Change in Control Severance Agreement by and between Executive and the Company effective as of June 6, 2014 (the “</w:t>
      </w:r>
      <w:r>
        <w:rPr>
          <w:rFonts w:ascii="Arial" w:cs="Arial" w:eastAsia="Arial" w:hAnsi="Arial"/>
          <w:sz w:val="21"/>
          <w:szCs w:val="21"/>
          <w:u w:val="single" w:color="auto"/>
          <w:color w:val="auto"/>
        </w:rPr>
        <w:t>Prior Agreement</w:t>
      </w:r>
      <w:r>
        <w:rPr>
          <w:rFonts w:ascii="Arial" w:cs="Arial" w:eastAsia="Arial" w:hAnsi="Arial"/>
          <w:sz w:val="21"/>
          <w:szCs w:val="21"/>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06" w:lineRule="exact"/>
        <w:rPr>
          <w:sz w:val="20"/>
          <w:szCs w:val="20"/>
          <w:color w:val="auto"/>
        </w:rPr>
      </w:pPr>
    </w:p>
    <w:p>
      <w:pPr>
        <w:ind w:right="80" w:firstLine="648"/>
        <w:spacing w:after="0" w:line="234" w:lineRule="auto"/>
        <w:tabs>
          <w:tab w:leader="none" w:pos="1291" w:val="left"/>
        </w:tabs>
        <w:numPr>
          <w:ilvl w:val="0"/>
          <w:numId w:val="42"/>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in control.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91" w:lineRule="exact"/>
        <w:rPr>
          <w:rFonts w:ascii="Arial" w:cs="Arial" w:eastAsia="Arial" w:hAnsi="Arial"/>
          <w:sz w:val="22"/>
          <w:szCs w:val="22"/>
          <w:color w:val="auto"/>
        </w:rPr>
      </w:pPr>
    </w:p>
    <w:p>
      <w:pPr>
        <w:ind w:right="160" w:firstLine="648"/>
        <w:spacing w:after="0" w:line="297" w:lineRule="auto"/>
        <w:tabs>
          <w:tab w:leader="none" w:pos="1329"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34" w:lineRule="exact"/>
        <w:rPr>
          <w:rFonts w:ascii="Arial" w:cs="Arial" w:eastAsia="Arial" w:hAnsi="Arial"/>
          <w:sz w:val="19"/>
          <w:szCs w:val="19"/>
          <w:color w:val="auto"/>
        </w:rPr>
      </w:pPr>
    </w:p>
    <w:p>
      <w:pPr>
        <w:ind w:right="120" w:firstLine="648"/>
        <w:spacing w:after="0" w:line="282" w:lineRule="auto"/>
        <w:tabs>
          <w:tab w:leader="none" w:pos="1329"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Board believes that, in connection with the Executive’s promotion to Executive Vice President, General Counsel, it is imperative to provide Executive with severance benefits consistent with those of the Company’s other Executive Vice Presidents, with such severance benefits triggered upon certain terminations of Executive’s service to the Company and that enhance Executive’s financial security and provide incentive and encouragement to Executive to remain with the Company notwithstanding the possibility of such an event.</w:t>
      </w:r>
    </w:p>
    <w:p>
      <w:pPr>
        <w:spacing w:after="0" w:line="147" w:lineRule="exact"/>
        <w:rPr>
          <w:rFonts w:ascii="Arial" w:cs="Arial" w:eastAsia="Arial" w:hAnsi="Arial"/>
          <w:sz w:val="19"/>
          <w:szCs w:val="19"/>
          <w:color w:val="auto"/>
        </w:rPr>
      </w:pPr>
    </w:p>
    <w:p>
      <w:pPr>
        <w:ind w:right="480" w:firstLine="648"/>
        <w:spacing w:after="0" w:line="274" w:lineRule="auto"/>
        <w:tabs>
          <w:tab w:leader="none" w:pos="1287"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Board believes that it is in the best interests of the Company and its stockholders to provide Executive with certain transition payments as an incentive to join the Company.</w:t>
      </w:r>
    </w:p>
    <w:p>
      <w:pPr>
        <w:spacing w:after="0" w:line="151" w:lineRule="exact"/>
        <w:rPr>
          <w:sz w:val="20"/>
          <w:szCs w:val="20"/>
          <w:color w:val="auto"/>
        </w:rPr>
      </w:pPr>
    </w:p>
    <w:p>
      <w:pPr>
        <w:ind w:left="640" w:right="1740" w:firstLine="8"/>
        <w:spacing w:after="0" w:line="435" w:lineRule="auto"/>
        <w:tabs>
          <w:tab w:leader="none" w:pos="1312" w:val="left"/>
        </w:tabs>
        <w:numPr>
          <w:ilvl w:val="0"/>
          <w:numId w:val="43"/>
        </w:numPr>
        <w:rPr>
          <w:rFonts w:ascii="Arial" w:cs="Arial" w:eastAsia="Arial" w:hAnsi="Arial"/>
          <w:sz w:val="22"/>
          <w:szCs w:val="22"/>
          <w:color w:val="auto"/>
        </w:rPr>
      </w:pPr>
      <w:r>
        <w:rPr>
          <w:rFonts w:ascii="Arial" w:cs="Arial" w:eastAsia="Arial" w:hAnsi="Arial"/>
          <w:sz w:val="22"/>
          <w:szCs w:val="22"/>
          <w:color w:val="auto"/>
        </w:rPr>
        <w:t>Certain capitalized terms used in this Agreement are defined in Section 8 below. The parties hereto agree as follows:</w:t>
      </w:r>
    </w:p>
    <w:p>
      <w:pPr>
        <w:spacing w:after="0" w:line="1" w:lineRule="exact"/>
        <w:rPr>
          <w:sz w:val="20"/>
          <w:szCs w:val="20"/>
          <w:color w:val="auto"/>
        </w:rPr>
      </w:pPr>
    </w:p>
    <w:p>
      <w:pPr>
        <w:ind w:right="180" w:firstLine="648"/>
        <w:spacing w:after="0" w:line="328" w:lineRule="auto"/>
        <w:tabs>
          <w:tab w:leader="none" w:pos="1297"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This Agreement shall become effective as of the Effective Date and terminate upon the date that all obligations of the parties hereto with respect to this Agreement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62" w:name="page63"/>
    <w:bookmarkEnd w:id="62"/>
    <w:p>
      <w:pPr>
        <w:jc w:val="both"/>
        <w:ind w:left="-20" w:right="220" w:firstLine="648"/>
        <w:spacing w:after="0" w:line="238" w:lineRule="auto"/>
        <w:tabs>
          <w:tab w:leader="none" w:pos="1277"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w:t>
      </w:r>
    </w:p>
    <w:p>
      <w:pPr>
        <w:spacing w:after="0" w:line="185" w:lineRule="exact"/>
        <w:rPr>
          <w:rFonts w:ascii="Arial" w:cs="Arial" w:eastAsia="Arial" w:hAnsi="Arial"/>
          <w:sz w:val="22"/>
          <w:szCs w:val="22"/>
          <w:color w:val="auto"/>
        </w:rPr>
      </w:pPr>
    </w:p>
    <w:p>
      <w:pPr>
        <w:ind w:left="-20" w:right="40" w:firstLine="648"/>
        <w:spacing w:after="0" w:line="247" w:lineRule="auto"/>
        <w:tabs>
          <w:tab w:leader="none" w:pos="127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Covered Termination Other Than During a Change in Control Period</w:t>
      </w:r>
      <w:r>
        <w:rPr>
          <w:rFonts w:ascii="Arial" w:cs="Arial" w:eastAsia="Arial" w:hAnsi="Arial"/>
          <w:sz w:val="21"/>
          <w:szCs w:val="21"/>
          <w:color w:val="auto"/>
        </w:rPr>
        <w:t>. If Executive experiences a Covered Termination other than during a Change in Control Period, and if Executive delivers to the Company a general release of all claims against the Company and its affiliates in a form acceptable to the Company (a “</w:t>
      </w: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of Claims</w:t>
      </w:r>
      <w:r>
        <w:rPr>
          <w:rFonts w:ascii="Arial" w:cs="Arial" w:eastAsia="Arial" w:hAnsi="Arial"/>
          <w:sz w:val="21"/>
          <w:szCs w:val="21"/>
          <w:color w:val="auto"/>
        </w:rPr>
        <w:t>”)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spacing w:after="0" w:line="178" w:lineRule="exact"/>
        <w:rPr>
          <w:sz w:val="20"/>
          <w:szCs w:val="20"/>
          <w:color w:val="auto"/>
        </w:rPr>
      </w:pPr>
    </w:p>
    <w:p>
      <w:pPr>
        <w:ind w:left="620" w:firstLine="8"/>
        <w:spacing w:after="0" w:line="249" w:lineRule="auto"/>
        <w:tabs>
          <w:tab w:leader="none" w:pos="1292"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 Executive shall be entitled to receive an amount equal to nine (9) months of Executive’s Base Salary payable in substantially equal installments in accordance with the Company’s normal payroll policies, less applicable withholdings, with such installments to commence as soon as administratively practicable following the date the Release of Claims is not subject to revocation and, in any event, within sixty (60) days following the date of the Covered Termination.</w:t>
      </w:r>
    </w:p>
    <w:p>
      <w:pPr>
        <w:spacing w:after="0" w:line="178" w:lineRule="exact"/>
        <w:rPr>
          <w:rFonts w:ascii="Arial" w:cs="Arial" w:eastAsia="Arial" w:hAnsi="Arial"/>
          <w:sz w:val="21"/>
          <w:szCs w:val="21"/>
          <w:color w:val="auto"/>
        </w:rPr>
      </w:pPr>
    </w:p>
    <w:p>
      <w:pPr>
        <w:ind w:left="620" w:firstLine="8"/>
        <w:spacing w:after="0" w:line="271" w:lineRule="auto"/>
        <w:tabs>
          <w:tab w:leader="none" w:pos="130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elects to receive continued healthcare coverage pursuant to the provisions of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 Company shall directly pay, or reimburse Executive for, the premium for Executive and Executive’s covered dependents through the earlier of (i) the first (1</w:t>
      </w:r>
      <w:r>
        <w:rPr>
          <w:rFonts w:ascii="Arial" w:cs="Arial" w:eastAsia="Arial" w:hAnsi="Arial"/>
          <w:sz w:val="9"/>
          <w:szCs w:val="9"/>
          <w:color w:val="auto"/>
        </w:rPr>
        <w:t>st</w:t>
      </w:r>
      <w:r>
        <w:rPr>
          <w:rFonts w:ascii="Arial" w:cs="Arial" w:eastAsia="Arial" w:hAnsi="Arial"/>
          <w:sz w:val="19"/>
          <w:szCs w:val="19"/>
          <w:color w:val="auto"/>
        </w:rPr>
        <w:t>)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the provisions of COBRA.</w:t>
      </w:r>
    </w:p>
    <w:p>
      <w:pPr>
        <w:spacing w:after="0" w:line="165" w:lineRule="exact"/>
        <w:rPr>
          <w:sz w:val="20"/>
          <w:szCs w:val="20"/>
          <w:color w:val="auto"/>
        </w:rPr>
      </w:pPr>
    </w:p>
    <w:p>
      <w:pPr>
        <w:ind w:left="-20" w:firstLine="648"/>
        <w:spacing w:after="0" w:line="238" w:lineRule="auto"/>
        <w:tabs>
          <w:tab w:leader="none" w:pos="1277"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Covered Termination During a Change in Control Period</w:t>
      </w:r>
      <w:r>
        <w:rPr>
          <w:rFonts w:ascii="Arial" w:cs="Arial" w:eastAsia="Arial" w:hAnsi="Arial"/>
          <w:sz w:val="22"/>
          <w:szCs w:val="22"/>
          <w:color w:val="auto"/>
        </w:rPr>
        <w:t>. If Executive experiences a Covered Termination during a Change in Control Period, and if Executive delivers to the Company a Release of Claims that becomes effective and irrevocable within sixty (60) days, or such shorter period of time specified by the Company, following such Covered Termination, then in addition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40" w:top="118" w:right="939" w:bottom="1440" w:gutter="0" w:footer="0" w:header="0"/>
        </w:sectPr>
      </w:pPr>
    </w:p>
    <w:bookmarkStart w:id="63" w:name="page64"/>
    <w:bookmarkEnd w:id="63"/>
    <w:p>
      <w:pPr>
        <w:ind w:right="200"/>
        <w:spacing w:after="0" w:line="251" w:lineRule="auto"/>
        <w:rPr>
          <w:sz w:val="20"/>
          <w:szCs w:val="20"/>
          <w:color w:val="auto"/>
        </w:rPr>
      </w:pPr>
      <w:r>
        <w:rPr>
          <w:rFonts w:ascii="Arial" w:cs="Arial" w:eastAsia="Arial" w:hAnsi="Arial"/>
          <w:sz w:val="22"/>
          <w:szCs w:val="22"/>
          <w:color w:val="auto"/>
        </w:rPr>
        <w:t>any accrued but unpaid salary, bonus, vacation and expense reimbursement payable in accordance with applicable law, the Company shall provide Executive with the following:</w:t>
      </w:r>
    </w:p>
    <w:p>
      <w:pPr>
        <w:spacing w:after="0" w:line="174" w:lineRule="exact"/>
        <w:rPr>
          <w:sz w:val="20"/>
          <w:szCs w:val="20"/>
          <w:color w:val="auto"/>
        </w:rPr>
      </w:pPr>
    </w:p>
    <w:p>
      <w:pPr>
        <w:ind w:left="1320" w:hanging="672"/>
        <w:spacing w:after="0"/>
        <w:tabs>
          <w:tab w:leader="none" w:pos="132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Executive shall be entitled to receive an amount equal to one hundred percent of by the</w:t>
      </w:r>
    </w:p>
    <w:p>
      <w:pPr>
        <w:spacing w:after="0" w:line="42" w:lineRule="exact"/>
        <w:rPr>
          <w:rFonts w:ascii="Arial" w:cs="Arial" w:eastAsia="Arial" w:hAnsi="Arial"/>
          <w:sz w:val="19"/>
          <w:szCs w:val="19"/>
          <w:color w:val="auto"/>
        </w:rPr>
      </w:pPr>
    </w:p>
    <w:p>
      <w:pPr>
        <w:ind w:left="640"/>
        <w:spacing w:after="0" w:line="233" w:lineRule="auto"/>
        <w:rPr>
          <w:rFonts w:ascii="Arial" w:cs="Arial" w:eastAsia="Arial" w:hAnsi="Arial"/>
          <w:sz w:val="19"/>
          <w:szCs w:val="19"/>
          <w:color w:val="auto"/>
        </w:rPr>
      </w:pPr>
      <w:r>
        <w:rPr>
          <w:rFonts w:ascii="Arial" w:cs="Arial" w:eastAsia="Arial" w:hAnsi="Arial"/>
          <w:sz w:val="22"/>
          <w:szCs w:val="22"/>
          <w:color w:val="auto"/>
        </w:rPr>
        <w:t>sum of: (i) Executive’s Base Salary and (ii) Executive’s target annual bonus for the fiscal year of Executive’s termination, in each case, at the rate in effect immediately 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85" w:lineRule="exact"/>
        <w:rPr>
          <w:rFonts w:ascii="Arial" w:cs="Arial" w:eastAsia="Arial" w:hAnsi="Arial"/>
          <w:sz w:val="19"/>
          <w:szCs w:val="19"/>
          <w:color w:val="auto"/>
        </w:rPr>
      </w:pPr>
    </w:p>
    <w:p>
      <w:pPr>
        <w:ind w:left="640" w:right="40" w:firstLine="8"/>
        <w:spacing w:after="0" w:line="247" w:lineRule="auto"/>
        <w:tabs>
          <w:tab w:leader="none" w:pos="1324"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one hundred percent (100%) of the shares subject thereto.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w:t>
      </w:r>
    </w:p>
    <w:p>
      <w:pPr>
        <w:spacing w:after="0" w:line="178" w:lineRule="exact"/>
        <w:rPr>
          <w:rFonts w:ascii="Arial" w:cs="Arial" w:eastAsia="Arial" w:hAnsi="Arial"/>
          <w:sz w:val="21"/>
          <w:szCs w:val="21"/>
          <w:color w:val="auto"/>
        </w:rPr>
      </w:pPr>
    </w:p>
    <w:p>
      <w:pPr>
        <w:ind w:left="640" w:right="40" w:firstLine="8"/>
        <w:spacing w:after="0" w:line="268" w:lineRule="auto"/>
        <w:tabs>
          <w:tab w:leader="none" w:pos="131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elects to receive continued healthcare coverage pursuant to the provisions of COBRA, the Company shall directly pay, or reimburse Executive for, the premium for Executive and Executive’s covered dependents through the earlier of (i) the first (1</w:t>
      </w:r>
      <w:r>
        <w:rPr>
          <w:rFonts w:ascii="Arial" w:cs="Arial" w:eastAsia="Arial" w:hAnsi="Arial"/>
          <w:sz w:val="9"/>
          <w:szCs w:val="9"/>
          <w:color w:val="auto"/>
        </w:rPr>
        <w:t>st</w:t>
      </w:r>
      <w:r>
        <w:rPr>
          <w:rFonts w:ascii="Arial" w:cs="Arial" w:eastAsia="Arial" w:hAnsi="Arial"/>
          <w:sz w:val="19"/>
          <w:szCs w:val="19"/>
          <w:color w:val="auto"/>
        </w:rPr>
        <w:t>)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 (c), Executive may, if eligible, elect to continue healthcare coverage at Executive’s expense in accordance the provisions of</w:t>
      </w:r>
    </w:p>
    <w:p>
      <w:pPr>
        <w:spacing w:after="0" w:line="6"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COBRA.</w:t>
      </w:r>
    </w:p>
    <w:p>
      <w:pPr>
        <w:spacing w:after="0" w:line="188" w:lineRule="exact"/>
        <w:rPr>
          <w:sz w:val="20"/>
          <w:szCs w:val="20"/>
          <w:color w:val="auto"/>
        </w:rPr>
      </w:pPr>
    </w:p>
    <w:p>
      <w:pPr>
        <w:ind w:right="100" w:firstLine="648"/>
        <w:spacing w:after="0" w:line="236" w:lineRule="auto"/>
        <w:tabs>
          <w:tab w:leader="none" w:pos="129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87" w:lineRule="exact"/>
        <w:rPr>
          <w:rFonts w:ascii="Arial" w:cs="Arial" w:eastAsia="Arial" w:hAnsi="Arial"/>
          <w:sz w:val="22"/>
          <w:szCs w:val="22"/>
          <w:color w:val="auto"/>
        </w:rPr>
      </w:pPr>
    </w:p>
    <w:p>
      <w:pPr>
        <w:ind w:right="280" w:firstLine="648"/>
        <w:spacing w:after="0"/>
        <w:tabs>
          <w:tab w:leader="none" w:pos="129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Notwithstanding anything in this Agreement to the contrary, if any payment or distribution Executive would receive pursuant to this Agreement or otherwise (“</w:t>
      </w:r>
      <w:r>
        <w:rPr>
          <w:rFonts w:ascii="Arial" w:cs="Arial" w:eastAsia="Arial" w:hAnsi="Arial"/>
          <w:sz w:val="22"/>
          <w:szCs w:val="22"/>
          <w:u w:val="single" w:color="auto"/>
          <w:color w:val="auto"/>
        </w:rPr>
        <w:t>Payment</w:t>
      </w:r>
      <w:r>
        <w:rPr>
          <w:rFonts w:ascii="Arial" w:cs="Arial" w:eastAsia="Arial" w:hAnsi="Arial"/>
          <w:sz w:val="22"/>
          <w:szCs w:val="22"/>
          <w:color w:val="auto"/>
        </w:rPr>
        <w:t>”) would (a) constitute a “parachute payment” within the meaning of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4" w:name="page65"/>
    <w:bookmarkEnd w:id="64"/>
    <w:p>
      <w:pPr>
        <w:ind w:right="20"/>
        <w:spacing w:after="0" w:line="243" w:lineRule="auto"/>
        <w:rPr>
          <w:sz w:val="20"/>
          <w:szCs w:val="20"/>
          <w:color w:val="auto"/>
        </w:rPr>
      </w:pPr>
      <w:r>
        <w:rPr>
          <w:rFonts w:ascii="Arial" w:cs="Arial" w:eastAsia="Arial" w:hAnsi="Arial"/>
          <w:sz w:val="21"/>
          <w:szCs w:val="21"/>
          <w:color w:val="auto"/>
        </w:rPr>
        <w:t>280G of the Code, and (b) but for this sentence, be subject to the excise tax imposed by Section 4999 of the Code (the “</w:t>
      </w:r>
      <w:r>
        <w:rPr>
          <w:rFonts w:ascii="Arial" w:cs="Arial" w:eastAsia="Arial" w:hAnsi="Arial"/>
          <w:sz w:val="21"/>
          <w:szCs w:val="21"/>
          <w:u w:val="single" w:color="auto"/>
          <w:color w:val="auto"/>
        </w:rPr>
        <w:t>Excise Tax</w:t>
      </w:r>
      <w:r>
        <w:rPr>
          <w:rFonts w:ascii="Arial" w:cs="Arial" w:eastAsia="Arial" w:hAnsi="Arial"/>
          <w:sz w:val="21"/>
          <w:szCs w:val="21"/>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6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94" w:lineRule="exact"/>
        <w:rPr>
          <w:sz w:val="20"/>
          <w:szCs w:val="20"/>
          <w:color w:val="auto"/>
        </w:rPr>
      </w:pPr>
    </w:p>
    <w:p>
      <w:pPr>
        <w:ind w:left="1300" w:hanging="652"/>
        <w:spacing w:after="0"/>
        <w:tabs>
          <w:tab w:leader="none" w:pos="130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Definition of Terms</w:t>
      </w:r>
      <w:r>
        <w:rPr>
          <w:rFonts w:ascii="Arial" w:cs="Arial" w:eastAsia="Arial" w:hAnsi="Arial"/>
          <w:sz w:val="21"/>
          <w:szCs w:val="21"/>
          <w:color w:val="auto"/>
        </w:rPr>
        <w:t>. The following terms referred to in this Agreement shall have the following</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meanings:</w:t>
      </w:r>
    </w:p>
    <w:p>
      <w:pPr>
        <w:spacing w:after="0" w:line="188" w:lineRule="exact"/>
        <w:rPr>
          <w:rFonts w:ascii="Arial" w:cs="Arial" w:eastAsia="Arial" w:hAnsi="Arial"/>
          <w:sz w:val="21"/>
          <w:szCs w:val="21"/>
          <w:color w:val="auto"/>
        </w:rPr>
      </w:pPr>
    </w:p>
    <w:p>
      <w:pPr>
        <w:ind w:firstLine="1296"/>
        <w:spacing w:after="0"/>
        <w:tabs>
          <w:tab w:leader="none" w:pos="1968"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w:t>
      </w:r>
      <w:r>
        <w:rPr>
          <w:rFonts w:ascii="Arial" w:cs="Arial" w:eastAsia="Arial" w:hAnsi="Arial"/>
          <w:sz w:val="22"/>
          <w:szCs w:val="22"/>
          <w:u w:val="single" w:color="auto"/>
          <w:color w:val="auto"/>
        </w:rPr>
        <w:t>Base Salary</w:t>
      </w:r>
      <w:r>
        <w:rPr>
          <w:rFonts w:ascii="Arial" w:cs="Arial" w:eastAsia="Arial" w:hAnsi="Arial"/>
          <w:sz w:val="22"/>
          <w:szCs w:val="22"/>
          <w:color w:val="auto"/>
        </w:rPr>
        <w:t>” means Executive’s annual base salary in effect immediately prior to Executive’s termination (disregarding any reduction in base salary that would give rise to Executive’s right to a Voluntary Resignation for Good Reason).</w:t>
      </w:r>
    </w:p>
    <w:p>
      <w:pPr>
        <w:spacing w:after="0" w:line="186" w:lineRule="exact"/>
        <w:rPr>
          <w:rFonts w:ascii="Arial" w:cs="Arial" w:eastAsia="Arial" w:hAnsi="Arial"/>
          <w:sz w:val="22"/>
          <w:szCs w:val="22"/>
          <w:color w:val="auto"/>
        </w:rPr>
      </w:pPr>
    </w:p>
    <w:p>
      <w:pPr>
        <w:ind w:right="20" w:firstLine="1296"/>
        <w:spacing w:after="0" w:line="271" w:lineRule="auto"/>
        <w:tabs>
          <w:tab w:leader="none" w:pos="1981"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w:t>
      </w:r>
      <w:r>
        <w:rPr>
          <w:rFonts w:ascii="Arial" w:cs="Arial" w:eastAsia="Arial" w:hAnsi="Arial"/>
          <w:sz w:val="19"/>
          <w:szCs w:val="19"/>
          <w:u w:val="single" w:color="auto"/>
          <w:color w:val="auto"/>
        </w:rPr>
        <w:t>Cause</w:t>
      </w:r>
      <w:r>
        <w:rPr>
          <w:rFonts w:ascii="Arial" w:cs="Arial" w:eastAsia="Arial" w:hAnsi="Arial"/>
          <w:sz w:val="19"/>
          <w:szCs w:val="19"/>
          <w:color w:val="auto"/>
        </w:rPr>
        <w:t>” means (i) Executive’s theft, dishonesty or falsification of any employment or Company records that is non-trivial in nature; (ii) Executive’s malicious or reckless disclosure of the Company’s confidential or proprietary information or any material breach by Executive of his or her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 (C)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100" w:firstLine="1296"/>
        <w:spacing w:after="0" w:line="251" w:lineRule="auto"/>
        <w:tabs>
          <w:tab w:leader="none" w:pos="1968"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have the meaning set forth in the Company’s 2014 Equity Incentive Award Plan, as it may be amended from time to time,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5" w:name="page66"/>
    <w:bookmarkEnd w:id="65"/>
    <w:p>
      <w:pPr>
        <w:ind w:right="80"/>
        <w:spacing w:after="0" w:line="251" w:lineRule="auto"/>
        <w:rPr>
          <w:sz w:val="20"/>
          <w:szCs w:val="20"/>
          <w:color w:val="auto"/>
        </w:rPr>
      </w:pPr>
      <w:r>
        <w:rPr>
          <w:rFonts w:ascii="Arial" w:cs="Arial" w:eastAsia="Arial" w:hAnsi="Arial"/>
          <w:sz w:val="22"/>
          <w:szCs w:val="22"/>
          <w:color w:val="auto"/>
        </w:rPr>
        <w:t>provided that such event must also constitute a “change in control event” as defined in Treasury Regulation Section 1.409A-3(i)(5).</w:t>
      </w:r>
    </w:p>
    <w:p>
      <w:pPr>
        <w:spacing w:after="0" w:line="174" w:lineRule="exact"/>
        <w:rPr>
          <w:sz w:val="20"/>
          <w:szCs w:val="20"/>
          <w:color w:val="auto"/>
        </w:rPr>
      </w:pPr>
    </w:p>
    <w:p>
      <w:pPr>
        <w:ind w:right="180" w:firstLine="1296"/>
        <w:spacing w:after="0" w:line="251" w:lineRule="auto"/>
        <w:tabs>
          <w:tab w:leader="none" w:pos="1981"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w:t>
      </w: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means the period of time beginning three (3) months prior to and ending twelve (12) months following a Change in Control.</w:t>
      </w:r>
    </w:p>
    <w:p>
      <w:pPr>
        <w:spacing w:after="0" w:line="173" w:lineRule="exact"/>
        <w:rPr>
          <w:rFonts w:ascii="Arial" w:cs="Arial" w:eastAsia="Arial" w:hAnsi="Arial"/>
          <w:sz w:val="22"/>
          <w:szCs w:val="22"/>
          <w:color w:val="auto"/>
        </w:rPr>
      </w:pPr>
    </w:p>
    <w:p>
      <w:pPr>
        <w:ind w:right="560" w:firstLine="1296"/>
        <w:spacing w:after="0"/>
        <w:tabs>
          <w:tab w:leader="none" w:pos="196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Covered Termination</w:t>
      </w:r>
      <w:r>
        <w:rPr>
          <w:rFonts w:ascii="Arial" w:cs="Arial" w:eastAsia="Arial" w:hAnsi="Arial"/>
          <w:sz w:val="22"/>
          <w:szCs w:val="22"/>
          <w:color w:val="auto"/>
        </w:rPr>
        <w:t>. “</w:t>
      </w:r>
      <w:r>
        <w:rPr>
          <w:rFonts w:ascii="Arial" w:cs="Arial" w:eastAsia="Arial" w:hAnsi="Arial"/>
          <w:sz w:val="22"/>
          <w:szCs w:val="22"/>
          <w:u w:val="single" w:color="auto"/>
          <w:color w:val="auto"/>
        </w:rPr>
        <w:t>Covered Termination</w:t>
      </w:r>
      <w:r>
        <w:rPr>
          <w:rFonts w:ascii="Arial" w:cs="Arial" w:eastAsia="Arial" w:hAnsi="Arial"/>
          <w:sz w:val="22"/>
          <w:szCs w:val="22"/>
          <w:color w:val="auto"/>
        </w:rPr>
        <w:t>” means (a) an Involuntary Termination Without Cause or (b) a Voluntary Resignation for Good Reason, provided that such termination or resignation constitutes a Separation from Service.</w:t>
      </w:r>
    </w:p>
    <w:p>
      <w:pPr>
        <w:spacing w:after="0" w:line="186" w:lineRule="exact"/>
        <w:rPr>
          <w:rFonts w:ascii="Arial" w:cs="Arial" w:eastAsia="Arial" w:hAnsi="Arial"/>
          <w:sz w:val="22"/>
          <w:szCs w:val="22"/>
          <w:color w:val="auto"/>
        </w:rPr>
      </w:pPr>
    </w:p>
    <w:p>
      <w:pPr>
        <w:ind w:firstLine="1296"/>
        <w:spacing w:after="0" w:line="245" w:lineRule="auto"/>
        <w:tabs>
          <w:tab w:leader="none" w:pos="194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Good Reason Condition</w:t>
      </w:r>
      <w:r>
        <w:rPr>
          <w:rFonts w:ascii="Arial" w:cs="Arial" w:eastAsia="Arial" w:hAnsi="Arial"/>
          <w:sz w:val="21"/>
          <w:szCs w:val="21"/>
          <w:color w:val="auto"/>
        </w:rPr>
        <w:t>. “</w:t>
      </w:r>
      <w:r>
        <w:rPr>
          <w:rFonts w:ascii="Arial" w:cs="Arial" w:eastAsia="Arial" w:hAnsi="Arial"/>
          <w:sz w:val="21"/>
          <w:szCs w:val="21"/>
          <w:u w:val="single" w:color="auto"/>
          <w:color w:val="auto"/>
        </w:rPr>
        <w:t>Good Reason Condition</w:t>
      </w:r>
      <w:r>
        <w:rPr>
          <w:rFonts w:ascii="Arial" w:cs="Arial" w:eastAsia="Arial" w:hAnsi="Arial"/>
          <w:sz w:val="21"/>
          <w:szCs w:val="21"/>
          <w:color w:val="auto"/>
        </w:rPr>
        <w:t>” means that any of the following are undertaken without Executive’s express written consent: (i) a material diminution in Executive’s authority, duties, or responsibilities which substantially reduces the nature or character of Executive’s position with the Company; (ii</w:t>
      </w:r>
      <w:r>
        <w:rPr>
          <w:rFonts w:ascii="Arial" w:cs="Arial" w:eastAsia="Arial" w:hAnsi="Arial"/>
          <w:sz w:val="21"/>
          <w:szCs w:val="21"/>
          <w:b w:val="1"/>
          <w:bCs w:val="1"/>
          <w:color w:val="auto"/>
        </w:rPr>
        <w:t>)</w:t>
      </w:r>
      <w:r>
        <w:rPr>
          <w:rFonts w:ascii="Arial" w:cs="Arial" w:eastAsia="Arial" w:hAnsi="Arial"/>
          <w:sz w:val="21"/>
          <w:szCs w:val="21"/>
          <w:color w:val="auto"/>
        </w:rPr>
        <w:t xml:space="preserve"> a material reduction by the Company of Executive’s base salary as in effect immediately prior to such reduction; (iii</w:t>
      </w:r>
      <w:r>
        <w:rPr>
          <w:rFonts w:ascii="Arial" w:cs="Arial" w:eastAsia="Arial" w:hAnsi="Arial"/>
          <w:sz w:val="21"/>
          <w:szCs w:val="21"/>
          <w:b w:val="1"/>
          <w:bCs w:val="1"/>
          <w:color w:val="auto"/>
        </w:rPr>
        <w:t>)</w:t>
      </w:r>
      <w:r>
        <w:rPr>
          <w:rFonts w:ascii="Arial" w:cs="Arial" w:eastAsia="Arial" w:hAnsi="Arial"/>
          <w:sz w:val="21"/>
          <w:szCs w:val="21"/>
          <w:color w:val="auto"/>
        </w:rPr>
        <w:t xml:space="preserve">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85" w:lineRule="exact"/>
        <w:rPr>
          <w:rFonts w:ascii="Arial" w:cs="Arial" w:eastAsia="Arial" w:hAnsi="Arial"/>
          <w:sz w:val="21"/>
          <w:szCs w:val="21"/>
          <w:color w:val="auto"/>
        </w:rPr>
      </w:pPr>
    </w:p>
    <w:p>
      <w:pPr>
        <w:ind w:right="220" w:firstLine="1296"/>
        <w:spacing w:after="0" w:line="252" w:lineRule="auto"/>
        <w:tabs>
          <w:tab w:leader="none" w:pos="1981"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Involuntary Termination Without Cause</w:t>
      </w:r>
      <w:r>
        <w:rPr>
          <w:rFonts w:ascii="Arial" w:cs="Arial" w:eastAsia="Arial" w:hAnsi="Arial"/>
          <w:sz w:val="21"/>
          <w:szCs w:val="21"/>
          <w:color w:val="auto"/>
        </w:rPr>
        <w:t>. “</w:t>
      </w:r>
      <w:r>
        <w:rPr>
          <w:rFonts w:ascii="Arial" w:cs="Arial" w:eastAsia="Arial" w:hAnsi="Arial"/>
          <w:sz w:val="21"/>
          <w:szCs w:val="21"/>
          <w:u w:val="single" w:color="auto"/>
          <w:color w:val="auto"/>
        </w:rPr>
        <w:t>Involuntary Termination Without Cause</w:t>
      </w:r>
      <w:r>
        <w:rPr>
          <w:rFonts w:ascii="Arial" w:cs="Arial" w:eastAsia="Arial" w:hAnsi="Arial"/>
          <w:sz w:val="21"/>
          <w:szCs w:val="21"/>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4" w:lineRule="exact"/>
        <w:rPr>
          <w:rFonts w:ascii="Arial" w:cs="Arial" w:eastAsia="Arial" w:hAnsi="Arial"/>
          <w:sz w:val="21"/>
          <w:szCs w:val="21"/>
          <w:color w:val="auto"/>
        </w:rPr>
      </w:pPr>
    </w:p>
    <w:p>
      <w:pPr>
        <w:ind w:right="200" w:firstLine="1296"/>
        <w:spacing w:after="0"/>
        <w:tabs>
          <w:tab w:leader="none" w:pos="1981"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Executive’s termination of employment or service constitutes a “separation from service” within the meaning of Treasury Regulation Section 1.409A-1(h).</w:t>
      </w:r>
    </w:p>
    <w:p>
      <w:pPr>
        <w:spacing w:after="0" w:line="186" w:lineRule="exact"/>
        <w:rPr>
          <w:rFonts w:ascii="Arial" w:cs="Arial" w:eastAsia="Arial" w:hAnsi="Arial"/>
          <w:sz w:val="22"/>
          <w:szCs w:val="22"/>
          <w:color w:val="auto"/>
        </w:rPr>
      </w:pPr>
    </w:p>
    <w:p>
      <w:pPr>
        <w:ind w:firstLine="1296"/>
        <w:spacing w:after="0" w:line="244" w:lineRule="auto"/>
        <w:tabs>
          <w:tab w:leader="none" w:pos="1987"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Voluntary Resignation for Good Reason</w:t>
      </w:r>
      <w:r>
        <w:rPr>
          <w:rFonts w:ascii="Arial" w:cs="Arial" w:eastAsia="Arial" w:hAnsi="Arial"/>
          <w:sz w:val="21"/>
          <w:szCs w:val="21"/>
          <w:color w:val="auto"/>
        </w:rPr>
        <w:t>. “</w:t>
      </w:r>
      <w:r>
        <w:rPr>
          <w:rFonts w:ascii="Arial" w:cs="Arial" w:eastAsia="Arial" w:hAnsi="Arial"/>
          <w:sz w:val="21"/>
          <w:szCs w:val="21"/>
          <w:u w:val="single" w:color="auto"/>
          <w:color w:val="auto"/>
        </w:rPr>
        <w:t>Voluntary Resignation for Good Reason</w:t>
      </w:r>
      <w:r>
        <w:rPr>
          <w:rFonts w:ascii="Arial" w:cs="Arial" w:eastAsia="Arial" w:hAnsi="Arial"/>
          <w:sz w:val="21"/>
          <w:szCs w:val="21"/>
          <w:color w:val="auto"/>
        </w:rPr>
        <w:t>” means Executive’s resignation as a result of a Good Reason Condition in accordance with this subsection (i).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 in Sections 3 or 4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6" w:name="page67"/>
    <w:bookmarkEnd w:id="66"/>
    <w:p>
      <w:pPr>
        <w:ind w:left="1301" w:hanging="652"/>
        <w:spacing w:after="0"/>
        <w:tabs>
          <w:tab w:leader="none" w:pos="1301"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 w:right="160" w:firstLine="1296"/>
        <w:spacing w:after="0" w:line="246" w:lineRule="auto"/>
        <w:tabs>
          <w:tab w:leader="none" w:pos="1969" w:val="left"/>
        </w:tabs>
        <w:numPr>
          <w:ilvl w:val="2"/>
          <w:numId w:val="52"/>
        </w:numPr>
        <w:rPr>
          <w:rFonts w:ascii="Arial" w:cs="Arial" w:eastAsia="Arial" w:hAnsi="Arial"/>
          <w:sz w:val="21"/>
          <w:szCs w:val="21"/>
          <w:color w:val="auto"/>
        </w:rPr>
      </w:pPr>
      <w:r>
        <w:rPr>
          <w:rFonts w:ascii="Arial" w:cs="Arial" w:eastAsia="Arial" w:hAnsi="Arial"/>
          <w:sz w:val="21"/>
          <w:szCs w:val="21"/>
          <w:u w:val="single" w:color="auto"/>
          <w:color w:val="auto"/>
        </w:rPr>
        <w:t>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8 (a) or which becomes bound by the terms of this Agreement by operation of law.</w:t>
      </w:r>
    </w:p>
    <w:p>
      <w:pPr>
        <w:spacing w:after="0" w:line="180" w:lineRule="exact"/>
        <w:rPr>
          <w:rFonts w:ascii="Arial" w:cs="Arial" w:eastAsia="Arial" w:hAnsi="Arial"/>
          <w:sz w:val="21"/>
          <w:szCs w:val="21"/>
          <w:color w:val="auto"/>
        </w:rPr>
      </w:pPr>
    </w:p>
    <w:p>
      <w:pPr>
        <w:ind w:left="1" w:right="180" w:firstLine="1296"/>
        <w:spacing w:after="0"/>
        <w:tabs>
          <w:tab w:leader="none" w:pos="1982" w:val="left"/>
        </w:tabs>
        <w:numPr>
          <w:ilvl w:val="2"/>
          <w:numId w:val="52"/>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86" w:lineRule="exact"/>
        <w:rPr>
          <w:rFonts w:ascii="Arial" w:cs="Arial" w:eastAsia="Arial" w:hAnsi="Arial"/>
          <w:sz w:val="22"/>
          <w:szCs w:val="22"/>
          <w:color w:val="auto"/>
        </w:rPr>
      </w:pPr>
    </w:p>
    <w:p>
      <w:pPr>
        <w:ind w:left="1" w:right="180" w:firstLine="648"/>
        <w:spacing w:after="0" w:line="235" w:lineRule="auto"/>
        <w:tabs>
          <w:tab w:leader="none" w:pos="1297"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Chief Financial Officer.</w:t>
      </w:r>
    </w:p>
    <w:p>
      <w:pPr>
        <w:spacing w:after="0" w:line="188" w:lineRule="exact"/>
        <w:rPr>
          <w:rFonts w:ascii="Arial" w:cs="Arial" w:eastAsia="Arial" w:hAnsi="Arial"/>
          <w:sz w:val="22"/>
          <w:szCs w:val="22"/>
          <w:color w:val="auto"/>
        </w:rPr>
      </w:pPr>
    </w:p>
    <w:p>
      <w:pPr>
        <w:ind w:left="1301" w:hanging="652"/>
        <w:spacing w:after="0"/>
        <w:tabs>
          <w:tab w:leader="none" w:pos="1301"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Confidentiality; Non-Solicitation.</w:t>
      </w:r>
    </w:p>
    <w:p>
      <w:pPr>
        <w:spacing w:after="0" w:line="206" w:lineRule="exact"/>
        <w:rPr>
          <w:rFonts w:ascii="Arial" w:cs="Arial" w:eastAsia="Arial" w:hAnsi="Arial"/>
          <w:sz w:val="22"/>
          <w:szCs w:val="22"/>
          <w:color w:val="auto"/>
        </w:rPr>
      </w:pPr>
    </w:p>
    <w:p>
      <w:pPr>
        <w:ind w:left="1" w:firstLine="1296"/>
        <w:spacing w:after="0" w:line="269" w:lineRule="auto"/>
        <w:tabs>
          <w:tab w:leader="none" w:pos="1969" w:val="left"/>
        </w:tabs>
        <w:numPr>
          <w:ilvl w:val="2"/>
          <w:numId w:val="52"/>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Executive shall not be obligated to treat as confidential, or return to the Company copies of any Confidential Information that (i) was publicly known at the time of disclosure to Executive,</w:t>
      </w:r>
    </w:p>
    <w:p>
      <w:pPr>
        <w:spacing w:after="0" w:line="3" w:lineRule="exact"/>
        <w:rPr>
          <w:rFonts w:ascii="Arial" w:cs="Arial" w:eastAsia="Arial" w:hAnsi="Arial"/>
          <w:sz w:val="19"/>
          <w:szCs w:val="19"/>
          <w:color w:val="auto"/>
        </w:rPr>
      </w:pPr>
    </w:p>
    <w:p>
      <w:pPr>
        <w:ind w:left="1" w:right="200" w:hanging="1"/>
        <w:spacing w:after="0" w:line="273" w:lineRule="auto"/>
        <w:tabs>
          <w:tab w:leader="none" w:pos="319" w:val="left"/>
        </w:tabs>
        <w:numPr>
          <w:ilvl w:val="0"/>
          <w:numId w:val="53"/>
        </w:numPr>
        <w:rPr>
          <w:rFonts w:ascii="Arial" w:cs="Arial" w:eastAsia="Arial" w:hAnsi="Arial"/>
          <w:sz w:val="19"/>
          <w:szCs w:val="19"/>
          <w:color w:val="auto"/>
        </w:rPr>
      </w:pPr>
      <w:r>
        <w:rPr>
          <w:rFonts w:ascii="Arial" w:cs="Arial" w:eastAsia="Arial" w:hAnsi="Arial"/>
          <w:sz w:val="19"/>
          <w:szCs w:val="19"/>
          <w:color w:val="auto"/>
        </w:rPr>
        <w:t>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information disclosed to Executive or known by Executive as a consequence of or through his or 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Arial" w:cs="Arial" w:eastAsia="Arial" w:hAnsi="Arial"/>
          <w:sz w:val="19"/>
          <w:szCs w:val="19"/>
          <w:u w:val="single" w:color="auto"/>
          <w:color w:val="auto"/>
        </w:rPr>
        <w:t>Confidential Information Agreement</w:t>
      </w:r>
      <w:r>
        <w:rPr>
          <w:rFonts w:ascii="Arial" w:cs="Arial" w:eastAsia="Arial" w:hAnsi="Arial"/>
          <w:sz w:val="19"/>
          <w:szCs w:val="19"/>
          <w:color w:val="auto"/>
        </w:rPr>
        <w: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67" w:name="page68"/>
    <w:bookmarkEnd w:id="67"/>
    <w:p>
      <w:pPr>
        <w:ind w:firstLine="1296"/>
        <w:spacing w:after="0" w:line="274" w:lineRule="auto"/>
        <w:tabs>
          <w:tab w:leader="none" w:pos="1981"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xml:space="preserve">. In addition to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a general advertisement to which an employee of the Company responds shall in no event be deemed to result in a breach of this Section 10 (b). Executive also agrees not to harass or disparage the Company or its employees, clients, directors or agents or divert or attempt to divert any actual or potential business of the Company.</w:t>
      </w:r>
    </w:p>
    <w:p>
      <w:pPr>
        <w:spacing w:after="0" w:line="159" w:lineRule="exact"/>
        <w:rPr>
          <w:rFonts w:ascii="Arial" w:cs="Arial" w:eastAsia="Arial" w:hAnsi="Arial"/>
          <w:sz w:val="19"/>
          <w:szCs w:val="19"/>
          <w:color w:val="auto"/>
        </w:rPr>
      </w:pPr>
    </w:p>
    <w:p>
      <w:pPr>
        <w:ind w:firstLine="1296"/>
        <w:spacing w:after="0" w:line="235" w:lineRule="auto"/>
        <w:tabs>
          <w:tab w:leader="none" w:pos="1968"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Survival of Provisions</w:t>
      </w:r>
      <w:r>
        <w:rPr>
          <w:rFonts w:ascii="Arial" w:cs="Arial" w:eastAsia="Arial" w:hAnsi="Arial"/>
          <w:sz w:val="22"/>
          <w:szCs w:val="22"/>
          <w:color w:val="auto"/>
        </w:rPr>
        <w:t>. The provisions of this Section 10 shall survive the termination or expiration of the applicable Executive’s employment with the Company and shall be fully enforceable thereafter. If it is determined by a court of competent jurisdiction in any state that any restriction in this Section 10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8" w:lineRule="exact"/>
        <w:rPr>
          <w:rFonts w:ascii="Arial" w:cs="Arial" w:eastAsia="Arial" w:hAnsi="Arial"/>
          <w:sz w:val="22"/>
          <w:szCs w:val="22"/>
          <w:color w:val="auto"/>
        </w:rPr>
      </w:pPr>
    </w:p>
    <w:p>
      <w:pPr>
        <w:ind w:right="40" w:firstLine="648"/>
        <w:spacing w:after="0" w:line="270" w:lineRule="auto"/>
        <w:tabs>
          <w:tab w:leader="none" w:pos="128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Alameda County, California, conducted by Judicial Arbitration and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xml:space="preserve">”) under the applicable JAMS employment rules. </w:t>
      </w:r>
      <w:r>
        <w:rPr>
          <w:rFonts w:ascii="Arial" w:cs="Arial" w:eastAsia="Arial" w:hAnsi="Arial"/>
          <w:sz w:val="19"/>
          <w:szCs w:val="19"/>
          <w:b w:val="1"/>
          <w:bCs w:val="1"/>
          <w:color w:val="auto"/>
        </w:rPr>
        <w:t>By agreeing to this arbitration procedure, both Executive and the Company waive the</w:t>
      </w:r>
      <w:r>
        <w:rPr>
          <w:rFonts w:ascii="Arial" w:cs="Arial" w:eastAsia="Arial" w:hAnsi="Arial"/>
          <w:sz w:val="19"/>
          <w:szCs w:val="19"/>
          <w:color w:val="auto"/>
        </w:rPr>
        <w:t xml:space="preserve"> </w:t>
      </w:r>
      <w:r>
        <w:rPr>
          <w:rFonts w:ascii="Arial" w:cs="Arial" w:eastAsia="Arial" w:hAnsi="Arial"/>
          <w:sz w:val="19"/>
          <w:szCs w:val="19"/>
          <w:b w:val="1"/>
          <w:bCs w:val="1"/>
          <w:color w:val="auto"/>
        </w:rPr>
        <w:t>right to resolve any such dispute through a trial by jury or judge or administrative proceeding</w:t>
      </w:r>
      <w:r>
        <w:rPr>
          <w:rFonts w:ascii="Arial" w:cs="Arial" w:eastAsia="Arial" w:hAnsi="Arial"/>
          <w:sz w:val="19"/>
          <w:szCs w:val="19"/>
          <w:color w:val="auto"/>
        </w:rPr>
        <w:t>. The arbitrator</w:t>
      </w:r>
      <w:r>
        <w:rPr>
          <w:rFonts w:ascii="Arial" w:cs="Arial" w:eastAsia="Arial" w:hAnsi="Arial"/>
          <w:sz w:val="19"/>
          <w:szCs w:val="19"/>
          <w:b w:val="1"/>
          <w:bCs w:val="1"/>
          <w:color w:val="auto"/>
        </w:rPr>
        <w:t xml:space="preserve"> </w:t>
      </w:r>
      <w:r>
        <w:rPr>
          <w:rFonts w:ascii="Arial" w:cs="Arial" w:eastAsia="Arial" w:hAnsi="Arial"/>
          <w:sz w:val="19"/>
          <w:szCs w:val="19"/>
          <w:color w:val="auto"/>
        </w:rPr>
        <w:t>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w:t>
      </w:r>
    </w:p>
    <w:p>
      <w:pPr>
        <w:spacing w:after="0" w:line="223" w:lineRule="exact"/>
        <w:rPr>
          <w:rFonts w:ascii="Arial" w:cs="Arial" w:eastAsia="Arial" w:hAnsi="Arial"/>
          <w:sz w:val="19"/>
          <w:szCs w:val="19"/>
          <w:color w:val="auto"/>
        </w:rPr>
      </w:pPr>
    </w:p>
    <w:p>
      <w:pPr>
        <w:ind w:right="120"/>
        <w:spacing w:after="0" w:line="237" w:lineRule="auto"/>
        <w:rPr>
          <w:rFonts w:ascii="Arial" w:cs="Arial" w:eastAsia="Arial" w:hAnsi="Arial"/>
          <w:sz w:val="19"/>
          <w:szCs w:val="19"/>
          <w:color w:val="auto"/>
        </w:rPr>
      </w:pPr>
      <w:r>
        <w:rPr>
          <w:rFonts w:ascii="Arial" w:cs="Arial" w:eastAsia="Arial" w:hAnsi="Arial"/>
          <w:sz w:val="22"/>
          <w:szCs w:val="22"/>
          <w:color w:val="auto"/>
        </w:rPr>
        <w:t>arbitration. Notwithstanding the foregoing, Executive and the Company each have the right to resolve any issue or dispute over intellectual property rights by Court action instead of arbitration.</w:t>
      </w:r>
    </w:p>
    <w:p>
      <w:pPr>
        <w:spacing w:after="0" w:line="184" w:lineRule="exact"/>
        <w:rPr>
          <w:rFonts w:ascii="Arial" w:cs="Arial" w:eastAsia="Arial" w:hAnsi="Arial"/>
          <w:sz w:val="19"/>
          <w:szCs w:val="19"/>
          <w:color w:val="auto"/>
        </w:rPr>
      </w:pPr>
    </w:p>
    <w:p>
      <w:pPr>
        <w:ind w:left="1300" w:hanging="652"/>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hanging="664"/>
        <w:spacing w:after="0"/>
        <w:tabs>
          <w:tab w:leader="none" w:pos="1960"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40" w:hanging="696"/>
        <w:spacing w:after="0"/>
        <w:tabs>
          <w:tab w:leader="none" w:pos="2640" w:val="left"/>
        </w:tabs>
        <w:numPr>
          <w:ilvl w:val="2"/>
          <w:numId w:val="55"/>
        </w:numPr>
        <w:rPr>
          <w:rFonts w:ascii="Arial" w:cs="Arial" w:eastAsia="Arial" w:hAnsi="Arial"/>
          <w:sz w:val="21"/>
          <w:szCs w:val="21"/>
          <w:color w:val="auto"/>
        </w:rPr>
      </w:pPr>
      <w:r>
        <w:rPr>
          <w:rFonts w:ascii="Arial" w:cs="Arial" w:eastAsia="Arial" w:hAnsi="Arial"/>
          <w:sz w:val="21"/>
          <w:szCs w:val="21"/>
          <w:u w:val="single" w:color="auto"/>
          <w:color w:val="auto"/>
        </w:rPr>
        <w:t>Separation from Service</w:t>
      </w:r>
      <w:r>
        <w:rPr>
          <w:rFonts w:ascii="Arial" w:cs="Arial" w:eastAsia="Arial" w:hAnsi="Arial"/>
          <w:sz w:val="21"/>
          <w:szCs w:val="21"/>
          <w:color w:val="auto"/>
        </w:rPr>
        <w:t>. Notwithstanding any provision to the contrary in this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 no amount deemed deferred compensation subject to Section 409A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8" w:name="page69"/>
    <w:bookmarkEnd w:id="68"/>
    <w:p>
      <w:pPr>
        <w:ind w:right="80"/>
        <w:spacing w:after="0" w:line="247" w:lineRule="auto"/>
        <w:rPr>
          <w:sz w:val="20"/>
          <w:szCs w:val="20"/>
          <w:color w:val="auto"/>
        </w:rPr>
      </w:pPr>
      <w:r>
        <w:rPr>
          <w:rFonts w:ascii="Arial" w:cs="Arial" w:eastAsia="Arial" w:hAnsi="Arial"/>
          <w:sz w:val="21"/>
          <w:szCs w:val="21"/>
          <w:color w:val="auto"/>
        </w:rPr>
        <w:t>the Code shall be payable pursuant to Section 3 unless Executive’s termination of employment constitutes a Separation from Service and, except as provided under Section 13 (a)(ii) of this Agreement, any such amount shall not be paid, or in the case of installments, commence payment, until the sixtieth (60</w:t>
      </w:r>
      <w:r>
        <w:rPr>
          <w:rFonts w:ascii="Arial" w:cs="Arial" w:eastAsia="Arial" w:hAnsi="Arial"/>
          <w:sz w:val="10"/>
          <w:szCs w:val="10"/>
          <w:color w:val="auto"/>
        </w:rPr>
        <w:t>th</w:t>
      </w:r>
      <w:r>
        <w:rPr>
          <w:rFonts w:ascii="Arial" w:cs="Arial" w:eastAsia="Arial" w:hAnsi="Arial"/>
          <w:sz w:val="21"/>
          <w:szCs w:val="21"/>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Arial" w:cs="Arial" w:eastAsia="Arial" w:hAnsi="Arial"/>
          <w:sz w:val="10"/>
          <w:szCs w:val="10"/>
          <w:color w:val="auto"/>
        </w:rPr>
        <w:t>th</w:t>
      </w:r>
      <w:r>
        <w:rPr>
          <w:rFonts w:ascii="Arial" w:cs="Arial" w:eastAsia="Arial" w:hAnsi="Arial"/>
          <w:sz w:val="21"/>
          <w:szCs w:val="21"/>
          <w:color w:val="auto"/>
        </w:rPr>
        <w:t>) day following Executive’s Separation from Service and the remaining payments shall be made as provided in this Agreement.</w:t>
      </w:r>
    </w:p>
    <w:p>
      <w:pPr>
        <w:spacing w:after="0" w:line="179" w:lineRule="exact"/>
        <w:rPr>
          <w:sz w:val="20"/>
          <w:szCs w:val="20"/>
          <w:color w:val="auto"/>
        </w:rPr>
      </w:pPr>
    </w:p>
    <w:p>
      <w:pPr>
        <w:ind w:right="40" w:firstLine="1944"/>
        <w:spacing w:after="0" w:line="245" w:lineRule="auto"/>
        <w:tabs>
          <w:tab w:leader="none" w:pos="2587"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12 (a)(ii) shall be paid in a lump sum to Executive, and any remaining payments due under this Agreement shall be paid as otherwise provided herein.</w:t>
      </w:r>
    </w:p>
    <w:p>
      <w:pPr>
        <w:spacing w:after="0" w:line="181" w:lineRule="exact"/>
        <w:rPr>
          <w:rFonts w:ascii="Arial" w:cs="Arial" w:eastAsia="Arial" w:hAnsi="Arial"/>
          <w:sz w:val="21"/>
          <w:szCs w:val="21"/>
          <w:color w:val="auto"/>
        </w:rPr>
      </w:pPr>
    </w:p>
    <w:p>
      <w:pPr>
        <w:ind w:firstLine="1944"/>
        <w:spacing w:after="0" w:line="279" w:lineRule="auto"/>
        <w:tabs>
          <w:tab w:leader="none" w:pos="2593"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Expense Reimbursements</w:t>
      </w:r>
      <w:r>
        <w:rPr>
          <w:rFonts w:ascii="Arial" w:cs="Arial" w:eastAsia="Arial" w:hAnsi="Arial"/>
          <w:sz w:val="19"/>
          <w:szCs w:val="19"/>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50" w:lineRule="exact"/>
        <w:rPr>
          <w:rFonts w:ascii="Arial" w:cs="Arial" w:eastAsia="Arial" w:hAnsi="Arial"/>
          <w:sz w:val="19"/>
          <w:szCs w:val="19"/>
          <w:color w:val="auto"/>
        </w:rPr>
      </w:pPr>
    </w:p>
    <w:p>
      <w:pPr>
        <w:ind w:right="160" w:firstLine="1944"/>
        <w:spacing w:after="0" w:line="287" w:lineRule="auto"/>
        <w:tabs>
          <w:tab w:leader="none" w:pos="2635"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43" w:lineRule="exact"/>
        <w:rPr>
          <w:rFonts w:ascii="Arial" w:cs="Arial" w:eastAsia="Arial" w:hAnsi="Arial"/>
          <w:sz w:val="19"/>
          <w:szCs w:val="19"/>
          <w:color w:val="auto"/>
        </w:rPr>
      </w:pPr>
    </w:p>
    <w:p>
      <w:pPr>
        <w:ind w:right="120" w:firstLine="1296"/>
        <w:spacing w:after="0" w:line="249" w:lineRule="auto"/>
        <w:tabs>
          <w:tab w:leader="none" w:pos="1981"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8" w:lineRule="exact"/>
        <w:rPr>
          <w:rFonts w:ascii="Arial" w:cs="Arial" w:eastAsia="Arial" w:hAnsi="Arial"/>
          <w:sz w:val="21"/>
          <w:szCs w:val="21"/>
          <w:color w:val="auto"/>
        </w:rPr>
      </w:pPr>
    </w:p>
    <w:p>
      <w:pPr>
        <w:ind w:right="160" w:firstLine="1296"/>
        <w:spacing w:after="0"/>
        <w:tabs>
          <w:tab w:leader="none" w:pos="196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Whole Agreement</w:t>
      </w:r>
      <w:r>
        <w:rPr>
          <w:rFonts w:ascii="Arial" w:cs="Arial" w:eastAsia="Arial" w:hAnsi="Arial"/>
          <w:sz w:val="22"/>
          <w:szCs w:val="22"/>
          <w:color w:val="auto"/>
        </w:rPr>
        <w:t>. This Agreement and the Confidential Information Agreement represent the entire understanding of the parties hereto with respect to the subject matter hereof and supersede all prior arrangements and understandings regarding same.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69" w:name="page70"/>
    <w:bookmarkEnd w:id="69"/>
    <w:p>
      <w:pPr>
        <w:ind w:left="-40" w:firstLine="1296"/>
        <w:spacing w:after="0" w:line="251"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shall be governed by the laws of the State of California.</w:t>
      </w:r>
    </w:p>
    <w:p>
      <w:pPr>
        <w:spacing w:after="0" w:line="173" w:lineRule="exact"/>
        <w:rPr>
          <w:rFonts w:ascii="Arial" w:cs="Arial" w:eastAsia="Arial" w:hAnsi="Arial"/>
          <w:sz w:val="22"/>
          <w:szCs w:val="22"/>
          <w:color w:val="auto"/>
        </w:rPr>
      </w:pPr>
    </w:p>
    <w:p>
      <w:pPr>
        <w:ind w:left="-40" w:right="320" w:firstLine="1296"/>
        <w:spacing w:after="0"/>
        <w:tabs>
          <w:tab w:leader="none" w:pos="192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86" w:lineRule="exact"/>
        <w:rPr>
          <w:rFonts w:ascii="Arial" w:cs="Arial" w:eastAsia="Arial" w:hAnsi="Arial"/>
          <w:sz w:val="22"/>
          <w:szCs w:val="22"/>
          <w:color w:val="auto"/>
        </w:rPr>
      </w:pPr>
    </w:p>
    <w:p>
      <w:pPr>
        <w:ind w:left="-40" w:right="540" w:firstLine="1296"/>
        <w:spacing w:after="0" w:line="274" w:lineRule="auto"/>
        <w:tabs>
          <w:tab w:leader="none" w:pos="1905"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all of which together will constitute one and the same instrument.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76200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60" w:top="118" w:right="939" w:bottom="1440" w:gutter="0" w:footer="0" w:header="0"/>
        </w:sectPr>
      </w:pPr>
    </w:p>
    <w:bookmarkStart w:id="70" w:name="page71"/>
    <w:bookmarkEnd w:id="70"/>
    <w:p>
      <w:pPr>
        <w:ind w:firstLine="648"/>
        <w:spacing w:after="0" w:line="251"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8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ARDELYX, INC.</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Mike Raab</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 CEO</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Date: May 7, 2018</w:t>
      </w:r>
    </w:p>
    <w:p>
      <w:pPr>
        <w:spacing w:after="0" w:line="200" w:lineRule="exact"/>
        <w:rPr>
          <w:sz w:val="20"/>
          <w:szCs w:val="20"/>
          <w:color w:val="auto"/>
        </w:rPr>
      </w:pPr>
    </w:p>
    <w:p>
      <w:pPr>
        <w:spacing w:after="0" w:line="27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 Elizabeth A. Grammer</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Elizabeth A. Grammer</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Date: May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20"/>
          </w:cols>
          <w:pgMar w:left="920" w:top="118" w:right="105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CHANGE IN CONTROL SEVERANCE AGREEMENT</w:t>
      </w:r>
    </w:p>
    <w:p>
      <w:pPr>
        <w:spacing w:after="0" w:line="21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This Second Amended and Restated Change in Control Severance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this 7</w:t>
      </w:r>
      <w:r>
        <w:rPr>
          <w:rFonts w:ascii="Arial" w:cs="Arial" w:eastAsia="Arial" w:hAnsi="Arial"/>
          <w:sz w:val="9"/>
          <w:szCs w:val="9"/>
          <w:color w:val="auto"/>
        </w:rPr>
        <w:t>th</w:t>
      </w:r>
      <w:r>
        <w:rPr>
          <w:rFonts w:ascii="Arial" w:cs="Arial" w:eastAsia="Arial" w:hAnsi="Arial"/>
          <w:sz w:val="19"/>
          <w:szCs w:val="19"/>
          <w:color w:val="auto"/>
        </w:rPr>
        <w:t xml:space="preserve"> day of May 2018 by and between David P. Rosenbaum, Ph.D. (the “</w:t>
      </w:r>
      <w:r>
        <w:rPr>
          <w:rFonts w:ascii="Arial" w:cs="Arial" w:eastAsia="Arial" w:hAnsi="Arial"/>
          <w:sz w:val="19"/>
          <w:szCs w:val="19"/>
          <w:u w:val="single" w:color="auto"/>
          <w:color w:val="auto"/>
        </w:rPr>
        <w:t>Executive</w:t>
      </w:r>
      <w:r>
        <w:rPr>
          <w:rFonts w:ascii="Arial" w:cs="Arial" w:eastAsia="Arial" w:hAnsi="Arial"/>
          <w:sz w:val="19"/>
          <w:szCs w:val="19"/>
          <w:color w:val="auto"/>
        </w:rPr>
        <w:t>”) and Ardelyx, Inc. (the “</w:t>
      </w:r>
      <w:r>
        <w:rPr>
          <w:rFonts w:ascii="Arial" w:cs="Arial" w:eastAsia="Arial" w:hAnsi="Arial"/>
          <w:sz w:val="19"/>
          <w:szCs w:val="19"/>
          <w:u w:val="single" w:color="auto"/>
          <w:color w:val="auto"/>
        </w:rPr>
        <w:t>Company</w:t>
      </w:r>
      <w:r>
        <w:rPr>
          <w:rFonts w:ascii="Arial" w:cs="Arial" w:eastAsia="Arial" w:hAnsi="Arial"/>
          <w:sz w:val="19"/>
          <w:szCs w:val="19"/>
          <w:color w:val="auto"/>
        </w:rPr>
        <w:t>”), effective as January 19, 2017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This Agreement amends and restates in its entirety that certain Amended and Restated Change in Control Severance Agreement by and between Executive and the Company effective as of June 6, 2014 (the “</w:t>
      </w:r>
      <w:r>
        <w:rPr>
          <w:rFonts w:ascii="Arial" w:cs="Arial" w:eastAsia="Arial" w:hAnsi="Arial"/>
          <w:sz w:val="19"/>
          <w:szCs w:val="19"/>
          <w:u w:val="single" w:color="auto"/>
          <w:color w:val="auto"/>
        </w:rPr>
        <w:t>Prior Agreement</w:t>
      </w:r>
      <w:r>
        <w:rPr>
          <w:rFonts w:ascii="Arial" w:cs="Arial" w:eastAsia="Arial" w:hAnsi="Arial"/>
          <w:sz w:val="19"/>
          <w:szCs w:val="19"/>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06" w:lineRule="exact"/>
        <w:rPr>
          <w:sz w:val="20"/>
          <w:szCs w:val="20"/>
          <w:color w:val="auto"/>
        </w:rPr>
      </w:pPr>
    </w:p>
    <w:p>
      <w:pPr>
        <w:ind w:right="80" w:firstLine="648"/>
        <w:spacing w:after="0" w:line="234" w:lineRule="auto"/>
        <w:tabs>
          <w:tab w:leader="none" w:pos="1291" w:val="left"/>
        </w:tabs>
        <w:numPr>
          <w:ilvl w:val="0"/>
          <w:numId w:val="59"/>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in control.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91" w:lineRule="exact"/>
        <w:rPr>
          <w:rFonts w:ascii="Arial" w:cs="Arial" w:eastAsia="Arial" w:hAnsi="Arial"/>
          <w:sz w:val="22"/>
          <w:szCs w:val="22"/>
          <w:color w:val="auto"/>
        </w:rPr>
      </w:pPr>
    </w:p>
    <w:p>
      <w:pPr>
        <w:ind w:right="160" w:firstLine="648"/>
        <w:spacing w:after="0" w:line="297" w:lineRule="auto"/>
        <w:tabs>
          <w:tab w:leader="none" w:pos="1329"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34" w:lineRule="exact"/>
        <w:rPr>
          <w:rFonts w:ascii="Arial" w:cs="Arial" w:eastAsia="Arial" w:hAnsi="Arial"/>
          <w:sz w:val="19"/>
          <w:szCs w:val="19"/>
          <w:color w:val="auto"/>
        </w:rPr>
      </w:pPr>
    </w:p>
    <w:p>
      <w:pPr>
        <w:ind w:right="80" w:firstLine="648"/>
        <w:spacing w:after="0" w:line="249" w:lineRule="auto"/>
        <w:tabs>
          <w:tab w:leader="none" w:pos="1329"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Board believes that, in connection with the Executive’s promotion to Chief Development Officer, it is imperative to provide Executive with severance benefits consistent with those of the Company’s other senior executive, with such severance benefits triggered upon certain terminations of Executive’s service to the Company and that enhance Executive’s financial security and provide incentive and encouragement to Executive to remain with the Company notwithstanding the possibility of such an event.</w:t>
      </w:r>
    </w:p>
    <w:p>
      <w:pPr>
        <w:spacing w:after="0" w:line="178" w:lineRule="exact"/>
        <w:rPr>
          <w:rFonts w:ascii="Arial" w:cs="Arial" w:eastAsia="Arial" w:hAnsi="Arial"/>
          <w:sz w:val="21"/>
          <w:szCs w:val="21"/>
          <w:color w:val="auto"/>
        </w:rPr>
      </w:pPr>
    </w:p>
    <w:p>
      <w:pPr>
        <w:ind w:right="480" w:firstLine="648"/>
        <w:spacing w:after="0" w:line="274" w:lineRule="auto"/>
        <w:tabs>
          <w:tab w:leader="none" w:pos="1287"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Board believes that it is in the best interests of the Company and its stockholders to provide Executive with certain transition payments as an incentive to join the Company.</w:t>
      </w:r>
    </w:p>
    <w:p>
      <w:pPr>
        <w:spacing w:after="0" w:line="151" w:lineRule="exact"/>
        <w:rPr>
          <w:sz w:val="20"/>
          <w:szCs w:val="20"/>
          <w:color w:val="auto"/>
        </w:rPr>
      </w:pPr>
    </w:p>
    <w:p>
      <w:pPr>
        <w:ind w:left="640" w:right="1740" w:firstLine="8"/>
        <w:spacing w:after="0" w:line="435" w:lineRule="auto"/>
        <w:tabs>
          <w:tab w:leader="none" w:pos="1312" w:val="left"/>
        </w:tabs>
        <w:numPr>
          <w:ilvl w:val="0"/>
          <w:numId w:val="60"/>
        </w:numPr>
        <w:rPr>
          <w:rFonts w:ascii="Arial" w:cs="Arial" w:eastAsia="Arial" w:hAnsi="Arial"/>
          <w:sz w:val="22"/>
          <w:szCs w:val="22"/>
          <w:color w:val="auto"/>
        </w:rPr>
      </w:pPr>
      <w:r>
        <w:rPr>
          <w:rFonts w:ascii="Arial" w:cs="Arial" w:eastAsia="Arial" w:hAnsi="Arial"/>
          <w:sz w:val="22"/>
          <w:szCs w:val="22"/>
          <w:color w:val="auto"/>
        </w:rPr>
        <w:t>Certain capitalized terms used in this Agreement are defined in Section 8 below. The parties hereto agree as follows:</w:t>
      </w:r>
    </w:p>
    <w:p>
      <w:pPr>
        <w:spacing w:after="0" w:line="1" w:lineRule="exact"/>
        <w:rPr>
          <w:sz w:val="20"/>
          <w:szCs w:val="20"/>
          <w:color w:val="auto"/>
        </w:rPr>
      </w:pPr>
    </w:p>
    <w:p>
      <w:pPr>
        <w:ind w:right="180" w:firstLine="648"/>
        <w:spacing w:after="0" w:line="328" w:lineRule="auto"/>
        <w:tabs>
          <w:tab w:leader="none" w:pos="129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This Agreement shall become effective as of the Effective Date and terminate upon the date that all obligations of the parties hereto with respect to this Agreement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72" w:name="page73"/>
    <w:bookmarkEnd w:id="72"/>
    <w:p>
      <w:pPr>
        <w:jc w:val="both"/>
        <w:ind w:left="-40" w:right="220" w:firstLine="648"/>
        <w:spacing w:after="0" w:line="238" w:lineRule="auto"/>
        <w:tabs>
          <w:tab w:leader="none" w:pos="1257"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w:t>
      </w:r>
    </w:p>
    <w:p>
      <w:pPr>
        <w:spacing w:after="0" w:line="185" w:lineRule="exact"/>
        <w:rPr>
          <w:rFonts w:ascii="Arial" w:cs="Arial" w:eastAsia="Arial" w:hAnsi="Arial"/>
          <w:sz w:val="22"/>
          <w:szCs w:val="22"/>
          <w:color w:val="auto"/>
        </w:rPr>
      </w:pPr>
    </w:p>
    <w:p>
      <w:pPr>
        <w:ind w:left="-40" w:right="40" w:firstLine="648"/>
        <w:spacing w:after="0" w:line="247" w:lineRule="auto"/>
        <w:tabs>
          <w:tab w:leader="none" w:pos="1257"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Covered Termination Other Than During a Change in Control Period</w:t>
      </w:r>
      <w:r>
        <w:rPr>
          <w:rFonts w:ascii="Arial" w:cs="Arial" w:eastAsia="Arial" w:hAnsi="Arial"/>
          <w:sz w:val="21"/>
          <w:szCs w:val="21"/>
          <w:color w:val="auto"/>
        </w:rPr>
        <w:t>. If Executive experiences a Covered Termination other than during a Change in Control Period, and if Executive delivers to the Company a general release of all claims against the Company and its affiliates in a form acceptable to the Company (a “</w:t>
      </w: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of Claims</w:t>
      </w:r>
      <w:r>
        <w:rPr>
          <w:rFonts w:ascii="Arial" w:cs="Arial" w:eastAsia="Arial" w:hAnsi="Arial"/>
          <w:sz w:val="21"/>
          <w:szCs w:val="21"/>
          <w:color w:val="auto"/>
        </w:rPr>
        <w:t>”)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spacing w:after="0" w:line="178" w:lineRule="exact"/>
        <w:rPr>
          <w:sz w:val="20"/>
          <w:szCs w:val="20"/>
          <w:color w:val="auto"/>
        </w:rPr>
      </w:pPr>
    </w:p>
    <w:p>
      <w:pPr>
        <w:ind w:left="600" w:firstLine="8"/>
        <w:spacing w:after="0" w:line="249" w:lineRule="auto"/>
        <w:tabs>
          <w:tab w:leader="none" w:pos="1272"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 Executive shall be entitled to receive an amount equal to nine (9) months of Executive’s Base Salary payable in substantially equal installments in accordance with the Company’s normal payroll policies, less applicable withholdings, with such installments to commence as soon as administratively practicable following the date the Release of Claims is not subject to revocation and, in any event, within sixty (60) days following the date of the Covered Termination.</w:t>
      </w:r>
    </w:p>
    <w:p>
      <w:pPr>
        <w:spacing w:after="0" w:line="178" w:lineRule="exact"/>
        <w:rPr>
          <w:rFonts w:ascii="Arial" w:cs="Arial" w:eastAsia="Arial" w:hAnsi="Arial"/>
          <w:sz w:val="21"/>
          <w:szCs w:val="21"/>
          <w:color w:val="auto"/>
        </w:rPr>
      </w:pPr>
    </w:p>
    <w:p>
      <w:pPr>
        <w:ind w:left="600" w:firstLine="8"/>
        <w:spacing w:after="0" w:line="271" w:lineRule="auto"/>
        <w:tabs>
          <w:tab w:leader="none" w:pos="1284"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elects to receive continued healthcare coverage pursuant to the provisions of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 Company shall directly pay, or reimburse Executive for, the premium for Executive and Executive’s covered dependents through the earlier of (i) the first (1</w:t>
      </w:r>
      <w:r>
        <w:rPr>
          <w:rFonts w:ascii="Arial" w:cs="Arial" w:eastAsia="Arial" w:hAnsi="Arial"/>
          <w:sz w:val="9"/>
          <w:szCs w:val="9"/>
          <w:color w:val="auto"/>
        </w:rPr>
        <w:t>st</w:t>
      </w:r>
      <w:r>
        <w:rPr>
          <w:rFonts w:ascii="Arial" w:cs="Arial" w:eastAsia="Arial" w:hAnsi="Arial"/>
          <w:sz w:val="19"/>
          <w:szCs w:val="19"/>
          <w:color w:val="auto"/>
        </w:rPr>
        <w:t>)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the provisions of COBRA.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76200</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60" w:top="118" w:right="939" w:bottom="1440" w:gutter="0" w:footer="0" w:header="0"/>
        </w:sectPr>
      </w:pPr>
    </w:p>
    <w:bookmarkStart w:id="73" w:name="page74"/>
    <w:bookmarkEnd w:id="73"/>
    <w:p>
      <w:pPr>
        <w:ind w:right="20" w:firstLine="648"/>
        <w:spacing w:after="0" w:line="235" w:lineRule="auto"/>
        <w:tabs>
          <w:tab w:leader="none" w:pos="1297"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Covered Termination During a Change in Control Period</w:t>
      </w:r>
      <w:r>
        <w:rPr>
          <w:rFonts w:ascii="Arial" w:cs="Arial" w:eastAsia="Arial" w:hAnsi="Arial"/>
          <w:sz w:val="22"/>
          <w:szCs w:val="22"/>
          <w:color w:val="auto"/>
        </w:rPr>
        <w:t>. If Executive experiences a Covered Termination during a Change in Control Period, and if Executive delivers to the Company a Release of Claims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spacing w:after="0" w:line="189" w:lineRule="exact"/>
        <w:rPr>
          <w:sz w:val="20"/>
          <w:szCs w:val="20"/>
          <w:color w:val="auto"/>
        </w:rPr>
      </w:pPr>
    </w:p>
    <w:p>
      <w:pPr>
        <w:ind w:left="1320" w:hanging="672"/>
        <w:spacing w:after="0"/>
        <w:tabs>
          <w:tab w:leader="none" w:pos="132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Executive shall be entitled to receive an amount equal to one hundred percent of by the</w:t>
      </w:r>
    </w:p>
    <w:p>
      <w:pPr>
        <w:spacing w:after="0" w:line="42" w:lineRule="exact"/>
        <w:rPr>
          <w:rFonts w:ascii="Arial" w:cs="Arial" w:eastAsia="Arial" w:hAnsi="Arial"/>
          <w:sz w:val="19"/>
          <w:szCs w:val="19"/>
          <w:color w:val="auto"/>
        </w:rPr>
      </w:pPr>
    </w:p>
    <w:p>
      <w:pPr>
        <w:ind w:left="640"/>
        <w:spacing w:after="0" w:line="233" w:lineRule="auto"/>
        <w:rPr>
          <w:rFonts w:ascii="Arial" w:cs="Arial" w:eastAsia="Arial" w:hAnsi="Arial"/>
          <w:sz w:val="19"/>
          <w:szCs w:val="19"/>
          <w:color w:val="auto"/>
        </w:rPr>
      </w:pPr>
      <w:r>
        <w:rPr>
          <w:rFonts w:ascii="Arial" w:cs="Arial" w:eastAsia="Arial" w:hAnsi="Arial"/>
          <w:sz w:val="22"/>
          <w:szCs w:val="22"/>
          <w:color w:val="auto"/>
        </w:rPr>
        <w:t>sum of: (i) Executive’s Base Salary and (ii) Executive’s target annual bonus for the fiscal year of Executive’s termination, in each case, at the rate in effect immediately 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85" w:lineRule="exact"/>
        <w:rPr>
          <w:rFonts w:ascii="Arial" w:cs="Arial" w:eastAsia="Arial" w:hAnsi="Arial"/>
          <w:sz w:val="19"/>
          <w:szCs w:val="19"/>
          <w:color w:val="auto"/>
        </w:rPr>
      </w:pPr>
    </w:p>
    <w:p>
      <w:pPr>
        <w:ind w:left="640" w:right="40" w:firstLine="8"/>
        <w:spacing w:after="0" w:line="247" w:lineRule="auto"/>
        <w:tabs>
          <w:tab w:leader="none" w:pos="1324"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one hundred percent (100%) of the shares subject thereto.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w:t>
      </w:r>
    </w:p>
    <w:p>
      <w:pPr>
        <w:spacing w:after="0" w:line="178" w:lineRule="exact"/>
        <w:rPr>
          <w:rFonts w:ascii="Arial" w:cs="Arial" w:eastAsia="Arial" w:hAnsi="Arial"/>
          <w:sz w:val="21"/>
          <w:szCs w:val="21"/>
          <w:color w:val="auto"/>
        </w:rPr>
      </w:pPr>
    </w:p>
    <w:p>
      <w:pPr>
        <w:ind w:left="640" w:right="40" w:firstLine="8"/>
        <w:spacing w:after="0" w:line="268" w:lineRule="auto"/>
        <w:tabs>
          <w:tab w:leader="none" w:pos="1312"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elects to receive continued healthcare coverage pursuant to the provisions of COBRA, the Company shall directly pay, or reimburse Executive for, the premium for Executive and Executive’s covered dependents through the earlier of (i) the first (1</w:t>
      </w:r>
      <w:r>
        <w:rPr>
          <w:rFonts w:ascii="Arial" w:cs="Arial" w:eastAsia="Arial" w:hAnsi="Arial"/>
          <w:sz w:val="9"/>
          <w:szCs w:val="9"/>
          <w:color w:val="auto"/>
        </w:rPr>
        <w:t>st</w:t>
      </w:r>
      <w:r>
        <w:rPr>
          <w:rFonts w:ascii="Arial" w:cs="Arial" w:eastAsia="Arial" w:hAnsi="Arial"/>
          <w:sz w:val="19"/>
          <w:szCs w:val="19"/>
          <w:color w:val="auto"/>
        </w:rPr>
        <w:t>)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 (c), Executive may, if eligible, elect to continue healthcare coverage at Executive’s expense in accordance the provisions of</w:t>
      </w:r>
    </w:p>
    <w:p>
      <w:pPr>
        <w:spacing w:after="0" w:line="6"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COBRA.</w:t>
      </w:r>
    </w:p>
    <w:p>
      <w:pPr>
        <w:spacing w:after="0" w:line="188" w:lineRule="exact"/>
        <w:rPr>
          <w:sz w:val="20"/>
          <w:szCs w:val="20"/>
          <w:color w:val="auto"/>
        </w:rPr>
      </w:pPr>
    </w:p>
    <w:p>
      <w:pPr>
        <w:ind w:right="100" w:firstLine="648"/>
        <w:spacing w:after="0" w:line="236" w:lineRule="auto"/>
        <w:tabs>
          <w:tab w:leader="none" w:pos="1297"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4" w:name="page75"/>
    <w:bookmarkEnd w:id="74"/>
    <w:p>
      <w:pPr>
        <w:ind w:left="1" w:right="20" w:firstLine="648"/>
        <w:spacing w:after="0" w:line="272" w:lineRule="auto"/>
        <w:tabs>
          <w:tab w:leader="none" w:pos="1297"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Notwithstanding anything in this Agreement to the contrary, if any payment or distribution Executive would receive pursuant to this Agreement or otherwise (“</w:t>
      </w:r>
      <w:r>
        <w:rPr>
          <w:rFonts w:ascii="Arial" w:cs="Arial" w:eastAsia="Arial" w:hAnsi="Arial"/>
          <w:sz w:val="19"/>
          <w:szCs w:val="19"/>
          <w:u w:val="single" w:color="auto"/>
          <w:color w:val="auto"/>
        </w:rPr>
        <w:t>Payment</w:t>
      </w:r>
      <w:r>
        <w:rPr>
          <w:rFonts w:ascii="Arial" w:cs="Arial" w:eastAsia="Arial" w:hAnsi="Arial"/>
          <w:sz w:val="19"/>
          <w:szCs w:val="19"/>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such Payment shall either be</w:t>
      </w:r>
    </w:p>
    <w:p>
      <w:pPr>
        <w:ind w:left="1" w:hanging="1"/>
        <w:spacing w:after="0" w:line="270" w:lineRule="auto"/>
        <w:tabs>
          <w:tab w:leader="none" w:pos="259" w:val="left"/>
        </w:tabs>
        <w:numPr>
          <w:ilvl w:val="0"/>
          <w:numId w:val="68"/>
        </w:numPr>
        <w:rPr>
          <w:rFonts w:ascii="Arial" w:cs="Arial" w:eastAsia="Arial" w:hAnsi="Arial"/>
          <w:sz w:val="19"/>
          <w:szCs w:val="19"/>
          <w:color w:val="auto"/>
        </w:rPr>
      </w:pPr>
      <w:r>
        <w:rPr>
          <w:rFonts w:ascii="Arial" w:cs="Arial" w:eastAsia="Arial" w:hAnsi="Arial"/>
          <w:sz w:val="19"/>
          <w:szCs w:val="19"/>
          <w:color w:val="auto"/>
        </w:rPr>
        <w:t>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6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60" w:lineRule="exact"/>
        <w:rPr>
          <w:rFonts w:ascii="Arial" w:cs="Arial" w:eastAsia="Arial" w:hAnsi="Arial"/>
          <w:sz w:val="19"/>
          <w:szCs w:val="19"/>
          <w:color w:val="auto"/>
        </w:rPr>
      </w:pPr>
    </w:p>
    <w:p>
      <w:pPr>
        <w:ind w:left="1301" w:hanging="652"/>
        <w:spacing w:after="0"/>
        <w:tabs>
          <w:tab w:leader="none" w:pos="1301"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Definition of Terms</w:t>
      </w:r>
      <w:r>
        <w:rPr>
          <w:rFonts w:ascii="Arial" w:cs="Arial" w:eastAsia="Arial" w:hAnsi="Arial"/>
          <w:sz w:val="21"/>
          <w:szCs w:val="21"/>
          <w:color w:val="auto"/>
        </w:rPr>
        <w:t>. The following terms referred to in this Agreement shall have the following</w:t>
      </w:r>
    </w:p>
    <w:p>
      <w:pPr>
        <w:spacing w:after="0" w:line="19" w:lineRule="exact"/>
        <w:rPr>
          <w:rFonts w:ascii="Arial" w:cs="Arial" w:eastAsia="Arial" w:hAnsi="Arial"/>
          <w:sz w:val="21"/>
          <w:szCs w:val="21"/>
          <w:color w:val="auto"/>
        </w:rPr>
      </w:pPr>
    </w:p>
    <w:p>
      <w:pPr>
        <w:ind w:left="1"/>
        <w:spacing w:after="0"/>
        <w:rPr>
          <w:rFonts w:ascii="Arial" w:cs="Arial" w:eastAsia="Arial" w:hAnsi="Arial"/>
          <w:sz w:val="21"/>
          <w:szCs w:val="21"/>
          <w:color w:val="auto"/>
        </w:rPr>
      </w:pPr>
      <w:r>
        <w:rPr>
          <w:rFonts w:ascii="Arial" w:cs="Arial" w:eastAsia="Arial" w:hAnsi="Arial"/>
          <w:sz w:val="22"/>
          <w:szCs w:val="22"/>
          <w:color w:val="auto"/>
        </w:rPr>
        <w:t>meanings:</w:t>
      </w:r>
    </w:p>
    <w:p>
      <w:pPr>
        <w:spacing w:after="0" w:line="188" w:lineRule="exact"/>
        <w:rPr>
          <w:rFonts w:ascii="Arial" w:cs="Arial" w:eastAsia="Arial" w:hAnsi="Arial"/>
          <w:sz w:val="21"/>
          <w:szCs w:val="21"/>
          <w:color w:val="auto"/>
        </w:rPr>
      </w:pPr>
    </w:p>
    <w:p>
      <w:pPr>
        <w:ind w:left="1" w:firstLine="1296"/>
        <w:spacing w:after="0"/>
        <w:tabs>
          <w:tab w:leader="none" w:pos="1969" w:val="left"/>
        </w:tabs>
        <w:numPr>
          <w:ilvl w:val="2"/>
          <w:numId w:val="68"/>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w:t>
      </w:r>
      <w:r>
        <w:rPr>
          <w:rFonts w:ascii="Arial" w:cs="Arial" w:eastAsia="Arial" w:hAnsi="Arial"/>
          <w:sz w:val="22"/>
          <w:szCs w:val="22"/>
          <w:u w:val="single" w:color="auto"/>
          <w:color w:val="auto"/>
        </w:rPr>
        <w:t>Base Salary</w:t>
      </w:r>
      <w:r>
        <w:rPr>
          <w:rFonts w:ascii="Arial" w:cs="Arial" w:eastAsia="Arial" w:hAnsi="Arial"/>
          <w:sz w:val="22"/>
          <w:szCs w:val="22"/>
          <w:color w:val="auto"/>
        </w:rPr>
        <w:t>” means Executive’s annual base salary in effect immediately prior to Executive’s termination (disregarding any reduction in base salary that would give rise to Executive’s right to a Voluntary Resignation for Good Reason).</w:t>
      </w:r>
    </w:p>
    <w:p>
      <w:pPr>
        <w:spacing w:after="0" w:line="186" w:lineRule="exact"/>
        <w:rPr>
          <w:rFonts w:ascii="Arial" w:cs="Arial" w:eastAsia="Arial" w:hAnsi="Arial"/>
          <w:sz w:val="22"/>
          <w:szCs w:val="22"/>
          <w:color w:val="auto"/>
        </w:rPr>
      </w:pPr>
    </w:p>
    <w:p>
      <w:pPr>
        <w:ind w:left="1" w:right="20" w:firstLine="1296"/>
        <w:spacing w:after="0" w:line="271" w:lineRule="auto"/>
        <w:tabs>
          <w:tab w:leader="none" w:pos="1982" w:val="left"/>
        </w:tabs>
        <w:numPr>
          <w:ilvl w:val="2"/>
          <w:numId w:val="68"/>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w:t>
      </w:r>
      <w:r>
        <w:rPr>
          <w:rFonts w:ascii="Arial" w:cs="Arial" w:eastAsia="Arial" w:hAnsi="Arial"/>
          <w:sz w:val="19"/>
          <w:szCs w:val="19"/>
          <w:u w:val="single" w:color="auto"/>
          <w:color w:val="auto"/>
        </w:rPr>
        <w:t>Cause</w:t>
      </w:r>
      <w:r>
        <w:rPr>
          <w:rFonts w:ascii="Arial" w:cs="Arial" w:eastAsia="Arial" w:hAnsi="Arial"/>
          <w:sz w:val="19"/>
          <w:szCs w:val="19"/>
          <w:color w:val="auto"/>
        </w:rPr>
        <w:t>” means (i) Executive’s theft, dishonesty or falsification of any employment or Company records that is non-trivial in nature; (ii) Executive’s malicious or reckless disclosure of the Company’s confidential or proprietary information or any material breach by Executive of his or her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 (C)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75" w:name="page76"/>
    <w:bookmarkEnd w:id="75"/>
    <w:p>
      <w:pPr>
        <w:ind w:right="100" w:firstLine="1296"/>
        <w:spacing w:after="0" w:line="298" w:lineRule="auto"/>
        <w:tabs>
          <w:tab w:leader="none" w:pos="1968"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have the meaning set forth in the Company’s 2014 Equity Incentive Award Plan, as it may be amended from time to time, provided that such event must also constitute a “change in control event” as defined in Treasury Regulation Section 1.409A-3(i)(5).</w:t>
      </w:r>
    </w:p>
    <w:p>
      <w:pPr>
        <w:spacing w:after="0" w:line="132" w:lineRule="exact"/>
        <w:rPr>
          <w:rFonts w:ascii="Arial" w:cs="Arial" w:eastAsia="Arial" w:hAnsi="Arial"/>
          <w:sz w:val="19"/>
          <w:szCs w:val="19"/>
          <w:color w:val="auto"/>
        </w:rPr>
      </w:pPr>
    </w:p>
    <w:p>
      <w:pPr>
        <w:ind w:right="180" w:firstLine="1296"/>
        <w:spacing w:after="0" w:line="251" w:lineRule="auto"/>
        <w:tabs>
          <w:tab w:leader="none" w:pos="198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w:t>
      </w: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means the period of time beginning three (3) months prior to and ending twelve (12) months following a Change in Control.</w:t>
      </w:r>
    </w:p>
    <w:p>
      <w:pPr>
        <w:spacing w:after="0" w:line="173" w:lineRule="exact"/>
        <w:rPr>
          <w:rFonts w:ascii="Arial" w:cs="Arial" w:eastAsia="Arial" w:hAnsi="Arial"/>
          <w:sz w:val="22"/>
          <w:szCs w:val="22"/>
          <w:color w:val="auto"/>
        </w:rPr>
      </w:pPr>
    </w:p>
    <w:p>
      <w:pPr>
        <w:ind w:right="560" w:firstLine="1296"/>
        <w:spacing w:after="0"/>
        <w:tabs>
          <w:tab w:leader="none" w:pos="1968"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Covered Termination</w:t>
      </w:r>
      <w:r>
        <w:rPr>
          <w:rFonts w:ascii="Arial" w:cs="Arial" w:eastAsia="Arial" w:hAnsi="Arial"/>
          <w:sz w:val="22"/>
          <w:szCs w:val="22"/>
          <w:color w:val="auto"/>
        </w:rPr>
        <w:t>. “</w:t>
      </w:r>
      <w:r>
        <w:rPr>
          <w:rFonts w:ascii="Arial" w:cs="Arial" w:eastAsia="Arial" w:hAnsi="Arial"/>
          <w:sz w:val="22"/>
          <w:szCs w:val="22"/>
          <w:u w:val="single" w:color="auto"/>
          <w:color w:val="auto"/>
        </w:rPr>
        <w:t>Covered Termination</w:t>
      </w:r>
      <w:r>
        <w:rPr>
          <w:rFonts w:ascii="Arial" w:cs="Arial" w:eastAsia="Arial" w:hAnsi="Arial"/>
          <w:sz w:val="22"/>
          <w:szCs w:val="22"/>
          <w:color w:val="auto"/>
        </w:rPr>
        <w:t>” means (a) an Involuntary Termination Without Cause or (b) a Voluntary Resignation for Good Reason, provided that such termination or resignation constitutes a Separation from Service.</w:t>
      </w:r>
    </w:p>
    <w:p>
      <w:pPr>
        <w:spacing w:after="0" w:line="186" w:lineRule="exact"/>
        <w:rPr>
          <w:rFonts w:ascii="Arial" w:cs="Arial" w:eastAsia="Arial" w:hAnsi="Arial"/>
          <w:sz w:val="22"/>
          <w:szCs w:val="22"/>
          <w:color w:val="auto"/>
        </w:rPr>
      </w:pPr>
    </w:p>
    <w:p>
      <w:pPr>
        <w:ind w:firstLine="1296"/>
        <w:spacing w:after="0" w:line="245" w:lineRule="auto"/>
        <w:tabs>
          <w:tab w:leader="none" w:pos="1945"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Good Reason Condition</w:t>
      </w:r>
      <w:r>
        <w:rPr>
          <w:rFonts w:ascii="Arial" w:cs="Arial" w:eastAsia="Arial" w:hAnsi="Arial"/>
          <w:sz w:val="21"/>
          <w:szCs w:val="21"/>
          <w:color w:val="auto"/>
        </w:rPr>
        <w:t>. “</w:t>
      </w:r>
      <w:r>
        <w:rPr>
          <w:rFonts w:ascii="Arial" w:cs="Arial" w:eastAsia="Arial" w:hAnsi="Arial"/>
          <w:sz w:val="21"/>
          <w:szCs w:val="21"/>
          <w:u w:val="single" w:color="auto"/>
          <w:color w:val="auto"/>
        </w:rPr>
        <w:t>Good Reason Condition</w:t>
      </w:r>
      <w:r>
        <w:rPr>
          <w:rFonts w:ascii="Arial" w:cs="Arial" w:eastAsia="Arial" w:hAnsi="Arial"/>
          <w:sz w:val="21"/>
          <w:szCs w:val="21"/>
          <w:color w:val="auto"/>
        </w:rPr>
        <w:t>” means that any of the following are undertaken without Executive’s express written consent: (i) a material diminution in Executive’s authority, duties, or responsibilities which substantially reduces the nature or character of Executive’s position with the Company; (ii</w:t>
      </w:r>
      <w:r>
        <w:rPr>
          <w:rFonts w:ascii="Arial" w:cs="Arial" w:eastAsia="Arial" w:hAnsi="Arial"/>
          <w:sz w:val="21"/>
          <w:szCs w:val="21"/>
          <w:b w:val="1"/>
          <w:bCs w:val="1"/>
          <w:color w:val="auto"/>
        </w:rPr>
        <w:t>)</w:t>
      </w:r>
      <w:r>
        <w:rPr>
          <w:rFonts w:ascii="Arial" w:cs="Arial" w:eastAsia="Arial" w:hAnsi="Arial"/>
          <w:sz w:val="21"/>
          <w:szCs w:val="21"/>
          <w:color w:val="auto"/>
        </w:rPr>
        <w:t xml:space="preserve"> a material reduction by the Company of Executive’s base salary as in effect immediately prior to such reduction; (iii</w:t>
      </w:r>
      <w:r>
        <w:rPr>
          <w:rFonts w:ascii="Arial" w:cs="Arial" w:eastAsia="Arial" w:hAnsi="Arial"/>
          <w:sz w:val="21"/>
          <w:szCs w:val="21"/>
          <w:b w:val="1"/>
          <w:bCs w:val="1"/>
          <w:color w:val="auto"/>
        </w:rPr>
        <w:t>)</w:t>
      </w:r>
      <w:r>
        <w:rPr>
          <w:rFonts w:ascii="Arial" w:cs="Arial" w:eastAsia="Arial" w:hAnsi="Arial"/>
          <w:sz w:val="21"/>
          <w:szCs w:val="21"/>
          <w:color w:val="auto"/>
        </w:rPr>
        <w:t xml:space="preserve">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85" w:lineRule="exact"/>
        <w:rPr>
          <w:rFonts w:ascii="Arial" w:cs="Arial" w:eastAsia="Arial" w:hAnsi="Arial"/>
          <w:sz w:val="21"/>
          <w:szCs w:val="21"/>
          <w:color w:val="auto"/>
        </w:rPr>
      </w:pPr>
    </w:p>
    <w:p>
      <w:pPr>
        <w:ind w:right="220" w:firstLine="1296"/>
        <w:spacing w:after="0" w:line="252" w:lineRule="auto"/>
        <w:tabs>
          <w:tab w:leader="none" w:pos="1981"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Involuntary Termination Without Cause</w:t>
      </w:r>
      <w:r>
        <w:rPr>
          <w:rFonts w:ascii="Arial" w:cs="Arial" w:eastAsia="Arial" w:hAnsi="Arial"/>
          <w:sz w:val="21"/>
          <w:szCs w:val="21"/>
          <w:color w:val="auto"/>
        </w:rPr>
        <w:t>. “</w:t>
      </w:r>
      <w:r>
        <w:rPr>
          <w:rFonts w:ascii="Arial" w:cs="Arial" w:eastAsia="Arial" w:hAnsi="Arial"/>
          <w:sz w:val="21"/>
          <w:szCs w:val="21"/>
          <w:u w:val="single" w:color="auto"/>
          <w:color w:val="auto"/>
        </w:rPr>
        <w:t>Involuntary Termination Without Cause</w:t>
      </w:r>
      <w:r>
        <w:rPr>
          <w:rFonts w:ascii="Arial" w:cs="Arial" w:eastAsia="Arial" w:hAnsi="Arial"/>
          <w:sz w:val="21"/>
          <w:szCs w:val="21"/>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4" w:lineRule="exact"/>
        <w:rPr>
          <w:rFonts w:ascii="Arial" w:cs="Arial" w:eastAsia="Arial" w:hAnsi="Arial"/>
          <w:sz w:val="21"/>
          <w:szCs w:val="21"/>
          <w:color w:val="auto"/>
        </w:rPr>
      </w:pPr>
    </w:p>
    <w:p>
      <w:pPr>
        <w:ind w:right="200" w:firstLine="1296"/>
        <w:spacing w:after="0"/>
        <w:tabs>
          <w:tab w:leader="none" w:pos="198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Executive’s termination of employment or service constitutes a “separation from service” within the meaning of Treasury Regulation Section 1.409A-1(h).</w:t>
      </w:r>
    </w:p>
    <w:p>
      <w:pPr>
        <w:spacing w:after="0" w:line="186" w:lineRule="exact"/>
        <w:rPr>
          <w:rFonts w:ascii="Arial" w:cs="Arial" w:eastAsia="Arial" w:hAnsi="Arial"/>
          <w:sz w:val="22"/>
          <w:szCs w:val="22"/>
          <w:color w:val="auto"/>
        </w:rPr>
      </w:pPr>
    </w:p>
    <w:p>
      <w:pPr>
        <w:ind w:firstLine="1296"/>
        <w:spacing w:after="0" w:line="273" w:lineRule="auto"/>
        <w:tabs>
          <w:tab w:leader="none" w:pos="1987"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Voluntary Resignation for Good Reason</w:t>
      </w:r>
      <w:r>
        <w:rPr>
          <w:rFonts w:ascii="Arial" w:cs="Arial" w:eastAsia="Arial" w:hAnsi="Arial"/>
          <w:sz w:val="19"/>
          <w:szCs w:val="19"/>
          <w:color w:val="auto"/>
        </w:rPr>
        <w:t>. “</w:t>
      </w:r>
      <w:r>
        <w:rPr>
          <w:rFonts w:ascii="Arial" w:cs="Arial" w:eastAsia="Arial" w:hAnsi="Arial"/>
          <w:sz w:val="19"/>
          <w:szCs w:val="19"/>
          <w:u w:val="single" w:color="auto"/>
          <w:color w:val="auto"/>
        </w:rPr>
        <w:t>Voluntary Resignation for Good Reason</w:t>
      </w:r>
      <w:r>
        <w:rPr>
          <w:rFonts w:ascii="Arial" w:cs="Arial" w:eastAsia="Arial" w:hAnsi="Arial"/>
          <w:sz w:val="19"/>
          <w:szCs w:val="19"/>
          <w:color w:val="auto"/>
        </w:rPr>
        <w:t>” means Executive’s resignation as a result of a Good Reason Condition in accordance with this subsection (i).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 in Sections 3 or 4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6" w:name="page77"/>
    <w:bookmarkEnd w:id="76"/>
    <w:p>
      <w:pPr>
        <w:ind w:left="1"/>
        <w:spacing w:after="0"/>
        <w:rPr>
          <w:sz w:val="20"/>
          <w:szCs w:val="20"/>
          <w:color w:val="auto"/>
        </w:rPr>
      </w:pPr>
      <w:r>
        <w:rPr>
          <w:rFonts w:ascii="Arial" w:cs="Arial" w:eastAsia="Arial" w:hAnsi="Arial"/>
          <w:sz w:val="22"/>
          <w:szCs w:val="22"/>
          <w:color w:val="auto"/>
        </w:rPr>
        <w:t>resignation must occur within sixty (60) days after the initial existence of such Good Reason Condition.</w:t>
      </w:r>
    </w:p>
    <w:p>
      <w:pPr>
        <w:spacing w:after="0" w:line="207" w:lineRule="exact"/>
        <w:rPr>
          <w:sz w:val="20"/>
          <w:szCs w:val="20"/>
          <w:color w:val="auto"/>
        </w:rPr>
      </w:pPr>
    </w:p>
    <w:p>
      <w:pPr>
        <w:ind w:left="1301" w:hanging="652"/>
        <w:spacing w:after="0"/>
        <w:tabs>
          <w:tab w:leader="none" w:pos="1301"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 w:right="160" w:firstLine="1296"/>
        <w:spacing w:after="0" w:line="246" w:lineRule="auto"/>
        <w:tabs>
          <w:tab w:leader="none" w:pos="1969" w:val="left"/>
        </w:tabs>
        <w:numPr>
          <w:ilvl w:val="2"/>
          <w:numId w:val="70"/>
        </w:numPr>
        <w:rPr>
          <w:rFonts w:ascii="Arial" w:cs="Arial" w:eastAsia="Arial" w:hAnsi="Arial"/>
          <w:sz w:val="21"/>
          <w:szCs w:val="21"/>
          <w:color w:val="auto"/>
        </w:rPr>
      </w:pPr>
      <w:r>
        <w:rPr>
          <w:rFonts w:ascii="Arial" w:cs="Arial" w:eastAsia="Arial" w:hAnsi="Arial"/>
          <w:sz w:val="21"/>
          <w:szCs w:val="21"/>
          <w:u w:val="single" w:color="auto"/>
          <w:color w:val="auto"/>
        </w:rPr>
        <w:t>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8 (a) or which becomes bound by the terms of this Agreement by operation of law.</w:t>
      </w:r>
    </w:p>
    <w:p>
      <w:pPr>
        <w:spacing w:after="0" w:line="180" w:lineRule="exact"/>
        <w:rPr>
          <w:rFonts w:ascii="Arial" w:cs="Arial" w:eastAsia="Arial" w:hAnsi="Arial"/>
          <w:sz w:val="21"/>
          <w:szCs w:val="21"/>
          <w:color w:val="auto"/>
        </w:rPr>
      </w:pPr>
    </w:p>
    <w:p>
      <w:pPr>
        <w:ind w:left="1" w:right="180" w:firstLine="1296"/>
        <w:spacing w:after="0"/>
        <w:tabs>
          <w:tab w:leader="none" w:pos="1982" w:val="left"/>
        </w:tabs>
        <w:numPr>
          <w:ilvl w:val="2"/>
          <w:numId w:val="70"/>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86" w:lineRule="exact"/>
        <w:rPr>
          <w:rFonts w:ascii="Arial" w:cs="Arial" w:eastAsia="Arial" w:hAnsi="Arial"/>
          <w:sz w:val="22"/>
          <w:szCs w:val="22"/>
          <w:color w:val="auto"/>
        </w:rPr>
      </w:pPr>
    </w:p>
    <w:p>
      <w:pPr>
        <w:ind w:left="1" w:right="180" w:firstLine="648"/>
        <w:spacing w:after="0" w:line="248" w:lineRule="auto"/>
        <w:tabs>
          <w:tab w:leader="none" w:pos="1297"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Executive Vice Presidet, General Counsel.</w:t>
      </w:r>
    </w:p>
    <w:p>
      <w:pPr>
        <w:spacing w:after="0" w:line="177" w:lineRule="exact"/>
        <w:rPr>
          <w:rFonts w:ascii="Arial" w:cs="Arial" w:eastAsia="Arial" w:hAnsi="Arial"/>
          <w:sz w:val="21"/>
          <w:szCs w:val="21"/>
          <w:color w:val="auto"/>
        </w:rPr>
      </w:pPr>
    </w:p>
    <w:p>
      <w:pPr>
        <w:ind w:left="1301" w:hanging="652"/>
        <w:spacing w:after="0"/>
        <w:tabs>
          <w:tab w:leader="none" w:pos="1301"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Confidentiality; Non-Solicitation.</w:t>
      </w:r>
    </w:p>
    <w:p>
      <w:pPr>
        <w:spacing w:after="0" w:line="206" w:lineRule="exact"/>
        <w:rPr>
          <w:rFonts w:ascii="Arial" w:cs="Arial" w:eastAsia="Arial" w:hAnsi="Arial"/>
          <w:sz w:val="22"/>
          <w:szCs w:val="22"/>
          <w:color w:val="auto"/>
        </w:rPr>
      </w:pPr>
    </w:p>
    <w:p>
      <w:pPr>
        <w:ind w:left="1" w:firstLine="1296"/>
        <w:spacing w:after="0" w:line="269" w:lineRule="auto"/>
        <w:tabs>
          <w:tab w:leader="none" w:pos="1969" w:val="left"/>
        </w:tabs>
        <w:numPr>
          <w:ilvl w:val="2"/>
          <w:numId w:val="7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Executive shall not be obligated to treat as confidential, or return to the Company copies of any Confidential Information that (i) was publicly known at the time of disclosure to Executive,</w:t>
      </w:r>
    </w:p>
    <w:p>
      <w:pPr>
        <w:spacing w:after="0" w:line="3" w:lineRule="exact"/>
        <w:rPr>
          <w:rFonts w:ascii="Arial" w:cs="Arial" w:eastAsia="Arial" w:hAnsi="Arial"/>
          <w:sz w:val="19"/>
          <w:szCs w:val="19"/>
          <w:color w:val="auto"/>
        </w:rPr>
      </w:pPr>
    </w:p>
    <w:p>
      <w:pPr>
        <w:ind w:left="1" w:right="200" w:hanging="1"/>
        <w:spacing w:after="0" w:line="273" w:lineRule="auto"/>
        <w:tabs>
          <w:tab w:leader="none" w:pos="319" w:val="left"/>
        </w:tabs>
        <w:numPr>
          <w:ilvl w:val="0"/>
          <w:numId w:val="71"/>
        </w:numPr>
        <w:rPr>
          <w:rFonts w:ascii="Arial" w:cs="Arial" w:eastAsia="Arial" w:hAnsi="Arial"/>
          <w:sz w:val="19"/>
          <w:szCs w:val="19"/>
          <w:color w:val="auto"/>
        </w:rPr>
      </w:pPr>
      <w:r>
        <w:rPr>
          <w:rFonts w:ascii="Arial" w:cs="Arial" w:eastAsia="Arial" w:hAnsi="Arial"/>
          <w:sz w:val="19"/>
          <w:szCs w:val="19"/>
          <w:color w:val="auto"/>
        </w:rPr>
        <w:t>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information disclosed to Executive or known by Executive as a consequence of or through his or 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77" w:name="page78"/>
    <w:bookmarkEnd w:id="77"/>
    <w:p>
      <w:pPr>
        <w:ind w:right="720"/>
        <w:spacing w:after="0" w:line="251" w:lineRule="auto"/>
        <w:rPr>
          <w:sz w:val="20"/>
          <w:szCs w:val="20"/>
          <w:color w:val="auto"/>
        </w:rPr>
      </w:pPr>
      <w:r>
        <w:rPr>
          <w:rFonts w:ascii="Arial" w:cs="Arial" w:eastAsia="Arial" w:hAnsi="Arial"/>
          <w:sz w:val="22"/>
          <w:szCs w:val="22"/>
          <w:color w:val="auto"/>
        </w:rPr>
        <w:t>and Inventions Assignment Agreement entered into between Executive and the Company (the “</w:t>
      </w:r>
      <w:r>
        <w:rPr>
          <w:rFonts w:ascii="Arial" w:cs="Arial" w:eastAsia="Arial" w:hAnsi="Arial"/>
          <w:sz w:val="22"/>
          <w:szCs w:val="22"/>
          <w:u w:val="single" w:color="auto"/>
          <w:color w:val="auto"/>
        </w:rPr>
        <w:t>Confidential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Information Agreement</w:t>
      </w:r>
      <w:r>
        <w:rPr>
          <w:rFonts w:ascii="Arial" w:cs="Arial" w:eastAsia="Arial" w:hAnsi="Arial"/>
          <w:sz w:val="22"/>
          <w:szCs w:val="22"/>
          <w:color w:val="auto"/>
        </w:rPr>
        <w:t>”).</w:t>
      </w:r>
    </w:p>
    <w:p>
      <w:pPr>
        <w:spacing w:after="0" w:line="174" w:lineRule="exact"/>
        <w:rPr>
          <w:sz w:val="20"/>
          <w:szCs w:val="20"/>
          <w:color w:val="auto"/>
        </w:rPr>
      </w:pPr>
    </w:p>
    <w:p>
      <w:pPr>
        <w:ind w:firstLine="1296"/>
        <w:spacing w:after="0" w:line="274" w:lineRule="auto"/>
        <w:tabs>
          <w:tab w:leader="none" w:pos="1981"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xml:space="preserve">. In addition to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a general advertisement to which an employee of the Company responds shall in no event be deemed to result in a breach of this Section 10 (b). Executive also agrees not to harass or disparage the Company or its employees, clients, directors or agents or divert or attempt to divert any actual or potential business of the Company.</w:t>
      </w:r>
    </w:p>
    <w:p>
      <w:pPr>
        <w:spacing w:after="0" w:line="158" w:lineRule="exact"/>
        <w:rPr>
          <w:rFonts w:ascii="Arial" w:cs="Arial" w:eastAsia="Arial" w:hAnsi="Arial"/>
          <w:sz w:val="19"/>
          <w:szCs w:val="19"/>
          <w:color w:val="auto"/>
        </w:rPr>
      </w:pPr>
    </w:p>
    <w:p>
      <w:pPr>
        <w:ind w:firstLine="1296"/>
        <w:spacing w:after="0" w:line="235" w:lineRule="auto"/>
        <w:tabs>
          <w:tab w:leader="none" w:pos="1968"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Survival of Provisions</w:t>
      </w:r>
      <w:r>
        <w:rPr>
          <w:rFonts w:ascii="Arial" w:cs="Arial" w:eastAsia="Arial" w:hAnsi="Arial"/>
          <w:sz w:val="22"/>
          <w:szCs w:val="22"/>
          <w:color w:val="auto"/>
        </w:rPr>
        <w:t>. The provisions of this Section 10 shall survive the termination or expiration of the applicable Executive’s employment with the Company and shall be fully enforceable thereafter. If it is determined by a court of competent jurisdiction in any state that any restriction in this Section 10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8" w:lineRule="exact"/>
        <w:rPr>
          <w:rFonts w:ascii="Arial" w:cs="Arial" w:eastAsia="Arial" w:hAnsi="Arial"/>
          <w:sz w:val="22"/>
          <w:szCs w:val="22"/>
          <w:color w:val="auto"/>
        </w:rPr>
      </w:pPr>
    </w:p>
    <w:p>
      <w:pPr>
        <w:ind w:right="40" w:firstLine="648"/>
        <w:spacing w:after="0" w:line="270" w:lineRule="auto"/>
        <w:tabs>
          <w:tab w:leader="none" w:pos="1289"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Alameda County, California, conducted by Judicial Arbitration and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xml:space="preserve">”) under the applicable JAMS employment rules. </w:t>
      </w:r>
      <w:r>
        <w:rPr>
          <w:rFonts w:ascii="Arial" w:cs="Arial" w:eastAsia="Arial" w:hAnsi="Arial"/>
          <w:sz w:val="19"/>
          <w:szCs w:val="19"/>
          <w:b w:val="1"/>
          <w:bCs w:val="1"/>
          <w:color w:val="auto"/>
        </w:rPr>
        <w:t>By agreeing to this arbitration procedure, both Executive and the Company waive the</w:t>
      </w:r>
      <w:r>
        <w:rPr>
          <w:rFonts w:ascii="Arial" w:cs="Arial" w:eastAsia="Arial" w:hAnsi="Arial"/>
          <w:sz w:val="19"/>
          <w:szCs w:val="19"/>
          <w:color w:val="auto"/>
        </w:rPr>
        <w:t xml:space="preserve"> </w:t>
      </w:r>
      <w:r>
        <w:rPr>
          <w:rFonts w:ascii="Arial" w:cs="Arial" w:eastAsia="Arial" w:hAnsi="Arial"/>
          <w:sz w:val="19"/>
          <w:szCs w:val="19"/>
          <w:b w:val="1"/>
          <w:bCs w:val="1"/>
          <w:color w:val="auto"/>
        </w:rPr>
        <w:t>right to resolve any such dispute through a trial by jury or judge or administrative proceeding</w:t>
      </w:r>
      <w:r>
        <w:rPr>
          <w:rFonts w:ascii="Arial" w:cs="Arial" w:eastAsia="Arial" w:hAnsi="Arial"/>
          <w:sz w:val="19"/>
          <w:szCs w:val="19"/>
          <w:color w:val="auto"/>
        </w:rPr>
        <w:t>. The arbitrator</w:t>
      </w:r>
      <w:r>
        <w:rPr>
          <w:rFonts w:ascii="Arial" w:cs="Arial" w:eastAsia="Arial" w:hAnsi="Arial"/>
          <w:sz w:val="19"/>
          <w:szCs w:val="19"/>
          <w:b w:val="1"/>
          <w:bCs w:val="1"/>
          <w:color w:val="auto"/>
        </w:rPr>
        <w:t xml:space="preserve"> </w:t>
      </w:r>
      <w:r>
        <w:rPr>
          <w:rFonts w:ascii="Arial" w:cs="Arial" w:eastAsia="Arial" w:hAnsi="Arial"/>
          <w:sz w:val="19"/>
          <w:szCs w:val="19"/>
          <w:color w:val="auto"/>
        </w:rPr>
        <w:t>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w:t>
      </w:r>
    </w:p>
    <w:p>
      <w:pPr>
        <w:spacing w:after="0" w:line="223" w:lineRule="exact"/>
        <w:rPr>
          <w:rFonts w:ascii="Arial" w:cs="Arial" w:eastAsia="Arial" w:hAnsi="Arial"/>
          <w:sz w:val="19"/>
          <w:szCs w:val="19"/>
          <w:color w:val="auto"/>
        </w:rPr>
      </w:pPr>
    </w:p>
    <w:p>
      <w:pPr>
        <w:ind w:right="120"/>
        <w:spacing w:after="0" w:line="237" w:lineRule="auto"/>
        <w:rPr>
          <w:rFonts w:ascii="Arial" w:cs="Arial" w:eastAsia="Arial" w:hAnsi="Arial"/>
          <w:sz w:val="19"/>
          <w:szCs w:val="19"/>
          <w:color w:val="auto"/>
        </w:rPr>
      </w:pPr>
      <w:r>
        <w:rPr>
          <w:rFonts w:ascii="Arial" w:cs="Arial" w:eastAsia="Arial" w:hAnsi="Arial"/>
          <w:sz w:val="22"/>
          <w:szCs w:val="22"/>
          <w:color w:val="auto"/>
        </w:rPr>
        <w:t>arbitration. Notwithstanding the foregoing, Executive and the Company each have the right to resolve any issue or dispute over intellectual property rights by Court action instead of arbitration.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8" w:name="page79"/>
    <w:bookmarkEnd w:id="78"/>
    <w:p>
      <w:pPr>
        <w:ind w:left="1280" w:hanging="652"/>
        <w:spacing w:after="0"/>
        <w:tabs>
          <w:tab w:leader="none" w:pos="128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0" w:hanging="664"/>
        <w:spacing w:after="0"/>
        <w:tabs>
          <w:tab w:leader="none" w:pos="1940"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right="140" w:firstLine="1944"/>
        <w:spacing w:after="0" w:line="245" w:lineRule="auto"/>
        <w:tabs>
          <w:tab w:leader="none" w:pos="2615" w:val="left"/>
        </w:tabs>
        <w:numPr>
          <w:ilvl w:val="2"/>
          <w:numId w:val="74"/>
        </w:numPr>
        <w:rPr>
          <w:rFonts w:ascii="Arial" w:cs="Arial" w:eastAsia="Arial" w:hAnsi="Arial"/>
          <w:sz w:val="21"/>
          <w:szCs w:val="21"/>
          <w:color w:val="auto"/>
        </w:rPr>
      </w:pPr>
      <w:r>
        <w:rPr>
          <w:rFonts w:ascii="Arial" w:cs="Arial" w:eastAsia="Arial" w:hAnsi="Arial"/>
          <w:sz w:val="21"/>
          <w:szCs w:val="21"/>
          <w:u w:val="single" w:color="auto"/>
          <w:color w:val="auto"/>
        </w:rPr>
        <w:t>Separation from Service</w:t>
      </w:r>
      <w:r>
        <w:rPr>
          <w:rFonts w:ascii="Arial" w:cs="Arial" w:eastAsia="Arial" w:hAnsi="Arial"/>
          <w:sz w:val="21"/>
          <w:szCs w:val="21"/>
          <w:color w:val="auto"/>
        </w:rPr>
        <w:t>. Notwithstanding any provision to the contrary in this Agreement, no amount deemed deferred compensation subject to Section 409A of the Code shall be payable pursuant to Section 3 unless Executive’s termination of employment constitutes a Separation from Service and, except as provided under Section 13 (a)(ii) of this Agreement, any such amount shall not be paid, or in the case of installments, commence payment, until the sixtieth (60</w:t>
      </w:r>
      <w:r>
        <w:rPr>
          <w:rFonts w:ascii="Arial" w:cs="Arial" w:eastAsia="Arial" w:hAnsi="Arial"/>
          <w:sz w:val="10"/>
          <w:szCs w:val="10"/>
          <w:color w:val="auto"/>
        </w:rPr>
        <w:t>th</w:t>
      </w:r>
      <w:r>
        <w:rPr>
          <w:rFonts w:ascii="Arial" w:cs="Arial" w:eastAsia="Arial" w:hAnsi="Arial"/>
          <w:sz w:val="21"/>
          <w:szCs w:val="21"/>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Arial" w:cs="Arial" w:eastAsia="Arial" w:hAnsi="Arial"/>
          <w:sz w:val="10"/>
          <w:szCs w:val="10"/>
          <w:color w:val="auto"/>
        </w:rPr>
        <w:t>th</w:t>
      </w:r>
      <w:r>
        <w:rPr>
          <w:rFonts w:ascii="Arial" w:cs="Arial" w:eastAsia="Arial" w:hAnsi="Arial"/>
          <w:sz w:val="21"/>
          <w:szCs w:val="21"/>
          <w:color w:val="auto"/>
        </w:rPr>
        <w:t>) day following Executive’s Separation from Service and the remaining payments shall be made as provided in this Agreement.</w:t>
      </w:r>
    </w:p>
    <w:p>
      <w:pPr>
        <w:spacing w:after="0" w:line="185" w:lineRule="exact"/>
        <w:rPr>
          <w:rFonts w:ascii="Arial" w:cs="Arial" w:eastAsia="Arial" w:hAnsi="Arial"/>
          <w:sz w:val="21"/>
          <w:szCs w:val="21"/>
          <w:color w:val="auto"/>
        </w:rPr>
      </w:pPr>
    </w:p>
    <w:p>
      <w:pPr>
        <w:ind w:left="-20" w:right="40" w:firstLine="1944"/>
        <w:spacing w:after="0" w:line="245" w:lineRule="auto"/>
        <w:tabs>
          <w:tab w:leader="none" w:pos="2567" w:val="left"/>
        </w:tabs>
        <w:numPr>
          <w:ilvl w:val="2"/>
          <w:numId w:val="74"/>
        </w:numPr>
        <w:rPr>
          <w:rFonts w:ascii="Arial" w:cs="Arial" w:eastAsia="Arial" w:hAnsi="Arial"/>
          <w:sz w:val="21"/>
          <w:szCs w:val="21"/>
          <w:color w:val="auto"/>
        </w:rPr>
      </w:pP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12 (a)(ii) shall be paid in a lump sum to Executive, and any remaining payments due under this Agreement shall be paid as otherwise provided herein.</w:t>
      </w:r>
    </w:p>
    <w:p>
      <w:pPr>
        <w:spacing w:after="0" w:line="181" w:lineRule="exact"/>
        <w:rPr>
          <w:rFonts w:ascii="Arial" w:cs="Arial" w:eastAsia="Arial" w:hAnsi="Arial"/>
          <w:sz w:val="21"/>
          <w:szCs w:val="21"/>
          <w:color w:val="auto"/>
        </w:rPr>
      </w:pPr>
    </w:p>
    <w:p>
      <w:pPr>
        <w:ind w:left="-20" w:firstLine="1944"/>
        <w:spacing w:after="0" w:line="279" w:lineRule="auto"/>
        <w:tabs>
          <w:tab w:leader="none" w:pos="2573" w:val="left"/>
        </w:tabs>
        <w:numPr>
          <w:ilvl w:val="2"/>
          <w:numId w:val="74"/>
        </w:numPr>
        <w:rPr>
          <w:rFonts w:ascii="Arial" w:cs="Arial" w:eastAsia="Arial" w:hAnsi="Arial"/>
          <w:sz w:val="19"/>
          <w:szCs w:val="19"/>
          <w:color w:val="auto"/>
        </w:rPr>
      </w:pPr>
      <w:r>
        <w:rPr>
          <w:rFonts w:ascii="Arial" w:cs="Arial" w:eastAsia="Arial" w:hAnsi="Arial"/>
          <w:sz w:val="19"/>
          <w:szCs w:val="19"/>
          <w:u w:val="single" w:color="auto"/>
          <w:color w:val="auto"/>
        </w:rPr>
        <w:t>Expense Reimbursements</w:t>
      </w:r>
      <w:r>
        <w:rPr>
          <w:rFonts w:ascii="Arial" w:cs="Arial" w:eastAsia="Arial" w:hAnsi="Arial"/>
          <w:sz w:val="19"/>
          <w:szCs w:val="19"/>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50" w:lineRule="exact"/>
        <w:rPr>
          <w:rFonts w:ascii="Arial" w:cs="Arial" w:eastAsia="Arial" w:hAnsi="Arial"/>
          <w:sz w:val="19"/>
          <w:szCs w:val="19"/>
          <w:color w:val="auto"/>
        </w:rPr>
      </w:pPr>
    </w:p>
    <w:p>
      <w:pPr>
        <w:ind w:left="-20" w:right="160" w:firstLine="1944"/>
        <w:spacing w:after="0" w:line="287" w:lineRule="auto"/>
        <w:tabs>
          <w:tab w:leader="none" w:pos="2615" w:val="left"/>
        </w:tabs>
        <w:numPr>
          <w:ilvl w:val="2"/>
          <w:numId w:val="74"/>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43" w:lineRule="exact"/>
        <w:rPr>
          <w:rFonts w:ascii="Arial" w:cs="Arial" w:eastAsia="Arial" w:hAnsi="Arial"/>
          <w:sz w:val="19"/>
          <w:szCs w:val="19"/>
          <w:color w:val="auto"/>
        </w:rPr>
      </w:pPr>
    </w:p>
    <w:p>
      <w:pPr>
        <w:ind w:left="-20" w:right="120" w:firstLine="1296"/>
        <w:spacing w:after="0" w:line="238" w:lineRule="auto"/>
        <w:tabs>
          <w:tab w:leader="none" w:pos="1961"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40" w:top="118" w:right="939" w:bottom="1440" w:gutter="0" w:footer="0" w:header="0"/>
        </w:sectPr>
      </w:pPr>
    </w:p>
    <w:bookmarkStart w:id="79" w:name="page80"/>
    <w:bookmarkEnd w:id="79"/>
    <w:p>
      <w:pPr>
        <w:ind w:right="560"/>
        <w:spacing w:after="0" w:line="251" w:lineRule="auto"/>
        <w:rPr>
          <w:sz w:val="20"/>
          <w:szCs w:val="20"/>
          <w:color w:val="auto"/>
        </w:rPr>
      </w:pPr>
      <w:r>
        <w:rPr>
          <w:rFonts w:ascii="Arial" w:cs="Arial" w:eastAsia="Arial" w:hAnsi="Arial"/>
          <w:sz w:val="22"/>
          <w:szCs w:val="22"/>
          <w:color w:val="auto"/>
        </w:rPr>
        <w:t>party shall be considered a waiver of any other condition or provision or of the same condition or provision at another time.</w:t>
      </w:r>
    </w:p>
    <w:p>
      <w:pPr>
        <w:spacing w:after="0" w:line="174" w:lineRule="exact"/>
        <w:rPr>
          <w:sz w:val="20"/>
          <w:szCs w:val="20"/>
          <w:color w:val="auto"/>
        </w:rPr>
      </w:pPr>
    </w:p>
    <w:p>
      <w:pPr>
        <w:ind w:right="160" w:firstLine="1296"/>
        <w:spacing w:after="0"/>
        <w:tabs>
          <w:tab w:leader="none" w:pos="196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Whole Agreement</w:t>
      </w:r>
      <w:r>
        <w:rPr>
          <w:rFonts w:ascii="Arial" w:cs="Arial" w:eastAsia="Arial" w:hAnsi="Arial"/>
          <w:sz w:val="22"/>
          <w:szCs w:val="22"/>
          <w:color w:val="auto"/>
        </w:rPr>
        <w:t>. This Agreement and the Confidential Information Agreement represent the entire understanding of the parties hereto with respect to the subject matter hereof and supersede all prior arrangements and understandings regarding same.</w:t>
      </w:r>
    </w:p>
    <w:p>
      <w:pPr>
        <w:spacing w:after="0" w:line="186" w:lineRule="exact"/>
        <w:rPr>
          <w:rFonts w:ascii="Arial" w:cs="Arial" w:eastAsia="Arial" w:hAnsi="Arial"/>
          <w:sz w:val="22"/>
          <w:szCs w:val="22"/>
          <w:color w:val="auto"/>
        </w:rPr>
      </w:pPr>
    </w:p>
    <w:p>
      <w:pPr>
        <w:ind w:firstLine="1296"/>
        <w:spacing w:after="0" w:line="251" w:lineRule="auto"/>
        <w:tabs>
          <w:tab w:leader="none" w:pos="198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shall be governed by the laws of the State of California.</w:t>
      </w:r>
    </w:p>
    <w:p>
      <w:pPr>
        <w:spacing w:after="0" w:line="173" w:lineRule="exact"/>
        <w:rPr>
          <w:rFonts w:ascii="Arial" w:cs="Arial" w:eastAsia="Arial" w:hAnsi="Arial"/>
          <w:sz w:val="22"/>
          <w:szCs w:val="22"/>
          <w:color w:val="auto"/>
        </w:rPr>
      </w:pPr>
    </w:p>
    <w:p>
      <w:pPr>
        <w:ind w:right="320" w:firstLine="1296"/>
        <w:spacing w:after="0"/>
        <w:tabs>
          <w:tab w:leader="none" w:pos="196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86" w:lineRule="exact"/>
        <w:rPr>
          <w:rFonts w:ascii="Arial" w:cs="Arial" w:eastAsia="Arial" w:hAnsi="Arial"/>
          <w:sz w:val="22"/>
          <w:szCs w:val="22"/>
          <w:color w:val="auto"/>
        </w:rPr>
      </w:pPr>
    </w:p>
    <w:p>
      <w:pPr>
        <w:ind w:right="540" w:firstLine="1296"/>
        <w:spacing w:after="0" w:line="274" w:lineRule="auto"/>
        <w:tabs>
          <w:tab w:leader="none" w:pos="1945"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all of which together will constitute one and the same instrument.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80" w:name="page81"/>
    <w:bookmarkEnd w:id="80"/>
    <w:p>
      <w:pPr>
        <w:ind w:firstLine="648"/>
        <w:spacing w:after="0" w:line="251"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8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ARDELYX, INC.</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Mike Raab</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 CEO</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Date: May 7, 2018</w:t>
      </w:r>
    </w:p>
    <w:p>
      <w:pPr>
        <w:spacing w:after="0" w:line="200" w:lineRule="exact"/>
        <w:rPr>
          <w:sz w:val="20"/>
          <w:szCs w:val="20"/>
          <w:color w:val="auto"/>
        </w:rPr>
      </w:pPr>
    </w:p>
    <w:p>
      <w:pPr>
        <w:spacing w:after="0" w:line="27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 David P. Rosenbaum</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David P. Rosenbaum, Ph.D</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Date: May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20"/>
          </w:cols>
          <w:pgMar w:left="920" w:top="118" w:right="10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7"/>
          <w:szCs w:val="17"/>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-635</wp:posOffset>
            </wp:positionV>
            <wp:extent cx="2735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476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76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Mark Kaufmann,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6"/>
          <w:szCs w:val="16"/>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jc w:val="center"/>
        <w:ind w:left="490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0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2200" w:right="2180"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ind w:right="60" w:firstLine="324"/>
        <w:spacing w:after="0" w:line="187" w:lineRule="exact"/>
        <w:rPr>
          <w:sz w:val="20"/>
          <w:szCs w:val="20"/>
          <w:color w:val="auto"/>
        </w:rPr>
      </w:pPr>
      <w:r>
        <w:rPr>
          <w:rFonts w:ascii="Arial" w:cs="Arial" w:eastAsia="Arial" w:hAnsi="Arial"/>
          <w:sz w:val="18"/>
          <w:szCs w:val="18"/>
          <w:color w:val="auto"/>
        </w:rPr>
        <w:t>In connection with the Quarterly Report of Ardelyx,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ending March 31, 2018,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62" w:lineRule="exact"/>
        <w:rPr>
          <w:sz w:val="20"/>
          <w:szCs w:val="20"/>
          <w:color w:val="auto"/>
        </w:rPr>
      </w:pPr>
    </w:p>
    <w:p>
      <w:pPr>
        <w:ind w:left="760" w:right="60" w:hanging="433"/>
        <w:spacing w:after="0" w:line="235"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760" w:right="160" w:hanging="433"/>
        <w:spacing w:after="0" w:line="235"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90"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6"/>
          <w:szCs w:val="16"/>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94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940"/>
        <w:spacing w:after="0"/>
        <w:rPr>
          <w:sz w:val="20"/>
          <w:szCs w:val="20"/>
          <w:color w:val="auto"/>
        </w:rPr>
      </w:pPr>
      <w:r>
        <w:rPr>
          <w:rFonts w:ascii="Arial" w:cs="Arial" w:eastAsia="Arial" w:hAnsi="Arial"/>
          <w:sz w:val="18"/>
          <w:szCs w:val="18"/>
          <w:b w:val="1"/>
          <w:bCs w:val="1"/>
          <w:color w:val="auto"/>
        </w:rPr>
        <w:t>(Principal Executive Officer)</w:t>
      </w:r>
    </w:p>
    <w:p>
      <w:pPr>
        <w:spacing w:after="0" w:line="302"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7"/>
          <w:szCs w:val="17"/>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4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lowerRoman"/>
      <w:start w:val="2"/>
    </w:lvl>
  </w:abstractNum>
  <w:abstractNum w:abstractNumId="5">
    <w:nsid w:val="70A64E2A"/>
    <w:multiLevelType w:val="hybridMultilevel"/>
    <w:lvl w:ilvl="0">
      <w:lvlJc w:val="left"/>
      <w:lvlText w:val="(%1)"/>
      <w:numFmt w:val="lowerRoman"/>
      <w:start w:val="4"/>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lowerRoman"/>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lvl w:ilvl="1">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lvl w:ilvl="1">
      <w:lvlJc w:val="left"/>
      <w:lvlText w:val="(%2)"/>
      <w:numFmt w:val="lowerRoman"/>
      <w:start w:val="1"/>
    </w:lvl>
  </w:abstractNum>
  <w:abstractNum w:abstractNumId="41">
    <w:nsid w:val="741226BB"/>
    <w:multiLevelType w:val="hybridMultilevel"/>
    <w:lvl w:ilvl="0">
      <w:lvlJc w:val="left"/>
      <w:lvlText w:val="%1."/>
      <w:numFmt w:val="upperLetter"/>
      <w:start w:val="1"/>
    </w:lvl>
  </w:abstractNum>
  <w:abstractNum w:abstractNumId="42">
    <w:nsid w:val="D34B6A8"/>
    <w:multiLevelType w:val="hybridMultilevel"/>
    <w:lvl w:ilvl="0">
      <w:lvlJc w:val="left"/>
      <w:lvlText w:val="%1.."/>
      <w:numFmt w:val="upperLetter"/>
      <w:start w:val="5"/>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2"/>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decimal"/>
      <w:start w:val="4"/>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decimal"/>
      <w:start w:val="5"/>
    </w:lvl>
  </w:abstractNum>
  <w:abstractNum w:abstractNumId="49">
    <w:nsid w:val="310C50B3"/>
    <w:multiLevelType w:val="hybridMultilevel"/>
    <w:lvl w:ilvl="0">
      <w:lvlJc w:val="left"/>
      <w:lvlText w:val="%1."/>
      <w:numFmt w:val="decimal"/>
      <w:start w:val="7"/>
    </w:lvl>
    <w:lvl w:ilvl="1">
      <w:lvlJc w:val="left"/>
      <w:lvlText w:val="(%2)"/>
      <w:numFmt w:val="lowerLetter"/>
      <w:start w:val="1"/>
    </w:lvl>
  </w:abstractNum>
  <w:abstractNum w:abstractNumId="50">
    <w:nsid w:val="5FF87E05"/>
    <w:multiLevelType w:val="hybridMultilevel"/>
    <w:lvl w:ilvl="0">
      <w:lvlJc w:val="left"/>
      <w:lvlText w:val="(%1)"/>
      <w:numFmt w:val="lowerLetter"/>
      <w:start w:val="4"/>
    </w:lvl>
  </w:abstractNum>
  <w:abstractNum w:abstractNumId="51">
    <w:nsid w:val="2F305DEF"/>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2">
    <w:nsid w:val="25A70BF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53">
    <w:nsid w:val="1DBABF0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4">
    <w:nsid w:val="4AD084E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55">
    <w:nsid w:val="1F48EAA1"/>
    <w:multiLevelType w:val="hybridMultilevel"/>
    <w:lvl w:ilvl="0">
      <w:lvlJc w:val="left"/>
      <w:lvlText w:val="%1"/>
      <w:numFmt w:val="lowerLetter"/>
      <w:start w:val="1"/>
    </w:lvl>
    <w:lvl w:ilvl="1">
      <w:lvlJc w:val="left"/>
      <w:lvlText w:val="(%2)"/>
      <w:numFmt w:val="lowerRoman"/>
      <w:start w:val="2"/>
    </w:lvl>
  </w:abstractNum>
  <w:abstractNum w:abstractNumId="56">
    <w:nsid w:val="1381823A"/>
    <w:multiLevelType w:val="hybridMultilevel"/>
    <w:lvl w:ilvl="0">
      <w:lvlJc w:val="left"/>
      <w:lvlText w:val="(%1)"/>
      <w:numFmt w:val="lowerLetter"/>
      <w:start w:val="2"/>
    </w:lvl>
    <w:lvl w:ilvl="1">
      <w:lvlJc w:val="left"/>
      <w:lvlText w:val="%2"/>
      <w:numFmt w:val="lowerRoman"/>
      <w:start w:val="1"/>
    </w:lvl>
  </w:abstractNum>
  <w:abstractNum w:abstractNumId="57">
    <w:nsid w:val="5DB70AE5"/>
    <w:multiLevelType w:val="hybridMultilevel"/>
    <w:lvl w:ilvl="0">
      <w:lvlJc w:val="left"/>
      <w:lvlText w:val="(%1)"/>
      <w:numFmt w:val="lowerLetter"/>
      <w:start w:val="4"/>
    </w:lvl>
  </w:abstractNum>
  <w:abstractNum w:abstractNumId="58">
    <w:nsid w:val="100F8FCA"/>
    <w:multiLevelType w:val="hybridMultilevel"/>
    <w:lvl w:ilvl="0">
      <w:lvlJc w:val="left"/>
      <w:lvlText w:val="%1."/>
      <w:numFmt w:val="upperLetter"/>
      <w:start w:val="1"/>
    </w:lvl>
  </w:abstractNum>
  <w:abstractNum w:abstractNumId="59">
    <w:nsid w:val="6590700B"/>
    <w:multiLevelType w:val="hybridMultilevel"/>
    <w:lvl w:ilvl="0">
      <w:lvlJc w:val="left"/>
      <w:lvlText w:val="%1.."/>
      <w:numFmt w:val="upperLetter"/>
      <w:start w:val="5"/>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2"/>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decimal"/>
      <w:start w:val="4"/>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decimal"/>
      <w:start w:val="5"/>
    </w:lvl>
  </w:abstractNum>
  <w:abstractNum w:abstractNumId="66">
    <w:nsid w:val="168E121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7">
    <w:nsid w:val="1EBA5D23"/>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68">
    <w:nsid w:val="661E3F1E"/>
    <w:multiLevelType w:val="hybridMultilevel"/>
    <w:lvl w:ilvl="0">
      <w:lvlJc w:val="left"/>
      <w:lvlText w:val="(%1)"/>
      <w:numFmt w:val="lowerLetter"/>
      <w:start w:val="3"/>
    </w:lvl>
  </w:abstractNum>
  <w:abstractNum w:abstractNumId="69">
    <w:nsid w:val="5DC79EA8"/>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70">
    <w:nsid w:val="540A471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71">
    <w:nsid w:val="7BD3EE7B"/>
    <w:multiLevelType w:val="hybridMultilevel"/>
    <w:lvl w:ilvl="0">
      <w:lvlJc w:val="left"/>
      <w:lvlText w:val="%1"/>
      <w:numFmt w:val="decimal"/>
      <w:start w:val="1"/>
    </w:lvl>
    <w:lvl w:ilvl="1">
      <w:lvlJc w:val="left"/>
      <w:lvlText w:val="(%2)"/>
      <w:numFmt w:val="lowerLetter"/>
      <w:start w:val="2"/>
    </w:lvl>
  </w:abstractNum>
  <w:abstractNum w:abstractNumId="72">
    <w:nsid w:val="51D9C564"/>
    <w:multiLevelType w:val="hybridMultilevel"/>
    <w:lvl w:ilvl="0">
      <w:lvlJc w:val="left"/>
      <w:lvlText w:val="%1."/>
      <w:numFmt w:val="decimal"/>
      <w:start w:val="11"/>
    </w:lvl>
    <w:lvl w:ilvl="1">
      <w:lvlJc w:val="left"/>
      <w:lvlText w:val="%2"/>
      <w:numFmt w:val="lowerLetter"/>
      <w:start w:val="1"/>
    </w:lvl>
  </w:abstractNum>
  <w:abstractNum w:abstractNumId="73">
    <w:nsid w:val="613EFDC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4">
    <w:nsid w:val="BF72B14"/>
    <w:multiLevelType w:val="hybridMultilevel"/>
    <w:lvl w:ilvl="0">
      <w:lvlJc w:val="left"/>
      <w:lvlText w:val="(%1)"/>
      <w:numFmt w:val="lowerLetter"/>
      <w:start w:val="3"/>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2019-12-28T22:07:27Z</dcterms:created>
  <dcterms:modified xsi:type="dcterms:W3CDTF">2019-12-28T22:07:27Z</dcterms:modified>
</cp:coreProperties>
</file>