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69"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0001869194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ARDELYX,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001-36485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400 Fifth Avenue, Suite 210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Waltham</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02451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510-745-1700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Williams Laura A</w:t>
      </w:r>
    </w:p>
    <w:p>
      <w:pPr>
        <w:spacing w:after="0" w:line="44" w:lineRule="exact"/>
        <w:rPr>
          <w:sz w:val="24"/>
          <w:szCs w:val="24"/>
          <w:color w:val="auto"/>
        </w:rPr>
      </w:pPr>
    </w:p>
    <w:p>
      <w:pPr>
        <w:sectPr>
          <w:pgSz w:w="11900" w:h="16838" w:orient="portrait"/>
          <w:cols w:equalWidth="0" w:num="2">
            <w:col w:w="7140" w:space="720"/>
            <w:col w:w="3380"/>
          </w:cols>
          <w:pgMar w:left="320" w:top="261" w:right="339" w:bottom="69"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6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Morgan Stanley Smith</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Barney LLC</w:t>
      </w:r>
    </w:p>
    <w:p>
      <w:pPr>
        <w:ind w:left="2500"/>
        <w:spacing w:after="0" w:line="230" w:lineRule="auto"/>
        <w:rPr>
          <w:sz w:val="20"/>
          <w:szCs w:val="20"/>
          <w:color w:val="auto"/>
        </w:rPr>
      </w:pPr>
      <w:r>
        <w:rPr>
          <w:rFonts w:ascii="Times New Roman" w:cs="Times New Roman" w:eastAsia="Times New Roman" w:hAnsi="Times New Roman"/>
          <w:sz w:val="22"/>
          <w:szCs w:val="22"/>
          <w:color w:val="auto"/>
        </w:rPr>
        <w:t>Executive Financial</w:t>
      </w: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Common Stock</w:t>
      </w:r>
      <w:r>
        <w:rPr>
          <w:sz w:val="20"/>
          <w:szCs w:val="20"/>
          <w:color w:val="auto"/>
        </w:rPr>
        <w:tab/>
      </w:r>
      <w:r>
        <w:rPr>
          <w:rFonts w:ascii="Times New Roman" w:cs="Times New Roman" w:eastAsia="Times New Roman" w:hAnsi="Times New Roman"/>
          <w:sz w:val="21"/>
          <w:szCs w:val="21"/>
          <w:color w:val="auto"/>
        </w:rPr>
        <w:t>Services</w:t>
      </w:r>
    </w:p>
    <w:p>
      <w:pPr>
        <w:ind w:left="2500"/>
        <w:spacing w:after="0" w:line="230" w:lineRule="auto"/>
        <w:rPr>
          <w:sz w:val="20"/>
          <w:szCs w:val="20"/>
          <w:color w:val="auto"/>
        </w:rPr>
      </w:pPr>
      <w:r>
        <w:rPr>
          <w:rFonts w:ascii="Times New Roman" w:cs="Times New Roman" w:eastAsia="Times New Roman" w:hAnsi="Times New Roman"/>
          <w:sz w:val="22"/>
          <w:szCs w:val="22"/>
          <w:color w:val="auto"/>
        </w:rPr>
        <w:t>1 New York Plaza, 8th</w:t>
      </w:r>
    </w:p>
    <w:p>
      <w:pPr>
        <w:ind w:left="2500"/>
        <w:spacing w:after="0" w:line="231" w:lineRule="auto"/>
        <w:rPr>
          <w:sz w:val="20"/>
          <w:szCs w:val="20"/>
          <w:color w:val="auto"/>
        </w:rPr>
      </w:pPr>
      <w:r>
        <w:rPr>
          <w:rFonts w:ascii="Times New Roman" w:cs="Times New Roman" w:eastAsia="Times New Roman" w:hAnsi="Times New Roman"/>
          <w:sz w:val="22"/>
          <w:szCs w:val="22"/>
          <w:color w:val="auto"/>
        </w:rPr>
        <w:t>Floor</w:t>
      </w:r>
    </w:p>
    <w:p>
      <w:pPr>
        <w:ind w:left="2500"/>
        <w:spacing w:after="0"/>
        <w:rPr>
          <w:sz w:val="20"/>
          <w:szCs w:val="20"/>
          <w:color w:val="auto"/>
        </w:rPr>
      </w:pPr>
      <w:r>
        <w:rPr>
          <w:rFonts w:ascii="Times New Roman" w:cs="Times New Roman" w:eastAsia="Times New Roman" w:hAnsi="Times New Roman"/>
          <w:sz w:val="22"/>
          <w:szCs w:val="22"/>
          <w:color w:val="auto"/>
        </w:rPr>
        <w:t>New York  NY  10004</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40" w:type="dxa"/>
        <w:tblCellMar>
          <w:top w:w="0" w:type="dxa"/>
          <w:left w:w="0" w:type="dxa"/>
          <w:bottom w:w="0" w:type="dxa"/>
          <w:right w:w="0" w:type="dxa"/>
        </w:tblCellMar>
      </w:tblPr>
      <w:tr>
        <w:trPr>
          <w:trHeight w:val="253"/>
        </w:trPr>
        <w:tc>
          <w:tcPr>
            <w:tcW w:w="1220" w:type="dxa"/>
            <w:vAlign w:val="bottom"/>
          </w:tcPr>
          <w:p>
            <w:pPr>
              <w:jc w:val="center"/>
              <w:ind w:right="32"/>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20" w:type="dxa"/>
            <w:vAlign w:val="bottom"/>
            <w:vMerge w:val="restart"/>
          </w:tcPr>
          <w:p>
            <w:pPr>
              <w:jc w:val="center"/>
              <w:ind w:righ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8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20" w:type="dxa"/>
            <w:vAlign w:val="bottom"/>
            <w:vMerge w:val="continue"/>
          </w:tcPr>
          <w:p>
            <w:pPr>
              <w:spacing w:after="0"/>
              <w:rPr>
                <w:sz w:val="10"/>
                <w:szCs w:val="10"/>
                <w:color w:val="auto"/>
              </w:rPr>
            </w:pPr>
          </w:p>
        </w:tc>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20" w:type="dxa"/>
            <w:vAlign w:val="bottom"/>
            <w:vMerge w:val="restart"/>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8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20" w:type="dxa"/>
            <w:vAlign w:val="bottom"/>
            <w:vMerge w:val="continue"/>
          </w:tcPr>
          <w:p>
            <w:pPr>
              <w:spacing w:after="0"/>
              <w:rPr>
                <w:sz w:val="10"/>
                <w:szCs w:val="10"/>
                <w:color w:val="auto"/>
              </w:rPr>
            </w:pP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20" w:type="dxa"/>
            <w:vAlign w:val="bottom"/>
            <w:vMerge w:val="restart"/>
          </w:tcPr>
          <w:p>
            <w:pPr>
              <w:jc w:val="center"/>
              <w:ind w:right="32"/>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8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20" w:type="dxa"/>
            <w:vAlign w:val="bottom"/>
            <w:vMerge w:val="continue"/>
          </w:tcPr>
          <w:p>
            <w:pPr>
              <w:spacing w:after="0"/>
              <w:rPr>
                <w:sz w:val="10"/>
                <w:szCs w:val="10"/>
                <w:color w:val="auto"/>
              </w:rPr>
            </w:pPr>
          </w:p>
        </w:tc>
        <w:tc>
          <w:tcPr>
            <w:tcW w:w="118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spacing w:after="0"/>
        <w:tabs>
          <w:tab w:leader="none" w:pos="1200" w:val="left"/>
          <w:tab w:leader="none" w:pos="2520" w:val="left"/>
          <w:tab w:leader="none" w:pos="3740" w:val="left"/>
          <w:tab w:leader="none" w:pos="5040" w:val="left"/>
        </w:tabs>
        <w:rPr>
          <w:sz w:val="20"/>
          <w:szCs w:val="20"/>
          <w:color w:val="auto"/>
        </w:rPr>
      </w:pPr>
      <w:r>
        <w:rPr>
          <w:rFonts w:ascii="Times New Roman" w:cs="Times New Roman" w:eastAsia="Times New Roman" w:hAnsi="Times New Roman"/>
          <w:sz w:val="22"/>
          <w:szCs w:val="22"/>
          <w:color w:val="auto"/>
        </w:rPr>
        <w:t>6354</w:t>
      </w:r>
      <w:r>
        <w:rPr>
          <w:sz w:val="20"/>
          <w:szCs w:val="20"/>
          <w:color w:val="auto"/>
        </w:rPr>
        <w:tab/>
      </w:r>
      <w:r>
        <w:rPr>
          <w:rFonts w:ascii="Times New Roman" w:cs="Times New Roman" w:eastAsia="Times New Roman" w:hAnsi="Times New Roman"/>
          <w:sz w:val="22"/>
          <w:szCs w:val="22"/>
          <w:color w:val="auto"/>
        </w:rPr>
        <w:t>37552.14</w:t>
      </w:r>
      <w:r>
        <w:rPr>
          <w:sz w:val="20"/>
          <w:szCs w:val="20"/>
          <w:color w:val="auto"/>
        </w:rPr>
        <w:tab/>
      </w:r>
      <w:r>
        <w:rPr>
          <w:rFonts w:ascii="Times New Roman" w:cs="Times New Roman" w:eastAsia="Times New Roman" w:hAnsi="Times New Roman"/>
          <w:sz w:val="22"/>
          <w:szCs w:val="22"/>
          <w:color w:val="auto"/>
        </w:rPr>
        <w:t>242974306</w:t>
        <w:tab/>
        <w:t>11/20/2025</w:t>
      </w:r>
      <w:r>
        <w:rPr>
          <w:sz w:val="20"/>
          <w:szCs w:val="20"/>
          <w:color w:val="auto"/>
        </w:rPr>
        <w:tab/>
      </w:r>
      <w:r>
        <w:rPr>
          <w:rFonts w:ascii="Times New Roman" w:cs="Times New Roman" w:eastAsia="Times New Roman" w:hAnsi="Times New Roman"/>
          <w:sz w:val="21"/>
          <w:szCs w:val="21"/>
          <w:color w:val="auto"/>
        </w:rPr>
        <w:t>NASDAQ</w:t>
      </w:r>
    </w:p>
    <w:p>
      <w:pPr>
        <w:spacing w:after="0" w:line="952" w:lineRule="exact"/>
        <w:rPr>
          <w:sz w:val="24"/>
          <w:szCs w:val="24"/>
          <w:color w:val="auto"/>
        </w:rPr>
      </w:pPr>
    </w:p>
    <w:p>
      <w:pPr>
        <w:sectPr>
          <w:pgSz w:w="11900" w:h="16838" w:orient="portrait"/>
          <w:cols w:equalWidth="0" w:num="2">
            <w:col w:w="4660" w:space="220"/>
            <w:col w:w="6360"/>
          </w:cols>
          <w:pgMar w:left="320" w:top="261" w:right="339" w:bottom="69"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9" w:lineRule="exact"/>
        <w:rPr>
          <w:sz w:val="20"/>
          <w:szCs w:val="20"/>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Vesting of</w:t>
      </w:r>
    </w:p>
    <w:p>
      <w:pPr>
        <w:spacing w:after="0" w:line="4" w:lineRule="exact"/>
        <w:rPr>
          <w:sz w:val="20"/>
          <w:szCs w:val="20"/>
          <w:color w:val="auto"/>
        </w:rPr>
      </w:pPr>
    </w:p>
    <w:p>
      <w:pPr>
        <w:ind w:left="40"/>
        <w:spacing w:after="0"/>
        <w:tabs>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 Stock 11/19/2025 restricted stock</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21372</w:t>
      </w:r>
      <w:r>
        <w:rPr>
          <w:sz w:val="20"/>
          <w:szCs w:val="20"/>
          <w:color w:val="auto"/>
        </w:rPr>
        <w:tab/>
      </w:r>
      <w:r>
        <w:rPr>
          <w:rFonts w:ascii="Times New Roman" w:cs="Times New Roman" w:eastAsia="Times New Roman" w:hAnsi="Times New Roman"/>
          <w:sz w:val="21"/>
          <w:szCs w:val="21"/>
          <w:color w:val="auto"/>
        </w:rPr>
        <w:t>11/19/2025 Services Rendered</w:t>
      </w:r>
    </w:p>
    <w:p>
      <w:pPr>
        <w:ind w:left="2560"/>
        <w:spacing w:after="0"/>
        <w:rPr>
          <w:sz w:val="20"/>
          <w:szCs w:val="20"/>
          <w:color w:val="auto"/>
        </w:rPr>
      </w:pPr>
      <w:r>
        <w:rPr>
          <w:rFonts w:ascii="Times New Roman" w:cs="Times New Roman" w:eastAsia="Times New Roman" w:hAnsi="Times New Roman"/>
          <w:sz w:val="22"/>
          <w:szCs w:val="22"/>
          <w:color w:val="auto"/>
        </w:rPr>
        <w:t>units</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Laura A. Williams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400 Fifth Avenue,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08/26/2025 50000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306050.00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Laura A. Williams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400 Fifth Avenue,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08/26/2025 30000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183630.00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Laura A. Williams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400 Fifth Avenue,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08/21/2025 6261</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37138.37</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The transactions dated August 26, 2025, reflect the weighted average sale price, with sales prices ranging from $6.04</w:t>
      </w:r>
    </w:p>
    <w:p>
      <w:pPr>
        <w:spacing w:after="0" w:line="26" w:lineRule="exact"/>
        <w:rPr>
          <w:sz w:val="20"/>
          <w:szCs w:val="20"/>
          <w:color w:val="auto"/>
        </w:rPr>
      </w:pPr>
    </w:p>
    <w:p>
      <w:pPr>
        <w:jc w:val="both"/>
        <w:ind w:left="940" w:right="60" w:hanging="899"/>
        <w:spacing w:after="0" w:line="181" w:lineRule="auto"/>
        <w:tabs>
          <w:tab w:leader="none" w:pos="920" w:val="left"/>
        </w:tabs>
        <w:rPr>
          <w:sz w:val="20"/>
          <w:szCs w:val="20"/>
          <w:color w:val="auto"/>
        </w:rPr>
      </w:pPr>
      <w:r>
        <w:rPr>
          <w:rFonts w:ascii="Times New Roman" w:cs="Times New Roman" w:eastAsia="Times New Roman" w:hAnsi="Times New Roman"/>
          <w:sz w:val="37"/>
          <w:szCs w:val="37"/>
          <w:color w:val="auto"/>
          <w:vertAlign w:val="subscript"/>
        </w:rPr>
        <w:t>Remarks</w:t>
      </w:r>
      <w:r>
        <w:rPr>
          <w:sz w:val="20"/>
          <w:szCs w:val="20"/>
          <w:color w:val="auto"/>
        </w:rPr>
        <w:tab/>
      </w:r>
      <w:r>
        <w:rPr>
          <w:rFonts w:ascii="Times New Roman" w:cs="Times New Roman" w:eastAsia="Times New Roman" w:hAnsi="Times New Roman"/>
          <w:sz w:val="19"/>
          <w:szCs w:val="19"/>
          <w:color w:val="auto"/>
        </w:rPr>
        <w:t>to $6.20, inclusive. The gross proceeds were calculated using a weighted average sales price of $6.121. Pursuant to an automatic sell-to-cover imposed by the terms of the initial grant of the restricted stock units (RSUs) awards, the shares</w:t>
      </w:r>
    </w:p>
    <w:p>
      <w:pPr>
        <w:ind w:left="940"/>
        <w:spacing w:after="0"/>
        <w:rPr>
          <w:sz w:val="20"/>
          <w:szCs w:val="20"/>
          <w:color w:val="auto"/>
        </w:rPr>
      </w:pPr>
      <w:r>
        <w:rPr>
          <w:rFonts w:ascii="Times New Roman" w:cs="Times New Roman" w:eastAsia="Times New Roman" w:hAnsi="Times New Roman"/>
          <w:sz w:val="22"/>
          <w:szCs w:val="22"/>
          <w:color w:val="auto"/>
        </w:rPr>
        <w:t>are to be sold upon the vesting of the RSUs solely to cover applicable withholding taxes.</w:t>
      </w:r>
    </w:p>
    <w:p>
      <w:pPr>
        <w:spacing w:after="0" w:line="10"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11/20/2025</w:t>
            </w:r>
          </w:p>
        </w:tc>
        <w:tc>
          <w:tcPr>
            <w:tcW w:w="0" w:type="dxa"/>
            <w:vAlign w:val="bottom"/>
          </w:tcPr>
          <w:p>
            <w:pPr>
              <w:spacing w:after="0"/>
              <w:rPr>
                <w:sz w:val="1"/>
                <w:szCs w:val="1"/>
                <w:color w:val="auto"/>
              </w:rPr>
            </w:pPr>
          </w:p>
        </w:tc>
      </w:tr>
      <w:tr>
        <w:trPr>
          <w:trHeight w:val="161"/>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7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8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Elizabeth Grammer, as Attorney-in-Fact for Laura A. Williams</w:t>
      </w:r>
    </w:p>
    <w:p>
      <w:pPr>
        <w:sectPr>
          <w:pgSz w:w="11900" w:h="16838" w:orient="portrait"/>
          <w:cols w:equalWidth="0" w:num="1">
            <w:col w:w="11240"/>
          </w:cols>
          <w:pgMar w:left="320" w:top="108" w:right="3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2025-11-20T16:48:17Z</dcterms:created>
  <dcterms:modified xsi:type="dcterms:W3CDTF">2025-11-20T16:48:17Z</dcterms:modified>
</cp:coreProperties>
</file>