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20"/>
          </w:cols>
          <w:pgMar w:left="460" w:top="225" w:right="4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40" w:type="dxa"/>
            <w:vAlign w:val="bottom"/>
            <w:gridSpan w:val="3"/>
          </w:tcPr>
          <w:p>
            <w:pPr>
              <w:ind w:left="4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2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SANDELL SCOTT D</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940" w:type="dxa"/>
            <w:vAlign w:val="bottom"/>
            <w:gridSpan w:val="3"/>
          </w:tcPr>
          <w:p>
            <w:pPr>
              <w:ind w:left="4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ARDELYX,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gridSpan w:val="2"/>
            <w:vMerge w:val="continue"/>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80" w:type="dxa"/>
            <w:vAlign w:val="bottom"/>
            <w:gridSpan w:val="3"/>
            <w:vMerge w:val="restart"/>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6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vMerge w:val="restart"/>
          </w:tcPr>
          <w:p>
            <w:pPr>
              <w:spacing w:after="0"/>
              <w:rPr>
                <w:sz w:val="7"/>
                <w:szCs w:val="7"/>
                <w:color w:val="auto"/>
              </w:rPr>
            </w:pPr>
          </w:p>
        </w:tc>
        <w:tc>
          <w:tcPr>
            <w:tcW w:w="11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3"/>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6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940" w:type="dxa"/>
            <w:vAlign w:val="bottom"/>
            <w:gridSpan w:val="3"/>
            <w:vMerge w:val="restart"/>
          </w:tcPr>
          <w:p>
            <w:pPr>
              <w:ind w:left="4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860" w:type="dxa"/>
            <w:vAlign w:val="bottom"/>
          </w:tcPr>
          <w:p>
            <w:pPr>
              <w:ind w:left="80"/>
              <w:spacing w:after="0"/>
              <w:rPr>
                <w:sz w:val="20"/>
                <w:szCs w:val="20"/>
                <w:color w:val="auto"/>
              </w:rPr>
            </w:pPr>
            <w:r>
              <w:rPr>
                <w:rFonts w:ascii="Arial" w:cs="Arial" w:eastAsia="Arial" w:hAnsi="Arial"/>
                <w:sz w:val="13"/>
                <w:szCs w:val="13"/>
                <w:color w:val="auto"/>
              </w:rPr>
              <w:t>(First)</w:t>
            </w:r>
          </w:p>
        </w:tc>
        <w:tc>
          <w:tcPr>
            <w:tcW w:w="1760" w:type="dxa"/>
            <w:vAlign w:val="bottom"/>
            <w:gridSpan w:val="3"/>
          </w:tcPr>
          <w:p>
            <w:pPr>
              <w:ind w:left="440"/>
              <w:spacing w:after="0"/>
              <w:rPr>
                <w:sz w:val="20"/>
                <w:szCs w:val="20"/>
                <w:color w:val="auto"/>
              </w:rPr>
            </w:pPr>
            <w:r>
              <w:rPr>
                <w:rFonts w:ascii="Arial" w:cs="Arial" w:eastAsia="Arial" w:hAnsi="Arial"/>
                <w:sz w:val="13"/>
                <w:szCs w:val="13"/>
                <w:color w:val="auto"/>
              </w:rPr>
              <w:t>(Middle)</w:t>
            </w:r>
          </w:p>
        </w:tc>
        <w:tc>
          <w:tcPr>
            <w:tcW w:w="294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below)</w:t>
            </w:r>
          </w:p>
        </w:tc>
        <w:tc>
          <w:tcPr>
            <w:tcW w:w="940" w:type="dxa"/>
            <w:vAlign w:val="bottom"/>
          </w:tcPr>
          <w:p>
            <w:pPr>
              <w:ind w:left="5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gridSpan w:val="5"/>
            <w:vMerge w:val="restart"/>
          </w:tcPr>
          <w:p>
            <w:pPr>
              <w:spacing w:after="0"/>
              <w:rPr>
                <w:sz w:val="20"/>
                <w:szCs w:val="20"/>
                <w:color w:val="auto"/>
              </w:rPr>
            </w:pPr>
            <w:r>
              <w:rPr>
                <w:rFonts w:ascii="Arial" w:cs="Arial" w:eastAsia="Arial" w:hAnsi="Arial"/>
                <w:sz w:val="17"/>
                <w:szCs w:val="17"/>
                <w:color w:val="0000FF"/>
              </w:rPr>
              <w:t>1954 GREENSPRING DRIVE</w:t>
            </w:r>
          </w:p>
        </w:tc>
        <w:tc>
          <w:tcPr>
            <w:tcW w:w="1260" w:type="dxa"/>
            <w:vAlign w:val="bottom"/>
          </w:tcPr>
          <w:p>
            <w:pPr>
              <w:ind w:left="40"/>
              <w:spacing w:after="0"/>
              <w:rPr>
                <w:sz w:val="20"/>
                <w:szCs w:val="20"/>
                <w:color w:val="auto"/>
              </w:rPr>
            </w:pPr>
            <w:r>
              <w:rPr>
                <w:rFonts w:ascii="Arial" w:cs="Arial" w:eastAsia="Arial" w:hAnsi="Arial"/>
                <w:sz w:val="17"/>
                <w:szCs w:val="17"/>
                <w:color w:val="0000FF"/>
              </w:rPr>
              <w:t>06/10/2020</w:t>
            </w: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5"/>
            <w:vMerge w:val="continue"/>
          </w:tcPr>
          <w:p>
            <w:pPr>
              <w:spacing w:after="0"/>
              <w:rPr>
                <w:sz w:val="8"/>
                <w:szCs w:val="8"/>
                <w:color w:val="auto"/>
              </w:rPr>
            </w:pPr>
          </w:p>
        </w:tc>
        <w:tc>
          <w:tcPr>
            <w:tcW w:w="1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SUITE 600</w:t>
            </w: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40" w:type="dxa"/>
            <w:vAlign w:val="bottom"/>
            <w:gridSpan w:val="4"/>
            <w:vMerge w:val="restart"/>
          </w:tcPr>
          <w:p>
            <w:pPr>
              <w:ind w:left="4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320" w:type="dxa"/>
            <w:vAlign w:val="bottom"/>
            <w:gridSpan w:val="6"/>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40" w:type="dxa"/>
            <w:vAlign w:val="bottom"/>
            <w:gridSpan w:val="4"/>
            <w:vMerge w:val="continue"/>
          </w:tcPr>
          <w:p>
            <w:pPr>
              <w:spacing w:after="0"/>
              <w:rPr>
                <w:sz w:val="8"/>
                <w:szCs w:val="8"/>
                <w:color w:val="auto"/>
              </w:rPr>
            </w:pPr>
          </w:p>
        </w:tc>
        <w:tc>
          <w:tcPr>
            <w:tcW w:w="340" w:type="dxa"/>
            <w:vAlign w:val="bottom"/>
          </w:tcPr>
          <w:p>
            <w:pPr>
              <w:spacing w:after="0"/>
              <w:rPr>
                <w:sz w:val="8"/>
                <w:szCs w:val="8"/>
                <w:color w:val="auto"/>
              </w:rPr>
            </w:pPr>
          </w:p>
        </w:tc>
        <w:tc>
          <w:tcPr>
            <w:tcW w:w="33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6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164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5"/>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TIMONIUM</w:t>
            </w:r>
          </w:p>
        </w:tc>
        <w:tc>
          <w:tcPr>
            <w:tcW w:w="860" w:type="dxa"/>
            <w:vAlign w:val="bottom"/>
          </w:tcPr>
          <w:p>
            <w:pPr>
              <w:ind w:left="80"/>
              <w:spacing w:after="0"/>
              <w:rPr>
                <w:sz w:val="20"/>
                <w:szCs w:val="20"/>
                <w:color w:val="auto"/>
              </w:rPr>
            </w:pPr>
            <w:r>
              <w:rPr>
                <w:rFonts w:ascii="Arial" w:cs="Arial" w:eastAsia="Arial" w:hAnsi="Arial"/>
                <w:sz w:val="17"/>
                <w:szCs w:val="17"/>
                <w:color w:val="0000FF"/>
              </w:rPr>
              <w:t>MD</w:t>
            </w:r>
          </w:p>
        </w:tc>
        <w:tc>
          <w:tcPr>
            <w:tcW w:w="1640" w:type="dxa"/>
            <w:vAlign w:val="bottom"/>
          </w:tcPr>
          <w:p>
            <w:pPr>
              <w:ind w:left="440"/>
              <w:spacing w:after="0"/>
              <w:rPr>
                <w:sz w:val="20"/>
                <w:szCs w:val="20"/>
                <w:color w:val="auto"/>
              </w:rPr>
            </w:pPr>
            <w:r>
              <w:rPr>
                <w:rFonts w:ascii="Arial" w:cs="Arial" w:eastAsia="Arial" w:hAnsi="Arial"/>
                <w:sz w:val="17"/>
                <w:szCs w:val="17"/>
                <w:color w:val="0000FF"/>
              </w:rPr>
              <w:t>21093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ind w:left="10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gridSpan w:val="3"/>
          </w:tcPr>
          <w:p>
            <w:pPr>
              <w:ind w:left="440"/>
              <w:spacing w:after="0"/>
              <w:rPr>
                <w:sz w:val="20"/>
                <w:szCs w:val="20"/>
                <w:color w:val="auto"/>
              </w:rPr>
            </w:pPr>
            <w:r>
              <w:rPr>
                <w:rFonts w:ascii="Arial" w:cs="Arial" w:eastAsia="Arial" w:hAnsi="Arial"/>
                <w:sz w:val="13"/>
                <w:szCs w:val="13"/>
                <w:color w:val="auto"/>
              </w:rPr>
              <w:t>(Zip)</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6"/>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1"/>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tcPr>
          <w:p>
            <w:pPr>
              <w:ind w:left="2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60" w:type="dxa"/>
            <w:vAlign w:val="bottom"/>
            <w:gridSpan w:val="3"/>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20" w:type="dxa"/>
            <w:vAlign w:val="bottom"/>
            <w:gridSpan w:val="4"/>
          </w:tcPr>
          <w:p>
            <w:pPr>
              <w:ind w:left="84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17"/>
              <w:spacing w:after="0" w:line="133"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jc w:val="right"/>
              <w:ind w:right="233"/>
              <w:spacing w:after="0"/>
              <w:rPr>
                <w:sz w:val="20"/>
                <w:szCs w:val="20"/>
                <w:color w:val="auto"/>
              </w:rPr>
            </w:pPr>
            <w:r>
              <w:rPr>
                <w:rFonts w:ascii="Arial" w:cs="Arial" w:eastAsia="Arial" w:hAnsi="Arial"/>
                <w:sz w:val="12"/>
                <w:szCs w:val="12"/>
                <w:b w:val="1"/>
                <w:bCs w:val="1"/>
                <w:color w:val="auto"/>
                <w:w w:val="95"/>
              </w:rPr>
              <w:t>Price</w:t>
            </w:r>
          </w:p>
        </w:tc>
        <w:tc>
          <w:tcPr>
            <w:tcW w:w="2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22"/>
                <w:szCs w:val="22"/>
                <w:color w:val="auto"/>
              </w:rPr>
            </w:pPr>
          </w:p>
        </w:tc>
        <w:tc>
          <w:tcPr>
            <w:tcW w:w="17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22"/>
                <w:szCs w:val="22"/>
                <w:color w:val="auto"/>
              </w:rPr>
            </w:pPr>
          </w:p>
        </w:tc>
        <w:tc>
          <w:tcPr>
            <w:tcW w:w="800" w:type="dxa"/>
            <w:vAlign w:val="bottom"/>
            <w:vMerge w:val="restart"/>
          </w:tcPr>
          <w:p>
            <w:pPr>
              <w:jc w:val="center"/>
              <w:ind w:right="285"/>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89"/>
              </w:rPr>
              <w:t>1,482,809</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0000FF"/>
                <w:w w:val="92"/>
              </w:rPr>
              <w:t>8,086,401</w:t>
            </w:r>
          </w:p>
        </w:tc>
        <w:tc>
          <w:tcPr>
            <w:tcW w:w="94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w w:val="99"/>
              </w:rPr>
              <w:t>Note 2</w:t>
            </w:r>
            <w:r>
              <w:rPr>
                <w:rFonts w:ascii="Arial" w:cs="Arial" w:eastAsia="Arial" w:hAnsi="Arial"/>
                <w:sz w:val="22"/>
                <w:szCs w:val="22"/>
                <w:color w:val="008000"/>
                <w:w w:val="9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22"/>
                <w:szCs w:val="22"/>
                <w:color w:val="auto"/>
              </w:rPr>
            </w:pPr>
          </w:p>
        </w:tc>
        <w:tc>
          <w:tcPr>
            <w:tcW w:w="17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22"/>
                <w:szCs w:val="22"/>
                <w:color w:val="auto"/>
              </w:rPr>
            </w:pPr>
          </w:p>
        </w:tc>
        <w:tc>
          <w:tcPr>
            <w:tcW w:w="800" w:type="dxa"/>
            <w:vAlign w:val="bottom"/>
            <w:vMerge w:val="restart"/>
          </w:tcPr>
          <w:p>
            <w:pPr>
              <w:jc w:val="center"/>
              <w:ind w:right="285"/>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(3)</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455,222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0000FF"/>
                <w:w w:val="91"/>
              </w:rPr>
              <w:t>455,222</w:t>
            </w:r>
          </w:p>
        </w:tc>
        <w:tc>
          <w:tcPr>
            <w:tcW w:w="94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w w:val="99"/>
              </w:rPr>
              <w:t>Note 4</w:t>
            </w:r>
            <w:r>
              <w:rPr>
                <w:rFonts w:ascii="Arial" w:cs="Arial" w:eastAsia="Arial" w:hAnsi="Arial"/>
                <w:sz w:val="22"/>
                <w:szCs w:val="22"/>
                <w:color w:val="008000"/>
                <w:w w:val="9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22"/>
                <w:szCs w:val="22"/>
                <w:color w:val="auto"/>
              </w:rPr>
            </w:pPr>
          </w:p>
        </w:tc>
        <w:tc>
          <w:tcPr>
            <w:tcW w:w="17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22"/>
                <w:szCs w:val="22"/>
                <w:color w:val="auto"/>
              </w:rPr>
            </w:pPr>
          </w:p>
        </w:tc>
        <w:tc>
          <w:tcPr>
            <w:tcW w:w="800" w:type="dxa"/>
            <w:vAlign w:val="bottom"/>
            <w:vMerge w:val="restart"/>
          </w:tcPr>
          <w:p>
            <w:pPr>
              <w:jc w:val="center"/>
              <w:ind w:right="285"/>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(5)</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455,222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0000FF"/>
              </w:rPr>
              <w:t>0</w:t>
            </w:r>
          </w:p>
        </w:tc>
        <w:tc>
          <w:tcPr>
            <w:tcW w:w="94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w w:val="99"/>
              </w:rPr>
              <w:t>Note 4</w:t>
            </w:r>
            <w:r>
              <w:rPr>
                <w:rFonts w:ascii="Arial" w:cs="Arial" w:eastAsia="Arial" w:hAnsi="Arial"/>
                <w:sz w:val="22"/>
                <w:szCs w:val="22"/>
                <w:color w:val="008000"/>
                <w:w w:val="9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22"/>
                <w:szCs w:val="22"/>
                <w:color w:val="auto"/>
              </w:rPr>
            </w:pPr>
          </w:p>
        </w:tc>
        <w:tc>
          <w:tcPr>
            <w:tcW w:w="17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22"/>
                <w:szCs w:val="22"/>
                <w:color w:val="auto"/>
              </w:rPr>
            </w:pPr>
          </w:p>
        </w:tc>
        <w:tc>
          <w:tcPr>
            <w:tcW w:w="800" w:type="dxa"/>
            <w:vAlign w:val="bottom"/>
            <w:vMerge w:val="restart"/>
          </w:tcPr>
          <w:p>
            <w:pPr>
              <w:jc w:val="center"/>
              <w:ind w:right="285"/>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(6)</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477,604</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0000FF"/>
                <w:w w:val="92"/>
              </w:rPr>
              <w:t>2,604,582</w:t>
            </w:r>
          </w:p>
        </w:tc>
        <w:tc>
          <w:tcPr>
            <w:tcW w:w="94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w w:val="99"/>
              </w:rPr>
              <w:t>Note 7</w:t>
            </w:r>
            <w:r>
              <w:rPr>
                <w:rFonts w:ascii="Arial" w:cs="Arial" w:eastAsia="Arial" w:hAnsi="Arial"/>
                <w:sz w:val="22"/>
                <w:szCs w:val="22"/>
                <w:color w:val="008000"/>
                <w:w w:val="99"/>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22"/>
                <w:szCs w:val="22"/>
                <w:color w:val="auto"/>
              </w:rPr>
            </w:pPr>
          </w:p>
        </w:tc>
        <w:tc>
          <w:tcPr>
            <w:tcW w:w="17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22"/>
                <w:szCs w:val="22"/>
                <w:color w:val="auto"/>
              </w:rPr>
            </w:pPr>
          </w:p>
        </w:tc>
        <w:tc>
          <w:tcPr>
            <w:tcW w:w="800" w:type="dxa"/>
            <w:vAlign w:val="bottom"/>
            <w:vMerge w:val="restart"/>
          </w:tcPr>
          <w:p>
            <w:pPr>
              <w:jc w:val="center"/>
              <w:ind w:right="285"/>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(8)</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3"/>
              </w:rPr>
              <w:t>7,164</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0000FF"/>
                <w:w w:val="89"/>
              </w:rPr>
              <w:t>7,164</w:t>
            </w:r>
          </w:p>
        </w:tc>
        <w:tc>
          <w:tcPr>
            <w:tcW w:w="94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w w:val="99"/>
              </w:rPr>
              <w:t>Note 9</w:t>
            </w:r>
            <w:r>
              <w:rPr>
                <w:rFonts w:ascii="Arial" w:cs="Arial" w:eastAsia="Arial" w:hAnsi="Arial"/>
                <w:sz w:val="22"/>
                <w:szCs w:val="22"/>
                <w:color w:val="008000"/>
                <w:w w:val="99"/>
                <w:vertAlign w:val="superscript"/>
              </w:rPr>
              <w:t>(9)</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22"/>
                <w:szCs w:val="22"/>
                <w:color w:val="auto"/>
              </w:rPr>
            </w:pPr>
          </w:p>
        </w:tc>
        <w:tc>
          <w:tcPr>
            <w:tcW w:w="17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22"/>
                <w:szCs w:val="22"/>
                <w:color w:val="auto"/>
              </w:rPr>
            </w:pPr>
          </w:p>
        </w:tc>
        <w:tc>
          <w:tcPr>
            <w:tcW w:w="800" w:type="dxa"/>
            <w:vAlign w:val="bottom"/>
            <w:vMerge w:val="restart"/>
          </w:tcPr>
          <w:p>
            <w:pPr>
              <w:jc w:val="center"/>
              <w:ind w:right="305"/>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(10)</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3"/>
              </w:rPr>
              <w:t>7,164</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0000FF"/>
              </w:rPr>
              <w:t>0</w:t>
            </w:r>
          </w:p>
        </w:tc>
        <w:tc>
          <w:tcPr>
            <w:tcW w:w="94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w w:val="99"/>
              </w:rPr>
              <w:t>Note 9</w:t>
            </w:r>
            <w:r>
              <w:rPr>
                <w:rFonts w:ascii="Arial" w:cs="Arial" w:eastAsia="Arial" w:hAnsi="Arial"/>
                <w:sz w:val="22"/>
                <w:szCs w:val="22"/>
                <w:color w:val="008000"/>
                <w:w w:val="99"/>
                <w:vertAlign w:val="superscript"/>
              </w:rPr>
              <w:t>(9)</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(11)</w:t>
            </w:r>
          </w:p>
        </w:tc>
        <w:tc>
          <w:tcPr>
            <w:tcW w:w="880" w:type="dxa"/>
            <w:vAlign w:val="bottom"/>
          </w:tcPr>
          <w:p>
            <w:pPr>
              <w:jc w:val="center"/>
              <w:spacing w:after="0"/>
              <w:rPr>
                <w:sz w:val="20"/>
                <w:szCs w:val="20"/>
                <w:color w:val="auto"/>
              </w:rPr>
            </w:pPr>
            <w:r>
              <w:rPr>
                <w:rFonts w:ascii="Arial" w:cs="Arial" w:eastAsia="Arial" w:hAnsi="Arial"/>
                <w:sz w:val="17"/>
                <w:szCs w:val="17"/>
                <w:color w:val="0000FF"/>
                <w:w w:val="91"/>
              </w:rPr>
              <w:t>539,587</w:t>
            </w:r>
          </w:p>
        </w:tc>
        <w:tc>
          <w:tcPr>
            <w:tcW w:w="500" w:type="dxa"/>
            <w:vAlign w:val="bottom"/>
          </w:tcPr>
          <w:p>
            <w:pPr>
              <w:jc w:val="center"/>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53"/>
              <w:spacing w:after="0"/>
              <w:rPr>
                <w:sz w:val="20"/>
                <w:szCs w:val="20"/>
                <w:color w:val="auto"/>
              </w:rPr>
            </w:pPr>
            <w:r>
              <w:rPr>
                <w:rFonts w:ascii="Arial" w:cs="Arial" w:eastAsia="Arial" w:hAnsi="Arial"/>
                <w:sz w:val="17"/>
                <w:szCs w:val="17"/>
                <w:color w:val="0000FF"/>
                <w:w w:val="92"/>
              </w:rPr>
              <w:t>2,942,599</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12</w:t>
            </w:r>
            <w:r>
              <w:rPr>
                <w:rFonts w:ascii="Arial" w:cs="Arial" w:eastAsia="Arial" w:hAnsi="Arial"/>
                <w:sz w:val="11"/>
                <w:szCs w:val="11"/>
                <w:color w:val="008000"/>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(13)</w:t>
            </w:r>
          </w:p>
        </w:tc>
        <w:tc>
          <w:tcPr>
            <w:tcW w:w="880" w:type="dxa"/>
            <w:vAlign w:val="bottom"/>
          </w:tcPr>
          <w:p>
            <w:pPr>
              <w:jc w:val="center"/>
              <w:spacing w:after="0"/>
              <w:rPr>
                <w:sz w:val="20"/>
                <w:szCs w:val="20"/>
                <w:color w:val="auto"/>
              </w:rPr>
            </w:pPr>
            <w:r>
              <w:rPr>
                <w:rFonts w:ascii="Arial" w:cs="Arial" w:eastAsia="Arial" w:hAnsi="Arial"/>
                <w:sz w:val="17"/>
                <w:szCs w:val="17"/>
                <w:color w:val="0000FF"/>
                <w:w w:val="93"/>
              </w:rPr>
              <w:t>8,094</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53"/>
              <w:spacing w:after="0"/>
              <w:rPr>
                <w:sz w:val="20"/>
                <w:szCs w:val="20"/>
                <w:color w:val="auto"/>
              </w:rPr>
            </w:pPr>
            <w:r>
              <w:rPr>
                <w:rFonts w:ascii="Arial" w:cs="Arial" w:eastAsia="Arial" w:hAnsi="Arial"/>
                <w:sz w:val="17"/>
                <w:szCs w:val="17"/>
                <w:color w:val="0000FF"/>
                <w:w w:val="89"/>
              </w:rPr>
              <w:t>8,094</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14</w:t>
            </w:r>
            <w:r>
              <w:rPr>
                <w:rFonts w:ascii="Arial" w:cs="Arial" w:eastAsia="Arial" w:hAnsi="Arial"/>
                <w:sz w:val="11"/>
                <w:szCs w:val="11"/>
                <w:color w:val="008000"/>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(15)</w:t>
            </w:r>
          </w:p>
        </w:tc>
        <w:tc>
          <w:tcPr>
            <w:tcW w:w="880" w:type="dxa"/>
            <w:vAlign w:val="bottom"/>
          </w:tcPr>
          <w:p>
            <w:pPr>
              <w:jc w:val="center"/>
              <w:spacing w:after="0"/>
              <w:rPr>
                <w:sz w:val="20"/>
                <w:szCs w:val="20"/>
                <w:color w:val="auto"/>
              </w:rPr>
            </w:pPr>
            <w:r>
              <w:rPr>
                <w:rFonts w:ascii="Arial" w:cs="Arial" w:eastAsia="Arial" w:hAnsi="Arial"/>
                <w:sz w:val="17"/>
                <w:szCs w:val="17"/>
                <w:color w:val="0000FF"/>
                <w:w w:val="93"/>
              </w:rPr>
              <w:t>8,094</w:t>
            </w:r>
          </w:p>
        </w:tc>
        <w:tc>
          <w:tcPr>
            <w:tcW w:w="500" w:type="dxa"/>
            <w:vAlign w:val="bottom"/>
          </w:tcPr>
          <w:p>
            <w:pPr>
              <w:jc w:val="center"/>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53"/>
              <w:spacing w:after="0"/>
              <w:rPr>
                <w:sz w:val="20"/>
                <w:szCs w:val="20"/>
                <w:color w:val="auto"/>
              </w:rPr>
            </w:pPr>
            <w:r>
              <w:rPr>
                <w:rFonts w:ascii="Arial" w:cs="Arial" w:eastAsia="Arial" w:hAnsi="Arial"/>
                <w:sz w:val="17"/>
                <w:szCs w:val="17"/>
                <w:color w:val="0000FF"/>
              </w:rPr>
              <w:t>0</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14</w:t>
            </w:r>
            <w:r>
              <w:rPr>
                <w:rFonts w:ascii="Arial" w:cs="Arial" w:eastAsia="Arial" w:hAnsi="Arial"/>
                <w:sz w:val="11"/>
                <w:szCs w:val="11"/>
                <w:color w:val="008000"/>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(16)</w:t>
            </w:r>
          </w:p>
        </w:tc>
        <w:tc>
          <w:tcPr>
            <w:tcW w:w="880" w:type="dxa"/>
            <w:vAlign w:val="bottom"/>
          </w:tcPr>
          <w:p>
            <w:pPr>
              <w:jc w:val="center"/>
              <w:spacing w:after="0"/>
              <w:rPr>
                <w:sz w:val="20"/>
                <w:szCs w:val="20"/>
                <w:color w:val="auto"/>
              </w:rPr>
            </w:pPr>
            <w:r>
              <w:rPr>
                <w:rFonts w:ascii="Arial" w:cs="Arial" w:eastAsia="Arial" w:hAnsi="Arial"/>
                <w:sz w:val="17"/>
                <w:szCs w:val="17"/>
                <w:color w:val="0000FF"/>
                <w:w w:val="92"/>
              </w:rPr>
              <w:t>83,237</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33"/>
              <w:spacing w:after="0"/>
              <w:rPr>
                <w:sz w:val="20"/>
                <w:szCs w:val="20"/>
                <w:color w:val="auto"/>
              </w:rPr>
            </w:pPr>
            <w:r>
              <w:rPr>
                <w:rFonts w:ascii="Arial" w:cs="Arial" w:eastAsia="Arial" w:hAnsi="Arial"/>
                <w:sz w:val="17"/>
                <w:szCs w:val="17"/>
                <w:color w:val="0000FF"/>
                <w:w w:val="92"/>
              </w:rPr>
              <w:t>83,237</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17</w:t>
            </w:r>
            <w:r>
              <w:rPr>
                <w:rFonts w:ascii="Arial" w:cs="Arial" w:eastAsia="Arial" w:hAnsi="Arial"/>
                <w:sz w:val="11"/>
                <w:szCs w:val="11"/>
                <w:color w:val="008000"/>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(18)</w:t>
            </w:r>
          </w:p>
        </w:tc>
        <w:tc>
          <w:tcPr>
            <w:tcW w:w="880" w:type="dxa"/>
            <w:vAlign w:val="bottom"/>
          </w:tcPr>
          <w:p>
            <w:pPr>
              <w:jc w:val="center"/>
              <w:spacing w:after="0"/>
              <w:rPr>
                <w:sz w:val="20"/>
                <w:szCs w:val="20"/>
                <w:color w:val="auto"/>
              </w:rPr>
            </w:pPr>
            <w:r>
              <w:rPr>
                <w:rFonts w:ascii="Arial" w:cs="Arial" w:eastAsia="Arial" w:hAnsi="Arial"/>
                <w:sz w:val="17"/>
                <w:szCs w:val="17"/>
                <w:color w:val="0000FF"/>
                <w:w w:val="84"/>
              </w:rPr>
              <w:t>43</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33"/>
              <w:spacing w:after="0"/>
              <w:rPr>
                <w:sz w:val="20"/>
                <w:szCs w:val="20"/>
                <w:color w:val="auto"/>
              </w:rPr>
            </w:pPr>
            <w:r>
              <w:rPr>
                <w:rFonts w:ascii="Arial" w:cs="Arial" w:eastAsia="Arial" w:hAnsi="Arial"/>
                <w:sz w:val="17"/>
                <w:szCs w:val="17"/>
                <w:color w:val="0000FF"/>
                <w:w w:val="92"/>
              </w:rPr>
              <w:t>83,280</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17</w:t>
            </w:r>
            <w:r>
              <w:rPr>
                <w:rFonts w:ascii="Arial" w:cs="Arial" w:eastAsia="Arial" w:hAnsi="Arial"/>
                <w:sz w:val="11"/>
                <w:szCs w:val="11"/>
                <w:color w:val="008000"/>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(19)</w:t>
            </w:r>
          </w:p>
        </w:tc>
        <w:tc>
          <w:tcPr>
            <w:tcW w:w="880" w:type="dxa"/>
            <w:vAlign w:val="bottom"/>
          </w:tcPr>
          <w:p>
            <w:pPr>
              <w:jc w:val="center"/>
              <w:spacing w:after="0"/>
              <w:rPr>
                <w:sz w:val="20"/>
                <w:szCs w:val="20"/>
                <w:color w:val="auto"/>
              </w:rPr>
            </w:pPr>
            <w:r>
              <w:rPr>
                <w:rFonts w:ascii="Arial" w:cs="Arial" w:eastAsia="Arial" w:hAnsi="Arial"/>
                <w:sz w:val="17"/>
                <w:szCs w:val="17"/>
                <w:color w:val="0000FF"/>
                <w:w w:val="93"/>
              </w:rPr>
              <w:t>3,369</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33"/>
              <w:spacing w:after="0"/>
              <w:rPr>
                <w:sz w:val="20"/>
                <w:szCs w:val="20"/>
                <w:color w:val="auto"/>
              </w:rPr>
            </w:pPr>
            <w:r>
              <w:rPr>
                <w:rFonts w:ascii="Arial" w:cs="Arial" w:eastAsia="Arial" w:hAnsi="Arial"/>
                <w:sz w:val="17"/>
                <w:szCs w:val="17"/>
                <w:color w:val="0000FF"/>
                <w:w w:val="92"/>
              </w:rPr>
              <w:t>86,649</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17</w:t>
            </w:r>
            <w:r>
              <w:rPr>
                <w:rFonts w:ascii="Arial" w:cs="Arial" w:eastAsia="Arial" w:hAnsi="Arial"/>
                <w:sz w:val="11"/>
                <w:szCs w:val="11"/>
                <w:color w:val="008000"/>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(20)</w:t>
            </w:r>
          </w:p>
        </w:tc>
        <w:tc>
          <w:tcPr>
            <w:tcW w:w="880" w:type="dxa"/>
            <w:vAlign w:val="bottom"/>
          </w:tcPr>
          <w:p>
            <w:pPr>
              <w:jc w:val="center"/>
              <w:spacing w:after="0"/>
              <w:rPr>
                <w:sz w:val="20"/>
                <w:szCs w:val="20"/>
                <w:color w:val="auto"/>
              </w:rPr>
            </w:pPr>
            <w:r>
              <w:rPr>
                <w:rFonts w:ascii="Arial" w:cs="Arial" w:eastAsia="Arial" w:hAnsi="Arial"/>
                <w:sz w:val="17"/>
                <w:szCs w:val="17"/>
                <w:color w:val="0000FF"/>
                <w:w w:val="93"/>
              </w:rPr>
              <w:t>3,377</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33"/>
              <w:spacing w:after="0"/>
              <w:rPr>
                <w:sz w:val="20"/>
                <w:szCs w:val="20"/>
                <w:color w:val="auto"/>
              </w:rPr>
            </w:pPr>
            <w:r>
              <w:rPr>
                <w:rFonts w:ascii="Arial" w:cs="Arial" w:eastAsia="Arial" w:hAnsi="Arial"/>
                <w:sz w:val="17"/>
                <w:szCs w:val="17"/>
                <w:color w:val="0000FF"/>
                <w:w w:val="92"/>
              </w:rPr>
              <w:t>90,026</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17</w:t>
            </w:r>
            <w:r>
              <w:rPr>
                <w:rFonts w:ascii="Arial" w:cs="Arial" w:eastAsia="Arial" w:hAnsi="Arial"/>
                <w:sz w:val="11"/>
                <w:szCs w:val="11"/>
                <w:color w:val="008000"/>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(21)</w:t>
            </w:r>
          </w:p>
        </w:tc>
        <w:tc>
          <w:tcPr>
            <w:tcW w:w="880" w:type="dxa"/>
            <w:vAlign w:val="bottom"/>
          </w:tcPr>
          <w:p>
            <w:pPr>
              <w:jc w:val="center"/>
              <w:spacing w:after="0"/>
              <w:rPr>
                <w:sz w:val="20"/>
                <w:szCs w:val="20"/>
                <w:color w:val="auto"/>
              </w:rPr>
            </w:pPr>
            <w:r>
              <w:rPr>
                <w:rFonts w:ascii="Arial" w:cs="Arial" w:eastAsia="Arial" w:hAnsi="Arial"/>
                <w:sz w:val="17"/>
                <w:szCs w:val="17"/>
                <w:color w:val="0000FF"/>
                <w:w w:val="92"/>
              </w:rPr>
              <w:t>13,305</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33"/>
              <w:spacing w:after="0"/>
              <w:rPr>
                <w:sz w:val="20"/>
                <w:szCs w:val="20"/>
                <w:color w:val="auto"/>
              </w:rPr>
            </w:pPr>
            <w:r>
              <w:rPr>
                <w:rFonts w:ascii="Arial" w:cs="Arial" w:eastAsia="Arial" w:hAnsi="Arial"/>
                <w:sz w:val="17"/>
                <w:szCs w:val="17"/>
                <w:color w:val="0000FF"/>
                <w:w w:val="92"/>
              </w:rPr>
              <w:t>13,305</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22</w:t>
            </w:r>
            <w:r>
              <w:rPr>
                <w:rFonts w:ascii="Arial" w:cs="Arial" w:eastAsia="Arial" w:hAnsi="Arial"/>
                <w:sz w:val="11"/>
                <w:szCs w:val="11"/>
                <w:color w:val="008000"/>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(23)</w:t>
            </w:r>
          </w:p>
        </w:tc>
        <w:tc>
          <w:tcPr>
            <w:tcW w:w="880" w:type="dxa"/>
            <w:vAlign w:val="bottom"/>
          </w:tcPr>
          <w:p>
            <w:pPr>
              <w:jc w:val="center"/>
              <w:spacing w:after="0"/>
              <w:rPr>
                <w:sz w:val="20"/>
                <w:szCs w:val="20"/>
                <w:color w:val="auto"/>
              </w:rPr>
            </w:pPr>
            <w:r>
              <w:rPr>
                <w:rFonts w:ascii="Arial" w:cs="Arial" w:eastAsia="Arial" w:hAnsi="Arial"/>
                <w:sz w:val="17"/>
                <w:szCs w:val="17"/>
                <w:color w:val="0000FF"/>
                <w:w w:val="91"/>
              </w:rPr>
              <w:t>294</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33"/>
              <w:spacing w:after="0"/>
              <w:rPr>
                <w:sz w:val="20"/>
                <w:szCs w:val="20"/>
                <w:color w:val="auto"/>
              </w:rPr>
            </w:pPr>
            <w:r>
              <w:rPr>
                <w:rFonts w:ascii="Arial" w:cs="Arial" w:eastAsia="Arial" w:hAnsi="Arial"/>
                <w:sz w:val="17"/>
                <w:szCs w:val="17"/>
                <w:color w:val="0000FF"/>
                <w:w w:val="92"/>
              </w:rPr>
              <w:t>13,599</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11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1640" w:type="dxa"/>
            <w:vAlign w:val="bottom"/>
            <w:tcBorders>
              <w:bottom w:val="single" w:sz="8" w:color="808080"/>
            </w:tcBorders>
          </w:tcPr>
          <w:p>
            <w:pPr>
              <w:spacing w:after="0"/>
              <w:rPr>
                <w:sz w:val="23"/>
                <w:szCs w:val="23"/>
                <w:color w:val="auto"/>
              </w:rPr>
            </w:pPr>
          </w:p>
        </w:tc>
        <w:tc>
          <w:tcPr>
            <w:tcW w:w="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126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500" w:type="dxa"/>
            <w:vAlign w:val="bottom"/>
            <w:tcBorders>
              <w:bottom w:val="single" w:sz="8" w:color="808080"/>
            </w:tcBorders>
          </w:tcPr>
          <w:p>
            <w:pPr>
              <w:spacing w:after="0"/>
              <w:rPr>
                <w:sz w:val="23"/>
                <w:szCs w:val="23"/>
                <w:color w:val="auto"/>
              </w:rPr>
            </w:pPr>
          </w:p>
        </w:tc>
        <w:tc>
          <w:tcPr>
            <w:tcW w:w="34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1140" w:type="dxa"/>
            <w:vAlign w:val="bottom"/>
            <w:tcBorders>
              <w:bottom w:val="single" w:sz="8" w:color="808080"/>
            </w:tcBorders>
          </w:tcPr>
          <w:p>
            <w:pPr>
              <w:spacing w:after="0"/>
              <w:rPr>
                <w:sz w:val="23"/>
                <w:szCs w:val="23"/>
                <w:color w:val="auto"/>
              </w:rPr>
            </w:pPr>
          </w:p>
        </w:tc>
        <w:tc>
          <w:tcPr>
            <w:tcW w:w="940" w:type="dxa"/>
            <w:vAlign w:val="bottom"/>
            <w:tcBorders>
              <w:bottom w:val="single" w:sz="8" w:color="808080"/>
            </w:tcBorders>
          </w:tcPr>
          <w:p>
            <w:pPr>
              <w:spacing w:after="0"/>
              <w:rPr>
                <w:sz w:val="23"/>
                <w:szCs w:val="23"/>
                <w:color w:val="auto"/>
              </w:rPr>
            </w:pPr>
          </w:p>
        </w:tc>
        <w:tc>
          <w:tcPr>
            <w:tcW w:w="720" w:type="dxa"/>
            <w:vAlign w:val="bottom"/>
            <w:tcBorders>
              <w:bottom w:val="single" w:sz="8" w:color="808080"/>
            </w:tcBorders>
          </w:tcPr>
          <w:p>
            <w:pPr>
              <w:ind w:left="20"/>
              <w:spacing w:after="0" w:line="275" w:lineRule="exact"/>
              <w:rPr>
                <w:sz w:val="20"/>
                <w:szCs w:val="20"/>
                <w:color w:val="auto"/>
              </w:rPr>
            </w:pPr>
            <w:r>
              <w:rPr>
                <w:rFonts w:ascii="Arial" w:cs="Arial" w:eastAsia="Arial" w:hAnsi="Arial"/>
                <w:sz w:val="31"/>
                <w:szCs w:val="31"/>
                <w:color w:val="0000FF"/>
                <w:vertAlign w:val="subscript"/>
              </w:rPr>
              <w:t>22</w:t>
            </w:r>
            <w:r>
              <w:rPr>
                <w:rFonts w:ascii="Arial" w:cs="Arial" w:eastAsia="Arial" w:hAnsi="Arial"/>
                <w:sz w:val="11"/>
                <w:szCs w:val="11"/>
                <w:color w:val="008000"/>
              </w:rPr>
              <w:t>(22)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-7445375</wp:posOffset>
            </wp:positionV>
            <wp:extent cx="696404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7547610"/>
                    </a:xfrm>
                    <a:prstGeom prst="rect">
                      <a:avLst/>
                    </a:prstGeom>
                    <a:noFill/>
                  </pic:spPr>
                </pic:pic>
              </a:graphicData>
            </a:graphic>
          </wp:anchor>
        </w:drawing>
      </w:r>
    </w:p>
    <w:p>
      <w:pPr>
        <w:sectPr>
          <w:pgSz w:w="11900" w:h="16838" w:orient="portrait"/>
          <w:cols w:equalWidth="0" w:num="1">
            <w:col w:w="10980"/>
          </w:cols>
          <w:pgMar w:left="460" w:top="225" w:right="45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50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3350895"/>
                    </a:xfrm>
                    <a:prstGeom prst="rect">
                      <a:avLst/>
                    </a:prstGeom>
                    <a:noFill/>
                  </pic:spPr>
                </pic:pic>
              </a:graphicData>
            </a:graphic>
          </wp:anchor>
        </w:drawing>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57150</wp:posOffset>
            </wp:positionV>
            <wp:extent cx="6946900" cy="676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676910"/>
                    </a:xfrm>
                    <a:prstGeom prst="rect">
                      <a:avLst/>
                    </a:prstGeom>
                    <a:noFill/>
                  </pic:spPr>
                </pic:pic>
              </a:graphicData>
            </a:graphic>
          </wp:anchor>
        </w:drawing>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164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36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-7620</wp:posOffset>
            </wp:positionV>
            <wp:extent cx="6946900" cy="4908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6900" cy="4908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7"/>
                <w:szCs w:val="17"/>
                <w:color w:val="0000FF"/>
              </w:rPr>
              <w:t>06/10/2020</w:t>
            </w:r>
          </w:p>
        </w:tc>
        <w:tc>
          <w:tcPr>
            <w:tcW w:w="1500" w:type="dxa"/>
            <w:vAlign w:val="bottom"/>
            <w:gridSpan w:val="2"/>
          </w:tcPr>
          <w:p>
            <w:pPr>
              <w:jc w:val="center"/>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(24)</w:t>
            </w:r>
          </w:p>
        </w:tc>
        <w:tc>
          <w:tcPr>
            <w:tcW w:w="780" w:type="dxa"/>
            <w:vAlign w:val="bottom"/>
          </w:tcPr>
          <w:p>
            <w:pPr>
              <w:jc w:val="center"/>
              <w:ind w:right="161"/>
              <w:spacing w:after="0"/>
              <w:rPr>
                <w:sz w:val="20"/>
                <w:szCs w:val="20"/>
                <w:color w:val="auto"/>
              </w:rPr>
            </w:pPr>
            <w:r>
              <w:rPr>
                <w:rFonts w:ascii="Arial" w:cs="Arial" w:eastAsia="Arial" w:hAnsi="Arial"/>
                <w:sz w:val="17"/>
                <w:szCs w:val="17"/>
                <w:color w:val="0000FF"/>
                <w:w w:val="91"/>
              </w:rPr>
              <w:t>659</w:t>
            </w:r>
          </w:p>
        </w:tc>
        <w:tc>
          <w:tcPr>
            <w:tcW w:w="380" w:type="dxa"/>
            <w:vAlign w:val="bottom"/>
          </w:tcPr>
          <w:p>
            <w:pPr>
              <w:ind w:left="80"/>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500" w:type="dxa"/>
            <w:vAlign w:val="bottom"/>
          </w:tcPr>
          <w:p>
            <w:pPr>
              <w:spacing w:after="0"/>
              <w:rPr>
                <w:sz w:val="18"/>
                <w:szCs w:val="18"/>
                <w:color w:val="auto"/>
              </w:rPr>
            </w:pPr>
          </w:p>
        </w:tc>
        <w:tc>
          <w:tcPr>
            <w:tcW w:w="1100" w:type="dxa"/>
            <w:vAlign w:val="bottom"/>
            <w:gridSpan w:val="2"/>
          </w:tcPr>
          <w:p>
            <w:pPr>
              <w:jc w:val="center"/>
              <w:ind w:right="473"/>
              <w:spacing w:after="0"/>
              <w:rPr>
                <w:sz w:val="20"/>
                <w:szCs w:val="20"/>
                <w:color w:val="auto"/>
              </w:rPr>
            </w:pPr>
            <w:r>
              <w:rPr>
                <w:rFonts w:ascii="Arial" w:cs="Arial" w:eastAsia="Arial" w:hAnsi="Arial"/>
                <w:sz w:val="17"/>
                <w:szCs w:val="17"/>
                <w:color w:val="0000FF"/>
                <w:w w:val="92"/>
              </w:rPr>
              <w:t>14,258</w:t>
            </w:r>
          </w:p>
        </w:tc>
        <w:tc>
          <w:tcPr>
            <w:tcW w:w="720" w:type="dxa"/>
            <w:vAlign w:val="bottom"/>
          </w:tcPr>
          <w:p>
            <w:pPr>
              <w:jc w:val="right"/>
              <w:ind w:right="408"/>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Note</w:t>
            </w: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75" w:lineRule="exact"/>
              <w:rPr>
                <w:sz w:val="20"/>
                <w:szCs w:val="20"/>
                <w:color w:val="auto"/>
              </w:rPr>
            </w:pPr>
            <w:r>
              <w:rPr>
                <w:rFonts w:ascii="Arial" w:cs="Arial" w:eastAsia="Arial" w:hAnsi="Arial"/>
                <w:sz w:val="31"/>
                <w:szCs w:val="31"/>
                <w:color w:val="0000FF"/>
                <w:vertAlign w:val="subscript"/>
              </w:rPr>
              <w:t>22</w:t>
            </w:r>
            <w:r>
              <w:rPr>
                <w:rFonts w:ascii="Arial" w:cs="Arial" w:eastAsia="Arial" w:hAnsi="Arial"/>
                <w:sz w:val="11"/>
                <w:szCs w:val="11"/>
                <w:color w:val="008000"/>
              </w:rPr>
              <w:t>(22)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7"/>
                <w:szCs w:val="17"/>
                <w:color w:val="0000FF"/>
              </w:rPr>
              <w:t>06/10/2020</w:t>
            </w:r>
          </w:p>
        </w:tc>
        <w:tc>
          <w:tcPr>
            <w:tcW w:w="1500" w:type="dxa"/>
            <w:vAlign w:val="bottom"/>
            <w:gridSpan w:val="2"/>
          </w:tcPr>
          <w:p>
            <w:pPr>
              <w:jc w:val="center"/>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(25)</w:t>
            </w:r>
          </w:p>
        </w:tc>
        <w:tc>
          <w:tcPr>
            <w:tcW w:w="780" w:type="dxa"/>
            <w:vAlign w:val="bottom"/>
          </w:tcPr>
          <w:p>
            <w:pPr>
              <w:jc w:val="center"/>
              <w:ind w:right="181"/>
              <w:spacing w:after="0"/>
              <w:rPr>
                <w:sz w:val="20"/>
                <w:szCs w:val="20"/>
                <w:color w:val="auto"/>
              </w:rPr>
            </w:pPr>
            <w:r>
              <w:rPr>
                <w:rFonts w:ascii="Arial" w:cs="Arial" w:eastAsia="Arial" w:hAnsi="Arial"/>
                <w:sz w:val="17"/>
                <w:szCs w:val="17"/>
                <w:color w:val="0000FF"/>
                <w:w w:val="84"/>
              </w:rPr>
              <w:t>47</w:t>
            </w:r>
          </w:p>
        </w:tc>
        <w:tc>
          <w:tcPr>
            <w:tcW w:w="380" w:type="dxa"/>
            <w:vAlign w:val="bottom"/>
          </w:tcPr>
          <w:p>
            <w:pPr>
              <w:ind w:left="80"/>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593"/>
              <w:spacing w:after="0"/>
              <w:rPr>
                <w:sz w:val="20"/>
                <w:szCs w:val="20"/>
                <w:color w:val="auto"/>
              </w:rPr>
            </w:pPr>
            <w:r>
              <w:rPr>
                <w:rFonts w:ascii="Arial" w:cs="Arial" w:eastAsia="Arial" w:hAnsi="Arial"/>
                <w:sz w:val="17"/>
                <w:szCs w:val="17"/>
                <w:color w:val="0000FF"/>
                <w:w w:val="94"/>
              </w:rPr>
              <w:t>47</w:t>
            </w:r>
          </w:p>
        </w:tc>
        <w:tc>
          <w:tcPr>
            <w:tcW w:w="720" w:type="dxa"/>
            <w:vAlign w:val="bottom"/>
          </w:tcPr>
          <w:p>
            <w:pPr>
              <w:jc w:val="right"/>
              <w:ind w:right="408"/>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Note</w:t>
            </w: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75" w:lineRule="exact"/>
              <w:rPr>
                <w:sz w:val="20"/>
                <w:szCs w:val="20"/>
                <w:color w:val="auto"/>
              </w:rPr>
            </w:pPr>
            <w:r>
              <w:rPr>
                <w:rFonts w:ascii="Arial" w:cs="Arial" w:eastAsia="Arial" w:hAnsi="Arial"/>
                <w:sz w:val="31"/>
                <w:szCs w:val="31"/>
                <w:color w:val="0000FF"/>
                <w:vertAlign w:val="subscript"/>
              </w:rPr>
              <w:t>26</w:t>
            </w:r>
            <w:r>
              <w:rPr>
                <w:rFonts w:ascii="Arial" w:cs="Arial" w:eastAsia="Arial" w:hAnsi="Arial"/>
                <w:sz w:val="11"/>
                <w:szCs w:val="11"/>
                <w:color w:val="008000"/>
              </w:rPr>
              <w:t>(26)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7"/>
                <w:szCs w:val="17"/>
                <w:color w:val="0000FF"/>
              </w:rPr>
              <w:t>06/10/2020</w:t>
            </w:r>
          </w:p>
        </w:tc>
        <w:tc>
          <w:tcPr>
            <w:tcW w:w="1500" w:type="dxa"/>
            <w:vAlign w:val="bottom"/>
            <w:gridSpan w:val="2"/>
          </w:tcPr>
          <w:p>
            <w:pPr>
              <w:jc w:val="center"/>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(27)</w:t>
            </w:r>
          </w:p>
        </w:tc>
        <w:tc>
          <w:tcPr>
            <w:tcW w:w="780" w:type="dxa"/>
            <w:vAlign w:val="bottom"/>
          </w:tcPr>
          <w:p>
            <w:pPr>
              <w:jc w:val="center"/>
              <w:ind w:right="181"/>
              <w:spacing w:after="0"/>
              <w:rPr>
                <w:sz w:val="20"/>
                <w:szCs w:val="20"/>
                <w:color w:val="auto"/>
              </w:rPr>
            </w:pPr>
            <w:r>
              <w:rPr>
                <w:rFonts w:ascii="Arial" w:cs="Arial" w:eastAsia="Arial" w:hAnsi="Arial"/>
                <w:sz w:val="17"/>
                <w:szCs w:val="17"/>
                <w:color w:val="0000FF"/>
                <w:w w:val="84"/>
              </w:rPr>
              <w:t>47</w:t>
            </w:r>
          </w:p>
        </w:tc>
        <w:tc>
          <w:tcPr>
            <w:tcW w:w="380" w:type="dxa"/>
            <w:vAlign w:val="bottom"/>
          </w:tcPr>
          <w:p>
            <w:pPr>
              <w:ind w:left="80"/>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593"/>
              <w:spacing w:after="0"/>
              <w:rPr>
                <w:sz w:val="20"/>
                <w:szCs w:val="20"/>
                <w:color w:val="auto"/>
              </w:rPr>
            </w:pPr>
            <w:r>
              <w:rPr>
                <w:rFonts w:ascii="Arial" w:cs="Arial" w:eastAsia="Arial" w:hAnsi="Arial"/>
                <w:sz w:val="17"/>
                <w:szCs w:val="17"/>
                <w:color w:val="0000FF"/>
                <w:w w:val="94"/>
              </w:rPr>
              <w:t>47</w:t>
            </w:r>
          </w:p>
        </w:tc>
        <w:tc>
          <w:tcPr>
            <w:tcW w:w="720" w:type="dxa"/>
            <w:vAlign w:val="bottom"/>
          </w:tcPr>
          <w:p>
            <w:pPr>
              <w:jc w:val="right"/>
              <w:ind w:right="408"/>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Note</w:t>
            </w: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75" w:lineRule="exact"/>
              <w:rPr>
                <w:sz w:val="20"/>
                <w:szCs w:val="20"/>
                <w:color w:val="auto"/>
              </w:rPr>
            </w:pPr>
            <w:r>
              <w:rPr>
                <w:rFonts w:ascii="Arial" w:cs="Arial" w:eastAsia="Arial" w:hAnsi="Arial"/>
                <w:sz w:val="31"/>
                <w:szCs w:val="31"/>
                <w:color w:val="0000FF"/>
                <w:vertAlign w:val="subscript"/>
              </w:rPr>
              <w:t>28</w:t>
            </w:r>
            <w:r>
              <w:rPr>
                <w:rFonts w:ascii="Arial" w:cs="Arial" w:eastAsia="Arial" w:hAnsi="Arial"/>
                <w:sz w:val="11"/>
                <w:szCs w:val="11"/>
                <w:color w:val="008000"/>
              </w:rPr>
              <w:t>(28)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7"/>
                <w:szCs w:val="17"/>
                <w:color w:val="0000FF"/>
              </w:rPr>
              <w:t>06/11/2020</w:t>
            </w:r>
          </w:p>
        </w:tc>
        <w:tc>
          <w:tcPr>
            <w:tcW w:w="700" w:type="dxa"/>
            <w:vAlign w:val="bottom"/>
          </w:tcPr>
          <w:p>
            <w:pPr>
              <w:spacing w:after="0"/>
              <w:rPr>
                <w:sz w:val="18"/>
                <w:szCs w:val="18"/>
                <w:color w:val="auto"/>
              </w:rPr>
            </w:pPr>
          </w:p>
        </w:tc>
        <w:tc>
          <w:tcPr>
            <w:tcW w:w="800" w:type="dxa"/>
            <w:vAlign w:val="bottom"/>
          </w:tcPr>
          <w:p>
            <w:pPr>
              <w:jc w:val="center"/>
              <w:ind w:right="618"/>
              <w:spacing w:after="0"/>
              <w:rPr>
                <w:sz w:val="20"/>
                <w:szCs w:val="20"/>
                <w:color w:val="auto"/>
              </w:rPr>
            </w:pPr>
            <w:r>
              <w:rPr>
                <w:rFonts w:ascii="Arial" w:cs="Arial" w:eastAsia="Arial" w:hAnsi="Arial"/>
                <w:sz w:val="13"/>
                <w:szCs w:val="13"/>
                <w:color w:val="0000FF"/>
                <w:w w:val="91"/>
              </w:rPr>
              <w:t>S</w:t>
            </w:r>
          </w:p>
        </w:tc>
        <w:tc>
          <w:tcPr>
            <w:tcW w:w="780" w:type="dxa"/>
            <w:vAlign w:val="bottom"/>
          </w:tcPr>
          <w:p>
            <w:pPr>
              <w:jc w:val="center"/>
              <w:ind w:right="181"/>
              <w:spacing w:after="0"/>
              <w:rPr>
                <w:sz w:val="20"/>
                <w:szCs w:val="20"/>
                <w:color w:val="auto"/>
              </w:rPr>
            </w:pPr>
            <w:r>
              <w:rPr>
                <w:rFonts w:ascii="Arial" w:cs="Arial" w:eastAsia="Arial" w:hAnsi="Arial"/>
                <w:sz w:val="17"/>
                <w:szCs w:val="17"/>
                <w:color w:val="0000FF"/>
                <w:w w:val="92"/>
              </w:rPr>
              <w:t>44,991</w:t>
            </w:r>
          </w:p>
        </w:tc>
        <w:tc>
          <w:tcPr>
            <w:tcW w:w="380" w:type="dxa"/>
            <w:vAlign w:val="bottom"/>
          </w:tcPr>
          <w:p>
            <w:pPr>
              <w:ind w:left="80"/>
              <w:spacing w:after="0"/>
              <w:rPr>
                <w:sz w:val="20"/>
                <w:szCs w:val="20"/>
                <w:color w:val="auto"/>
              </w:rPr>
            </w:pPr>
            <w:r>
              <w:rPr>
                <w:rFonts w:ascii="Arial" w:cs="Arial" w:eastAsia="Arial" w:hAnsi="Arial"/>
                <w:sz w:val="17"/>
                <w:szCs w:val="17"/>
                <w:color w:val="0000FF"/>
              </w:rPr>
              <w:t>D</w:t>
            </w:r>
          </w:p>
        </w:tc>
        <w:tc>
          <w:tcPr>
            <w:tcW w:w="1180" w:type="dxa"/>
            <w:vAlign w:val="bottom"/>
            <w:gridSpan w:val="3"/>
          </w:tcPr>
          <w:p>
            <w:pPr>
              <w:jc w:val="right"/>
              <w:ind w:right="28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6.3227</w:t>
            </w:r>
            <w:r>
              <w:rPr>
                <w:rFonts w:ascii="Arial" w:cs="Arial" w:eastAsia="Arial" w:hAnsi="Arial"/>
                <w:sz w:val="22"/>
                <w:szCs w:val="22"/>
                <w:color w:val="008000"/>
                <w:w w:val="93"/>
                <w:vertAlign w:val="superscript"/>
              </w:rPr>
              <w:t>(29)</w:t>
            </w:r>
          </w:p>
        </w:tc>
        <w:tc>
          <w:tcPr>
            <w:tcW w:w="1100" w:type="dxa"/>
            <w:vAlign w:val="bottom"/>
            <w:gridSpan w:val="2"/>
          </w:tcPr>
          <w:p>
            <w:pPr>
              <w:jc w:val="center"/>
              <w:ind w:right="473"/>
              <w:spacing w:after="0"/>
              <w:rPr>
                <w:sz w:val="20"/>
                <w:szCs w:val="20"/>
                <w:color w:val="auto"/>
              </w:rPr>
            </w:pPr>
            <w:r>
              <w:rPr>
                <w:rFonts w:ascii="Arial" w:cs="Arial" w:eastAsia="Arial" w:hAnsi="Arial"/>
                <w:sz w:val="17"/>
                <w:szCs w:val="17"/>
                <w:color w:val="0000FF"/>
                <w:w w:val="92"/>
              </w:rPr>
              <w:t>45,035</w:t>
            </w:r>
          </w:p>
        </w:tc>
        <w:tc>
          <w:tcPr>
            <w:tcW w:w="720" w:type="dxa"/>
            <w:vAlign w:val="bottom"/>
          </w:tcPr>
          <w:p>
            <w:pPr>
              <w:jc w:val="right"/>
              <w:ind w:right="408"/>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Note</w:t>
            </w: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75" w:lineRule="exact"/>
              <w:rPr>
                <w:sz w:val="20"/>
                <w:szCs w:val="20"/>
                <w:color w:val="auto"/>
              </w:rPr>
            </w:pPr>
            <w:r>
              <w:rPr>
                <w:rFonts w:ascii="Arial" w:cs="Arial" w:eastAsia="Arial" w:hAnsi="Arial"/>
                <w:sz w:val="31"/>
                <w:szCs w:val="31"/>
                <w:color w:val="0000FF"/>
                <w:vertAlign w:val="subscript"/>
              </w:rPr>
              <w:t>17</w:t>
            </w:r>
            <w:r>
              <w:rPr>
                <w:rFonts w:ascii="Arial" w:cs="Arial" w:eastAsia="Arial" w:hAnsi="Arial"/>
                <w:sz w:val="11"/>
                <w:szCs w:val="11"/>
                <w:color w:val="008000"/>
              </w:rPr>
              <w:t>(17)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7"/>
                <w:szCs w:val="17"/>
                <w:color w:val="0000FF"/>
              </w:rPr>
              <w:t>06/12/2020</w:t>
            </w:r>
          </w:p>
        </w:tc>
        <w:tc>
          <w:tcPr>
            <w:tcW w:w="700" w:type="dxa"/>
            <w:vAlign w:val="bottom"/>
          </w:tcPr>
          <w:p>
            <w:pPr>
              <w:spacing w:after="0"/>
              <w:rPr>
                <w:sz w:val="18"/>
                <w:szCs w:val="18"/>
                <w:color w:val="auto"/>
              </w:rPr>
            </w:pPr>
          </w:p>
        </w:tc>
        <w:tc>
          <w:tcPr>
            <w:tcW w:w="800" w:type="dxa"/>
            <w:vAlign w:val="bottom"/>
          </w:tcPr>
          <w:p>
            <w:pPr>
              <w:jc w:val="center"/>
              <w:ind w:right="618"/>
              <w:spacing w:after="0"/>
              <w:rPr>
                <w:sz w:val="20"/>
                <w:szCs w:val="20"/>
                <w:color w:val="auto"/>
              </w:rPr>
            </w:pPr>
            <w:r>
              <w:rPr>
                <w:rFonts w:ascii="Arial" w:cs="Arial" w:eastAsia="Arial" w:hAnsi="Arial"/>
                <w:sz w:val="13"/>
                <w:szCs w:val="13"/>
                <w:color w:val="0000FF"/>
                <w:w w:val="91"/>
              </w:rPr>
              <w:t>S</w:t>
            </w:r>
          </w:p>
        </w:tc>
        <w:tc>
          <w:tcPr>
            <w:tcW w:w="780" w:type="dxa"/>
            <w:vAlign w:val="bottom"/>
          </w:tcPr>
          <w:p>
            <w:pPr>
              <w:jc w:val="center"/>
              <w:ind w:right="181"/>
              <w:spacing w:after="0"/>
              <w:rPr>
                <w:sz w:val="20"/>
                <w:szCs w:val="20"/>
                <w:color w:val="auto"/>
              </w:rPr>
            </w:pPr>
            <w:r>
              <w:rPr>
                <w:rFonts w:ascii="Arial" w:cs="Arial" w:eastAsia="Arial" w:hAnsi="Arial"/>
                <w:sz w:val="17"/>
                <w:szCs w:val="17"/>
                <w:color w:val="0000FF"/>
                <w:w w:val="92"/>
              </w:rPr>
              <w:t>44,992</w:t>
            </w:r>
          </w:p>
        </w:tc>
        <w:tc>
          <w:tcPr>
            <w:tcW w:w="380" w:type="dxa"/>
            <w:vAlign w:val="bottom"/>
          </w:tcPr>
          <w:p>
            <w:pPr>
              <w:ind w:left="80"/>
              <w:spacing w:after="0"/>
              <w:rPr>
                <w:sz w:val="20"/>
                <w:szCs w:val="20"/>
                <w:color w:val="auto"/>
              </w:rPr>
            </w:pPr>
            <w:r>
              <w:rPr>
                <w:rFonts w:ascii="Arial" w:cs="Arial" w:eastAsia="Arial" w:hAnsi="Arial"/>
                <w:sz w:val="17"/>
                <w:szCs w:val="17"/>
                <w:color w:val="0000FF"/>
              </w:rPr>
              <w:t>D</w:t>
            </w:r>
          </w:p>
        </w:tc>
        <w:tc>
          <w:tcPr>
            <w:tcW w:w="1180" w:type="dxa"/>
            <w:vAlign w:val="bottom"/>
            <w:gridSpan w:val="3"/>
          </w:tcPr>
          <w:p>
            <w:pPr>
              <w:jc w:val="right"/>
              <w:ind w:right="28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6.4163</w:t>
            </w:r>
            <w:r>
              <w:rPr>
                <w:rFonts w:ascii="Arial" w:cs="Arial" w:eastAsia="Arial" w:hAnsi="Arial"/>
                <w:sz w:val="22"/>
                <w:szCs w:val="22"/>
                <w:color w:val="008000"/>
                <w:w w:val="93"/>
                <w:vertAlign w:val="superscript"/>
              </w:rPr>
              <w:t>(30)</w:t>
            </w:r>
          </w:p>
        </w:tc>
        <w:tc>
          <w:tcPr>
            <w:tcW w:w="140" w:type="dxa"/>
            <w:vAlign w:val="bottom"/>
          </w:tcPr>
          <w:p>
            <w:pPr>
              <w:spacing w:after="0"/>
              <w:rPr>
                <w:sz w:val="18"/>
                <w:szCs w:val="18"/>
                <w:color w:val="auto"/>
              </w:rPr>
            </w:pPr>
          </w:p>
        </w:tc>
        <w:tc>
          <w:tcPr>
            <w:tcW w:w="960" w:type="dxa"/>
            <w:vAlign w:val="bottom"/>
          </w:tcPr>
          <w:p>
            <w:pPr>
              <w:jc w:val="center"/>
              <w:ind w:right="593"/>
              <w:spacing w:after="0"/>
              <w:rPr>
                <w:sz w:val="20"/>
                <w:szCs w:val="20"/>
                <w:color w:val="auto"/>
              </w:rPr>
            </w:pPr>
            <w:r>
              <w:rPr>
                <w:rFonts w:ascii="Arial" w:cs="Arial" w:eastAsia="Arial" w:hAnsi="Arial"/>
                <w:sz w:val="17"/>
                <w:szCs w:val="17"/>
                <w:color w:val="0000FF"/>
                <w:w w:val="94"/>
              </w:rPr>
              <w:t>43</w:t>
            </w:r>
          </w:p>
        </w:tc>
        <w:tc>
          <w:tcPr>
            <w:tcW w:w="720" w:type="dxa"/>
            <w:vAlign w:val="bottom"/>
          </w:tcPr>
          <w:p>
            <w:pPr>
              <w:jc w:val="right"/>
              <w:ind w:right="408"/>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Note</w:t>
            </w:r>
          </w:p>
        </w:tc>
      </w:tr>
      <w:tr>
        <w:trPr>
          <w:trHeight w:val="322"/>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75" w:lineRule="exact"/>
              <w:rPr>
                <w:sz w:val="20"/>
                <w:szCs w:val="20"/>
                <w:color w:val="auto"/>
              </w:rPr>
            </w:pPr>
            <w:r>
              <w:rPr>
                <w:rFonts w:ascii="Arial" w:cs="Arial" w:eastAsia="Arial" w:hAnsi="Arial"/>
                <w:sz w:val="31"/>
                <w:szCs w:val="31"/>
                <w:color w:val="0000FF"/>
                <w:vertAlign w:val="subscript"/>
              </w:rPr>
              <w:t>17</w:t>
            </w:r>
            <w:r>
              <w:rPr>
                <w:rFonts w:ascii="Arial" w:cs="Arial" w:eastAsia="Arial" w:hAnsi="Arial"/>
                <w:sz w:val="11"/>
                <w:szCs w:val="11"/>
                <w:color w:val="008000"/>
              </w:rPr>
              <w:t>(17)</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0" w:type="dxa"/>
            <w:vAlign w:val="bottom"/>
            <w:tcBorders>
              <w:top w:val="single" w:sz="8" w:color="2C2C2C"/>
            </w:tcBorders>
            <w:gridSpan w:val="12"/>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8"/>
          </w:tcPr>
          <w:p>
            <w:pPr>
              <w:jc w:val="center"/>
              <w:ind w:left="4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jc w:val="right"/>
              <w:ind w:right="408"/>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-3719830</wp:posOffset>
            </wp:positionV>
            <wp:extent cx="7031355" cy="3765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031355" cy="37655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New Enterprise Associates 12, Limited Partnership ("NEA 12") made a pro rata distribution for no consideration of an aggregate of 1,482,809 shares of Common Stock of the Issuer to its general partner and its limited partners on June 10, 2020.</w:t>
      </w:r>
    </w:p>
    <w:p>
      <w:pPr>
        <w:spacing w:after="0" w:line="1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12 GP, LLC ("NEA 12 GP"), which is the sole general partner of NEA Partners 12, Limited Partnership ("NEA Partners 12"). NEA Partners 12 is the sole general partner of NEA 12, which is the direct beneficial owner of the securities. The Reporting Person disclaims beneficial ownership, within the meaning of Section 16 of the Securities Exchange Act of 1934, as amended, or otherwise of such portion of the NEA 12 shares in which the Reporting Person has no pecuniary interest.</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Partners 12 received 455,222 shares of Common Stock of the Issuer in the distribution by NEA 12 on June 10, 2020.</w:t>
      </w:r>
    </w:p>
    <w:p>
      <w:pPr>
        <w:spacing w:after="0" w:line="50" w:lineRule="exact"/>
        <w:rPr>
          <w:rFonts w:ascii="Arial" w:cs="Arial" w:eastAsia="Arial" w:hAnsi="Arial"/>
          <w:sz w:val="13"/>
          <w:szCs w:val="13"/>
          <w:color w:val="008000"/>
        </w:rPr>
      </w:pPr>
    </w:p>
    <w:p>
      <w:pPr>
        <w:ind w:left="40" w:right="5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12 GP, which is the sole general partner of NEA Partners 12, the direct beneficial owner of the securities. The Reporting Person disclaims beneficial ownership, within the meaning of Section 16 of the Securities Exchange Act of 1934, as amended, or otherwise of such portion of the NEA Partners 12 shares in which the Reporting Person has no pecuniary interest.</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Partners 12 made a pro rata distribution for no consideration of an aggregate of 455,222 shares of Common Stock of the Issuer to its limited partners on June 10, 2020.</w:t>
      </w:r>
    </w:p>
    <w:p>
      <w:pPr>
        <w:spacing w:after="0" w:line="50"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New Enterprise Associates 15, L.P. ("NEA 15") made a pro rata distribution for no consideration of an aggregate of 477,604 shares of the Common Stock of the Issuer to its general partner and its limited partners on June 10, 2020.</w:t>
      </w:r>
    </w:p>
    <w:p>
      <w:pPr>
        <w:spacing w:after="0" w:line="1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LLC ("NEA 15 GP"), which is the sole general partner of NEA Partners 15, L.P. ("NEA Partners 15"). NEA Partners 15 is the sole general partner of NEA 15, the direct beneficial owner of the securities. The Reporting Person disclaims beneficial ownership within the meaning of Section 16 of the Securities Exchange Act of 1934, as amended, or otherwise of such portion of the NEA 15 shares in which the Reporting Person has no pecuniary interest.</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Partners 15 received 7,164 shares of Common Stock of the Issuer in the distribution by NEA 15 on June 10, 2020.</w:t>
      </w:r>
    </w:p>
    <w:p>
      <w:pPr>
        <w:spacing w:after="0" w:line="50" w:lineRule="exact"/>
        <w:rPr>
          <w:rFonts w:ascii="Arial" w:cs="Arial" w:eastAsia="Arial" w:hAnsi="Arial"/>
          <w:sz w:val="13"/>
          <w:szCs w:val="13"/>
          <w:color w:val="008000"/>
        </w:rPr>
      </w:pPr>
    </w:p>
    <w:p>
      <w:pPr>
        <w:ind w:left="40" w:right="5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director of NEA 15 GP, which is the sole general partner of NEA Partners 15, the direct beneficial owner of the securities. The Reporting Person disclaims beneficial ownership, within the meaning of Section 16 of the Securities Exchange Act of 1934, as amended, or otherwise of such portion of the NEA Partners 15 shares in which the Reporting Person has no pecuniary interest.</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Partners 15 made a pro rata distribution for no consideration of an aggregate of 7,164 shares of Common Stock of the Issuer to its limited partners on June 10, 2020.</w:t>
      </w:r>
    </w:p>
    <w:p>
      <w:pPr>
        <w:spacing w:after="0" w:line="50" w:lineRule="exact"/>
        <w:rPr>
          <w:rFonts w:ascii="Arial" w:cs="Arial" w:eastAsia="Arial" w:hAnsi="Arial"/>
          <w:sz w:val="13"/>
          <w:szCs w:val="13"/>
          <w:color w:val="008000"/>
        </w:rPr>
      </w:pPr>
    </w:p>
    <w:p>
      <w:pPr>
        <w:ind w:left="40" w:right="280" w:firstLine="7"/>
        <w:spacing w:after="0" w:line="266" w:lineRule="auto"/>
        <w:tabs>
          <w:tab w:leader="none" w:pos="23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15 Opportunity Fund, L.P. ("NEA Opportunity 15") made a pro rata distribution for no consideration of an aggregate of 539,587 shares of Common Stock of the Issuer to its general partner and its limited partners on June 10, 2020.</w:t>
      </w:r>
    </w:p>
    <w:p>
      <w:pPr>
        <w:spacing w:after="0" w:line="15" w:lineRule="exact"/>
        <w:rPr>
          <w:rFonts w:ascii="Arial" w:cs="Arial" w:eastAsia="Arial" w:hAnsi="Arial"/>
          <w:sz w:val="13"/>
          <w:szCs w:val="13"/>
          <w:color w:val="008000"/>
        </w:rPr>
      </w:pPr>
    </w:p>
    <w:p>
      <w:pPr>
        <w:ind w:left="40" w:right="26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which is the sole general partner of NEA Partners 15-OF, L.P. ("NEA Partners 15-OF"). NEA Partners 15-OF is the sole general partner of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Partners 15-OF received 8,094 shares of Common Stock of the Issuer in the distribution by NEA Opportunity 15 on June 10, 2020.</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director of NEA 15 GP, which is the sole general partner of NEA Partners 15-OF, the direct beneficial owner of the securities. The Reporting Person disclaims beneficial ownership, within the meaning of Section 16 of the Securities Exchange Act of 1934, as amended, or otherwise of such portion of the NEA Partners 15-OF shares in which the Reporting Person has no pecuniary interest.</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Partners 15-OF made a pro rata distribution for no consideration of an aggregate of 8,094 shares of Common Stock of the Issuer to its limited partners on June 10, 2020.</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New Enterprise Associates, LLC ("NEA LLC") received 83,237 shares of Common Stock of the Issuer in the distribution by NEA Partners 12 on June 10, 2020.</w:t>
      </w:r>
    </w:p>
    <w:p>
      <w:pPr>
        <w:spacing w:after="0" w:line="50" w:lineRule="exact"/>
        <w:rPr>
          <w:rFonts w:ascii="Arial" w:cs="Arial" w:eastAsia="Arial" w:hAnsi="Arial"/>
          <w:sz w:val="13"/>
          <w:szCs w:val="13"/>
          <w:color w:val="008000"/>
        </w:rPr>
      </w:pPr>
    </w:p>
    <w:p>
      <w:pPr>
        <w:ind w:left="40" w:right="200" w:firstLine="7"/>
        <w:spacing w:after="0" w:line="301" w:lineRule="auto"/>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member of the Board of Directors of NEA LLC, which is the direct beneficial owner of the shares. The Reporting Person disclaims beneficial ownership within the meaning of Section 16 of the Securities Exchange Act of 1934, as amended, or otherwise of such portion of the NEA LLC shares in which the Reporting Person has no pecuniary interest.</w:t>
      </w: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LLC received 43 shares of Common Stock of the Issuer in the distribution by NEA 15 on June 10, 2020.</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LLC received 3,369 shares of Common Stock of the Issuer in the distribution by NEA Partners 15 on June 10, 2020.</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LLC received 3,377 shares of Common Stock of the Issuer in the distribution by NEA Partners 15-OF on June 10, 2020.</w:t>
      </w:r>
    </w:p>
    <w:p>
      <w:pPr>
        <w:spacing w:after="0" w:line="50" w:lineRule="exact"/>
        <w:rPr>
          <w:rFonts w:ascii="Arial" w:cs="Arial" w:eastAsia="Arial" w:hAnsi="Arial"/>
          <w:sz w:val="13"/>
          <w:szCs w:val="13"/>
          <w:color w:val="008000"/>
        </w:rPr>
      </w:pPr>
    </w:p>
    <w:p>
      <w:pPr>
        <w:ind w:left="40" w:right="160" w:firstLine="7"/>
        <w:spacing w:after="0" w:line="266"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Scott D. Sandell, as trustee of the Blue Mountain Trust, dated April 29, 2019 (the "Blue Mountain Trust") received 13,305 shares of Common Stock of the Issuer in the distribution by NEA Partners 12 on June 10, 2020.</w:t>
      </w:r>
    </w:p>
    <w:p>
      <w:pPr>
        <w:spacing w:after="0" w:line="15" w:lineRule="exact"/>
        <w:rPr>
          <w:rFonts w:ascii="Arial" w:cs="Arial" w:eastAsia="Arial" w:hAnsi="Arial"/>
          <w:sz w:val="13"/>
          <w:szCs w:val="13"/>
          <w:color w:val="008000"/>
        </w:rPr>
      </w:pPr>
    </w:p>
    <w:p>
      <w:pPr>
        <w:ind w:left="40" w:right="180" w:firstLine="7"/>
        <w:spacing w:after="0" w:line="266"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held directly by the Blue Mountain Trust. The Reporting Person disclaims beneficial ownership within the meaning of Section 16 of the 1934 Act, as amended, of such portion of the Blue Mountain Trust shares in which the Reporting Person has no pecuniary interest.</w:t>
      </w:r>
    </w:p>
    <w:p>
      <w:pPr>
        <w:spacing w:after="0" w:line="15"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Blue Mountain Trust received 294 shares of Common Stock of the Issuer in the distribution by NEA Partners 15 on June 10, 2020.</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Blue Mountain Trust received 659 shares of Common Stock of the Issuer in the distribution by NEA Partners 15-OF on June 10, 2020.</w:t>
      </w:r>
    </w:p>
    <w:p>
      <w:pPr>
        <w:spacing w:after="0" w:line="50" w:lineRule="exact"/>
        <w:rPr>
          <w:rFonts w:ascii="Arial" w:cs="Arial" w:eastAsia="Arial" w:hAnsi="Arial"/>
          <w:sz w:val="13"/>
          <w:szCs w:val="13"/>
          <w:color w:val="008000"/>
        </w:rPr>
      </w:pPr>
    </w:p>
    <w:p>
      <w:pPr>
        <w:ind w:left="40" w:right="160" w:firstLine="7"/>
        <w:spacing w:after="0" w:line="266"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Genevieve P. Hardigg, as trustee of the Jennifer Ayer Sandell Rising River Trust, dated December 20, 2012 (the "Jennifer Ayer Sandell Rising River Trust") received 47 shares of Common Stock of the Issuer in the distribution by NEA Partners 15 on June 10, 2020.</w:t>
      </w:r>
    </w:p>
    <w:p>
      <w:pPr>
        <w:spacing w:after="0" w:line="15" w:lineRule="exact"/>
        <w:rPr>
          <w:rFonts w:ascii="Arial" w:cs="Arial" w:eastAsia="Arial" w:hAnsi="Arial"/>
          <w:sz w:val="13"/>
          <w:szCs w:val="13"/>
          <w:color w:val="008000"/>
        </w:rPr>
      </w:pPr>
    </w:p>
    <w:p>
      <w:pPr>
        <w:ind w:left="40" w:right="180" w:firstLine="7"/>
        <w:spacing w:after="0" w:line="266"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held directly by the Jennifer Sandell Rising River Trust. The Reporting Person disclaims beneficial ownership within the meaning of Section 16 of the 1934 Act, as amended, of such portion of the Jennifer Sandell Rising River Trust shares in which the Reporting Person has no pecuniary interest.</w:t>
      </w:r>
    </w:p>
    <w:p>
      <w:pPr>
        <w:sectPr>
          <w:pgSz w:w="11900" w:h="16838" w:orient="portrait"/>
          <w:cols w:equalWidth="0" w:num="1">
            <w:col w:w="11080"/>
          </w:cols>
          <w:pgMar w:left="460" w:top="187" w:right="359" w:bottom="0" w:gutter="0" w:footer="0" w:header="0"/>
        </w:sectPr>
      </w:pPr>
    </w:p>
    <w:bookmarkStart w:id="2" w:name="page3"/>
    <w:bookmarkEnd w:id="2"/>
    <w:p>
      <w:pPr>
        <w:ind w:right="40" w:firstLine="7"/>
        <w:spacing w:after="0" w:line="266"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Genevieve P. Hardigg, as trustee of the Scott Sandell Rising River Trust, dated December 20, 2012 (the "Scott Sandell Rising River Trust") received 47 shares of Common Stock of the Issuer in the distribution by NEA Partners 15 on June 10, 2020.</w:t>
      </w:r>
    </w:p>
    <w:p>
      <w:pPr>
        <w:spacing w:after="0" w:line="15" w:lineRule="exact"/>
        <w:rPr>
          <w:rFonts w:ascii="Arial" w:cs="Arial" w:eastAsia="Arial" w:hAnsi="Arial"/>
          <w:sz w:val="13"/>
          <w:szCs w:val="13"/>
          <w:color w:val="008000"/>
        </w:rPr>
      </w:pPr>
    </w:p>
    <w:p>
      <w:pPr>
        <w:ind w:firstLine="7"/>
        <w:spacing w:after="0" w:line="266"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held directly by the Scott Sandell Rising River Trust. The Reporting Person disclaims beneficial ownership within the meaning of Section 16 of the 1934 Act, as amended, of such portion of the Scott Sandell Rising River Trust shares in which the Reporting Person has no pecuniary interest.</w:t>
      </w:r>
    </w:p>
    <w:p>
      <w:pPr>
        <w:spacing w:after="0" w:line="15" w:lineRule="exact"/>
        <w:rPr>
          <w:rFonts w:ascii="Arial" w:cs="Arial" w:eastAsia="Arial" w:hAnsi="Arial"/>
          <w:sz w:val="13"/>
          <w:szCs w:val="13"/>
          <w:color w:val="008000"/>
        </w:rPr>
      </w:pPr>
    </w:p>
    <w:p>
      <w:pPr>
        <w:ind w:right="4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$6.21 to $6.495,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(29) to this Form 4.</w:t>
      </w:r>
    </w:p>
    <w:p>
      <w:pPr>
        <w:spacing w:after="0" w:line="25" w:lineRule="exact"/>
        <w:rPr>
          <w:rFonts w:ascii="Arial" w:cs="Arial" w:eastAsia="Arial" w:hAnsi="Arial"/>
          <w:sz w:val="13"/>
          <w:szCs w:val="13"/>
          <w:color w:val="008000"/>
        </w:rPr>
      </w:pPr>
    </w:p>
    <w:p>
      <w:pPr>
        <w:ind w:right="4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$6.29 to $6.585,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(30) to this Form 4.</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30" w:lineRule="auto"/>
        <w:rPr>
          <w:sz w:val="20"/>
          <w:szCs w:val="20"/>
          <w:color w:val="auto"/>
        </w:rPr>
      </w:pPr>
      <w:r>
        <w:rPr>
          <w:rFonts w:ascii="Arial" w:cs="Arial" w:eastAsia="Arial" w:hAnsi="Arial"/>
          <w:sz w:val="17"/>
          <w:szCs w:val="17"/>
          <w:color w:val="0000FF"/>
        </w:rPr>
        <w:t xml:space="preserve">/s/ Sasha Keough, attorney-in- </w:t>
      </w:r>
      <w:r>
        <w:rPr>
          <w:rFonts w:ascii="Arial" w:cs="Arial" w:eastAsia="Arial" w:hAnsi="Arial"/>
          <w:sz w:val="34"/>
          <w:szCs w:val="34"/>
          <w:color w:val="0000FF"/>
          <w:vertAlign w:val="subscript"/>
        </w:rPr>
        <w:t>06/12/2020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64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2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20"/>
      </w:cols>
      <w:pgMar w:left="500" w:top="13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3" Type="http://schemas.openxmlformats.org/officeDocument/2006/relationships/hyperlink" Target="http://www.sec.gov/cgi-bin/browse-edgar?action=getcompany&amp;CIK=0001237289"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2020-06-12T16:41:49Z</dcterms:created>
  <dcterms:modified xsi:type="dcterms:W3CDTF">2020-06-12T16:41:49Z</dcterms:modified>
</cp:coreProperties>
</file>