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w:t>
      </w:r>
    </w:p>
    <w:p>
      <w:pPr>
        <w:spacing w:after="0" w:line="39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039697107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October 23, 2017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8"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Rule 13d-1(b)</w:t>
      </w:r>
    </w:p>
    <w:p>
      <w:pPr>
        <w:spacing w:after="0" w:line="38" w:lineRule="exact"/>
        <w:rPr>
          <w:sz w:val="24"/>
          <w:szCs w:val="24"/>
          <w:color w:val="auto"/>
        </w:rPr>
      </w:pPr>
    </w:p>
    <w:p>
      <w:pPr>
        <w:jc w:val="both"/>
        <w:ind w:left="660" w:right="9520" w:hanging="4"/>
        <w:spacing w:after="0" w:line="305"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13d-1(c) </w:t>
      </w:r>
      <w:r>
        <w:rPr>
          <w:rFonts w:ascii="Arial" w:cs="Arial" w:eastAsia="Arial" w:hAnsi="Arial"/>
          <w:sz w:val="19"/>
          <w:szCs w:val="19"/>
          <w:color w:val="auto"/>
        </w:rPr>
        <w:t xml:space="preserve">o </w:t>
      </w:r>
      <w:r>
        <w:rPr>
          <w:rFonts w:ascii="Arial" w:cs="Arial" w:eastAsia="Arial" w:hAnsi="Arial"/>
          <w:sz w:val="16"/>
          <w:szCs w:val="16"/>
          <w:color w:val="auto"/>
        </w:rPr>
        <w:t>Rule 13d-1(d)</w:t>
      </w:r>
    </w:p>
    <w:p>
      <w:pPr>
        <w:spacing w:after="0" w:line="37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3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039697107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8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42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4"/>
              </w:rPr>
              <w:t>Page 2 of 8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5"/>
        </w:trPr>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7100" w:type="dxa"/>
            <w:vAlign w:val="bottom"/>
            <w:gridSpan w:val="4"/>
            <w:vMerge w:val="restart"/>
          </w:tcPr>
          <w:p>
            <w:pPr>
              <w:ind w:left="40"/>
              <w:spacing w:after="0"/>
              <w:rPr>
                <w:sz w:val="20"/>
                <w:szCs w:val="20"/>
                <w:color w:val="auto"/>
              </w:rPr>
            </w:pPr>
            <w:r>
              <w:rPr>
                <w:rFonts w:ascii="Arial" w:cs="Arial" w:eastAsia="Arial" w:hAnsi="Arial"/>
                <w:sz w:val="18"/>
                <w:szCs w:val="18"/>
                <w:color w:val="auto"/>
              </w:rPr>
              <w:t>Rock Springs Capital Management LP</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7100" w:type="dxa"/>
            <w:vAlign w:val="bottom"/>
            <w:gridSpan w:val="4"/>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2</w:t>
            </w:r>
          </w:p>
        </w:tc>
        <w:tc>
          <w:tcPr>
            <w:tcW w:w="300" w:type="dxa"/>
            <w:vAlign w:val="bottom"/>
            <w:tcBorders>
              <w:right w:val="single" w:sz="8" w:color="auto"/>
            </w:tcBorders>
          </w:tcPr>
          <w:p>
            <w:pPr>
              <w:spacing w:after="0"/>
              <w:rPr>
                <w:sz w:val="21"/>
                <w:szCs w:val="21"/>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3</w:t>
            </w:r>
          </w:p>
        </w:tc>
        <w:tc>
          <w:tcPr>
            <w:tcW w:w="300" w:type="dxa"/>
            <w:vAlign w:val="bottom"/>
            <w:tcBorders>
              <w:right w:val="single" w:sz="8" w:color="auto"/>
            </w:tcBorders>
          </w:tcPr>
          <w:p>
            <w:pPr>
              <w:spacing w:after="0"/>
              <w:rPr>
                <w:sz w:val="22"/>
                <w:szCs w:val="22"/>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gridSpan w:val="2"/>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4</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Pr>
          <w:p>
            <w:pPr>
              <w:spacing w:after="0"/>
              <w:rPr>
                <w:sz w:val="4"/>
                <w:szCs w:val="4"/>
                <w:color w:val="auto"/>
              </w:rPr>
            </w:pPr>
          </w:p>
        </w:tc>
        <w:tc>
          <w:tcPr>
            <w:tcW w:w="172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80" w:type="dxa"/>
            <w:vAlign w:val="bottom"/>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4800" w:type="dxa"/>
            <w:vAlign w:val="bottom"/>
            <w:gridSpan w:val="2"/>
            <w:vMerge w:val="continue"/>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3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2,390,187</w:t>
            </w: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8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800" w:type="dxa"/>
            <w:vAlign w:val="bottom"/>
            <w:tcBorders>
              <w:bottom w:val="single" w:sz="8" w:color="auto"/>
            </w:tcBorders>
            <w:gridSpan w:val="2"/>
            <w:vMerge w:val="continue"/>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48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3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800" w:type="dxa"/>
            <w:vAlign w:val="bottom"/>
            <w:gridSpan w:val="2"/>
            <w:vMerge w:val="continue"/>
          </w:tcPr>
          <w:p>
            <w:pPr>
              <w:spacing w:after="0"/>
              <w:rPr>
                <w:sz w:val="12"/>
                <w:szCs w:val="12"/>
                <w:color w:val="auto"/>
              </w:rPr>
            </w:pPr>
          </w:p>
        </w:tc>
        <w:tc>
          <w:tcPr>
            <w:tcW w:w="3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2,390,187</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800" w:type="dxa"/>
            <w:vAlign w:val="bottom"/>
            <w:gridSpan w:val="2"/>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9</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2,390,187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10</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42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4"/>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41"/>
              <w:spacing w:after="0"/>
              <w:rPr>
                <w:sz w:val="20"/>
                <w:szCs w:val="20"/>
                <w:color w:val="auto"/>
              </w:rPr>
            </w:pPr>
            <w:r>
              <w:rPr>
                <w:rFonts w:ascii="Arial" w:cs="Arial" w:eastAsia="Arial" w:hAnsi="Arial"/>
                <w:sz w:val="25"/>
                <w:szCs w:val="25"/>
                <w:color w:val="auto"/>
                <w:w w:val="86"/>
              </w:rPr>
              <w:t>11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5.02%</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12</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2"/>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40" w:type="dxa"/>
            <w:vAlign w:val="bottom"/>
            <w:tcBorders>
              <w:right w:val="single" w:sz="8" w:color="808080"/>
            </w:tcBorders>
            <w:shd w:val="clear" w:color="auto" w:fill="808080"/>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300" w:type="dxa"/>
            <w:vAlign w:val="bottom"/>
            <w:tcBorders>
              <w:right w:val="single" w:sz="8" w:color="808080"/>
            </w:tcBorders>
            <w:shd w:val="clear" w:color="auto" w:fill="808080"/>
          </w:tcPr>
          <w:p>
            <w:pPr>
              <w:spacing w:after="0"/>
              <w:rPr>
                <w:sz w:val="6"/>
                <w:szCs w:val="6"/>
                <w:color w:val="auto"/>
              </w:rPr>
            </w:pPr>
          </w:p>
        </w:tc>
        <w:tc>
          <w:tcPr>
            <w:tcW w:w="1420" w:type="dxa"/>
            <w:vAlign w:val="bottom"/>
            <w:tcBorders>
              <w:right w:val="single" w:sz="8" w:color="808080"/>
            </w:tcBorders>
            <w:shd w:val="clear" w:color="auto" w:fill="808080"/>
          </w:tcPr>
          <w:p>
            <w:pPr>
              <w:spacing w:after="0"/>
              <w:rPr>
                <w:sz w:val="6"/>
                <w:szCs w:val="6"/>
                <w:color w:val="auto"/>
              </w:rPr>
            </w:pPr>
          </w:p>
        </w:tc>
        <w:tc>
          <w:tcPr>
            <w:tcW w:w="880" w:type="dxa"/>
            <w:vAlign w:val="bottom"/>
            <w:tcBorders>
              <w:right w:val="single" w:sz="8" w:color="808080"/>
            </w:tcBorders>
            <w:shd w:val="clear" w:color="auto" w:fill="808080"/>
          </w:tcPr>
          <w:p>
            <w:pPr>
              <w:spacing w:after="0"/>
              <w:rPr>
                <w:sz w:val="6"/>
                <w:szCs w:val="6"/>
                <w:color w:val="auto"/>
              </w:rPr>
            </w:pPr>
          </w:p>
        </w:tc>
        <w:tc>
          <w:tcPr>
            <w:tcW w:w="220" w:type="dxa"/>
            <w:vAlign w:val="bottom"/>
            <w:tcBorders>
              <w:right w:val="single" w:sz="8" w:color="808080"/>
            </w:tcBorders>
            <w:shd w:val="clear" w:color="auto" w:fill="808080"/>
          </w:tcPr>
          <w:p>
            <w:pPr>
              <w:spacing w:after="0"/>
              <w:rPr>
                <w:sz w:val="6"/>
                <w:szCs w:val="6"/>
                <w:color w:val="auto"/>
              </w:rPr>
            </w:pPr>
          </w:p>
        </w:tc>
        <w:tc>
          <w:tcPr>
            <w:tcW w:w="4580" w:type="dxa"/>
            <w:vAlign w:val="bottom"/>
            <w:tcBorders>
              <w:right w:val="single" w:sz="8" w:color="808080"/>
            </w:tcBorders>
            <w:shd w:val="clear" w:color="auto" w:fill="808080"/>
          </w:tcPr>
          <w:p>
            <w:pPr>
              <w:spacing w:after="0"/>
              <w:rPr>
                <w:sz w:val="6"/>
                <w:szCs w:val="6"/>
                <w:color w:val="auto"/>
              </w:rPr>
            </w:pPr>
          </w:p>
        </w:tc>
        <w:tc>
          <w:tcPr>
            <w:tcW w:w="3420" w:type="dxa"/>
            <w:vAlign w:val="bottom"/>
            <w:tcBorders>
              <w:right w:val="single" w:sz="8" w:color="808080"/>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0"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3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039697107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8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42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4"/>
              </w:rPr>
              <w:t>Page 3 of 8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5"/>
        </w:trPr>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7100" w:type="dxa"/>
            <w:vAlign w:val="bottom"/>
            <w:gridSpan w:val="4"/>
            <w:vMerge w:val="restart"/>
          </w:tcPr>
          <w:p>
            <w:pPr>
              <w:ind w:left="40"/>
              <w:spacing w:after="0"/>
              <w:rPr>
                <w:sz w:val="20"/>
                <w:szCs w:val="20"/>
                <w:color w:val="auto"/>
              </w:rPr>
            </w:pPr>
            <w:r>
              <w:rPr>
                <w:rFonts w:ascii="Arial" w:cs="Arial" w:eastAsia="Arial" w:hAnsi="Arial"/>
                <w:sz w:val="18"/>
                <w:szCs w:val="18"/>
                <w:color w:val="auto"/>
              </w:rPr>
              <w:t>Rock Springs Capital Master Fund LP</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7100" w:type="dxa"/>
            <w:vAlign w:val="bottom"/>
            <w:gridSpan w:val="4"/>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2</w:t>
            </w:r>
          </w:p>
        </w:tc>
        <w:tc>
          <w:tcPr>
            <w:tcW w:w="300" w:type="dxa"/>
            <w:vAlign w:val="bottom"/>
            <w:tcBorders>
              <w:right w:val="single" w:sz="8" w:color="auto"/>
            </w:tcBorders>
          </w:tcPr>
          <w:p>
            <w:pPr>
              <w:spacing w:after="0"/>
              <w:rPr>
                <w:sz w:val="21"/>
                <w:szCs w:val="21"/>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3</w:t>
            </w:r>
          </w:p>
        </w:tc>
        <w:tc>
          <w:tcPr>
            <w:tcW w:w="300" w:type="dxa"/>
            <w:vAlign w:val="bottom"/>
            <w:tcBorders>
              <w:right w:val="single" w:sz="8" w:color="auto"/>
            </w:tcBorders>
          </w:tcPr>
          <w:p>
            <w:pPr>
              <w:spacing w:after="0"/>
              <w:rPr>
                <w:sz w:val="22"/>
                <w:szCs w:val="22"/>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gridSpan w:val="2"/>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4</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Cayman Islands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Pr>
          <w:p>
            <w:pPr>
              <w:spacing w:after="0"/>
              <w:rPr>
                <w:sz w:val="4"/>
                <w:szCs w:val="4"/>
                <w:color w:val="auto"/>
              </w:rPr>
            </w:pPr>
          </w:p>
        </w:tc>
        <w:tc>
          <w:tcPr>
            <w:tcW w:w="172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80" w:type="dxa"/>
            <w:vAlign w:val="bottom"/>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4800" w:type="dxa"/>
            <w:vAlign w:val="bottom"/>
            <w:gridSpan w:val="2"/>
            <w:vMerge w:val="continue"/>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3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2,390,187</w:t>
            </w: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8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800" w:type="dxa"/>
            <w:vAlign w:val="bottom"/>
            <w:tcBorders>
              <w:bottom w:val="single" w:sz="8" w:color="auto"/>
            </w:tcBorders>
            <w:gridSpan w:val="2"/>
            <w:vMerge w:val="continue"/>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48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3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800" w:type="dxa"/>
            <w:vAlign w:val="bottom"/>
            <w:gridSpan w:val="2"/>
            <w:vMerge w:val="continue"/>
          </w:tcPr>
          <w:p>
            <w:pPr>
              <w:spacing w:after="0"/>
              <w:rPr>
                <w:sz w:val="12"/>
                <w:szCs w:val="12"/>
                <w:color w:val="auto"/>
              </w:rPr>
            </w:pPr>
          </w:p>
        </w:tc>
        <w:tc>
          <w:tcPr>
            <w:tcW w:w="3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2,390,187</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800" w:type="dxa"/>
            <w:vAlign w:val="bottom"/>
            <w:gridSpan w:val="2"/>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9</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2,390,187</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10</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42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4"/>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41"/>
              <w:spacing w:after="0"/>
              <w:rPr>
                <w:sz w:val="20"/>
                <w:szCs w:val="20"/>
                <w:color w:val="auto"/>
              </w:rPr>
            </w:pPr>
            <w:r>
              <w:rPr>
                <w:rFonts w:ascii="Arial" w:cs="Arial" w:eastAsia="Arial" w:hAnsi="Arial"/>
                <w:sz w:val="25"/>
                <w:szCs w:val="25"/>
                <w:color w:val="auto"/>
                <w:w w:val="86"/>
              </w:rPr>
              <w:t>11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5.02%</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12</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PN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0" w:right="239" w:bottom="1440" w:gutter="0" w:footer="0" w:header="0"/>
        </w:sectPr>
      </w:pPr>
    </w:p>
    <w:bookmarkStart w:id="3" w:name="page4"/>
    <w:bookmarkEnd w:id="3"/>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039697107</w:t>
            </w:r>
          </w:p>
        </w:tc>
        <w:tc>
          <w:tcPr>
            <w:tcW w:w="458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4 of 8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Ardelyx, Inc.</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34175 Ardenwood Blvd., Suite 200</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Fremont, CA 94555</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Rock Springs Capital Management LP</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Rock Springs Capital Master Fund LP</w:t>
      </w:r>
    </w:p>
    <w:p>
      <w:pPr>
        <w:spacing w:after="0" w:line="99"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Principal Business Office, or, if none, Residence</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Rock Springs Capital Management LP</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650 South Exeter, Suite 1070</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Baltimore, MD 21202</w:t>
      </w:r>
    </w:p>
    <w:p>
      <w:pPr>
        <w:spacing w:after="0" w:line="31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Rock Springs Capital Master Fund LP</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 Walkers Corporate Limited</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Cayman Corporate Centre</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27 Hospital Road</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George Town, Grand Cayman, KY1-9008, Cayman Islands</w:t>
      </w:r>
    </w:p>
    <w:p>
      <w:pPr>
        <w:spacing w:after="0" w:line="20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 Citizenship</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Rock Springs Capital Management LP - Delaware</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Rock Springs Capital Master Fund LP - Cayman Islands</w:t>
      </w:r>
    </w:p>
    <w:p>
      <w:pPr>
        <w:spacing w:after="0" w:line="20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(d) Title of Class of Securities</w:t>
      </w:r>
    </w:p>
    <w:p>
      <w:pPr>
        <w:spacing w:after="0" w:line="121" w:lineRule="exact"/>
        <w:rPr>
          <w:sz w:val="20"/>
          <w:szCs w:val="20"/>
          <w:color w:val="auto"/>
        </w:rPr>
      </w:pPr>
    </w:p>
    <w:p>
      <w:pPr>
        <w:jc w:val="right"/>
        <w:ind w:right="5660"/>
        <w:spacing w:after="0"/>
        <w:rPr>
          <w:sz w:val="20"/>
          <w:szCs w:val="20"/>
          <w:color w:val="auto"/>
        </w:rPr>
      </w:pPr>
      <w:r>
        <w:rPr>
          <w:rFonts w:ascii="Arial" w:cs="Arial" w:eastAsia="Arial" w:hAnsi="Arial"/>
          <w:sz w:val="18"/>
          <w:szCs w:val="18"/>
          <w:color w:val="auto"/>
        </w:rPr>
        <w:t>Common Stock, par value, $0.0001 per share (the “Common Stock”)</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039697107</w:t>
      </w:r>
    </w:p>
    <w:p>
      <w:pPr>
        <w:sectPr>
          <w:pgSz w:w="11900" w:h="16838" w:orient="portrait"/>
          <w:cols w:equalWidth="0" w:num="1">
            <w:col w:w="11420"/>
          </w:cols>
          <w:pgMar w:left="240" w:top="690" w:right="2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039697107</w:t>
            </w:r>
          </w:p>
        </w:tc>
        <w:tc>
          <w:tcPr>
            <w:tcW w:w="458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5 of 8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9" w:lineRule="exact"/>
        <w:rPr>
          <w:sz w:val="20"/>
          <w:szCs w:val="20"/>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57" w:lineRule="exact"/>
        <w:rPr>
          <w:rFonts w:ascii="Arial" w:cs="Arial" w:eastAsia="Arial" w:hAnsi="Arial"/>
          <w:sz w:val="18"/>
          <w:szCs w:val="18"/>
          <w:color w:val="auto"/>
        </w:rPr>
      </w:pPr>
    </w:p>
    <w:p>
      <w:pPr>
        <w:ind w:left="600" w:hanging="295"/>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   An investment adviser in accordance with §240.13d-1(b)(1)(ii)(E);</w:t>
      </w:r>
    </w:p>
    <w:p>
      <w:pPr>
        <w:spacing w:after="0" w:line="104"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An employee benefit plan or endowment fund in accordance with §240.13d-1(b)(1)(ii)(F);</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right="80" w:hanging="595"/>
        <w:spacing w:after="0" w:line="237" w:lineRule="exact"/>
        <w:tabs>
          <w:tab w:leader="none" w:pos="603"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81"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non-U.S. institution in accordance with §240.13d-1(b)(1)(ii)(J);</w:t>
      </w:r>
    </w:p>
    <w:p>
      <w:pPr>
        <w:spacing w:after="0" w:line="130" w:lineRule="exact"/>
        <w:rPr>
          <w:rFonts w:ascii="Arial" w:cs="Arial" w:eastAsia="Arial" w:hAnsi="Arial"/>
          <w:sz w:val="18"/>
          <w:szCs w:val="18"/>
          <w:color w:val="auto"/>
        </w:rPr>
      </w:pPr>
    </w:p>
    <w:p>
      <w:pPr>
        <w:ind w:left="900" w:right="80" w:hanging="595"/>
        <w:spacing w:after="0" w:line="237" w:lineRule="exact"/>
        <w:tabs>
          <w:tab w:leader="none" w:pos="603"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-24765</wp:posOffset>
            </wp:positionV>
            <wp:extent cx="8001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039697107</w:t>
            </w:r>
          </w:p>
        </w:tc>
        <w:tc>
          <w:tcPr>
            <w:tcW w:w="458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6 of 8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33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jc w:val="both"/>
        <w:ind w:firstLine="792"/>
        <w:spacing w:after="0" w:line="279" w:lineRule="auto"/>
        <w:rPr>
          <w:sz w:val="20"/>
          <w:szCs w:val="20"/>
          <w:color w:val="auto"/>
        </w:rPr>
      </w:pPr>
      <w:r>
        <w:rPr>
          <w:rFonts w:ascii="Arial" w:cs="Arial" w:eastAsia="Arial" w:hAnsi="Arial"/>
          <w:sz w:val="17"/>
          <w:szCs w:val="17"/>
          <w:color w:val="auto"/>
        </w:rPr>
        <w:t>As of the date of this filing, the Reporting Persons may be deemed to be the beneficial owners of 2,390,187 shares of Common Stock. The Reporting Persons hold 2,250,000 shares of Common Stock and 140,187 warrants to purchase the Common Stock. The percent of class is determined by dividing the number of shares of Common Stock beneficially owned by the Reporting Persons by 47,585,326, the number of shares of Common Stock (47,445,139) issued and outstanding as of August 2, 2017 combined with the number of warrants (140,187) held by the Reporting Persons.</w:t>
      </w:r>
    </w:p>
    <w:p>
      <w:pPr>
        <w:spacing w:after="0" w:line="5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(a) Amount beneficially owned:</w:t>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Management LP: 2,390,187</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Master Fund LP: 2,390,187</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(b) Percent of class:</w:t>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Management LP: 5.02%</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Rock Springs Capital Master Fund LP: 5.02%</w:t>
      </w:r>
    </w:p>
    <w:p>
      <w:pPr>
        <w:spacing w:after="0" w:line="207" w:lineRule="exact"/>
        <w:rPr>
          <w:sz w:val="20"/>
          <w:szCs w:val="20"/>
          <w:color w:val="auto"/>
        </w:rPr>
      </w:pPr>
    </w:p>
    <w:p>
      <w:pPr>
        <w:ind w:left="1040" w:hanging="240"/>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225" w:lineRule="exact"/>
        <w:rPr>
          <w:rFonts w:ascii="Arial" w:cs="Arial" w:eastAsia="Arial" w:hAnsi="Arial"/>
          <w:sz w:val="18"/>
          <w:szCs w:val="18"/>
          <w:b w:val="1"/>
          <w:bCs w:val="1"/>
          <w:color w:val="auto"/>
        </w:rPr>
      </w:pPr>
    </w:p>
    <w:p>
      <w:pPr>
        <w:ind w:left="1800" w:right="6600" w:hanging="207"/>
        <w:spacing w:after="0" w:line="343" w:lineRule="auto"/>
        <w:tabs>
          <w:tab w:leader="none" w:pos="1817" w:val="left"/>
        </w:tabs>
        <w:numPr>
          <w:ilvl w:val="1"/>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Sole power to vote or to direct the vote: </w:t>
      </w:r>
      <w:r>
        <w:rPr>
          <w:rFonts w:ascii="Arial" w:cs="Arial" w:eastAsia="Arial" w:hAnsi="Arial"/>
          <w:sz w:val="15"/>
          <w:szCs w:val="15"/>
          <w:color w:val="auto"/>
        </w:rPr>
        <w:t>Rock Springs Capital Management LP: 0 Rock Springs Capital Master Fund LP: 0</w:t>
      </w:r>
    </w:p>
    <w:p>
      <w:pPr>
        <w:spacing w:after="0" w:line="124" w:lineRule="exact"/>
        <w:rPr>
          <w:rFonts w:ascii="Arial" w:cs="Arial" w:eastAsia="Arial" w:hAnsi="Arial"/>
          <w:sz w:val="15"/>
          <w:szCs w:val="15"/>
          <w:b w:val="1"/>
          <w:bCs w:val="1"/>
          <w:color w:val="auto"/>
        </w:rPr>
      </w:pPr>
    </w:p>
    <w:p>
      <w:pPr>
        <w:ind w:left="1800" w:right="6040" w:hanging="207"/>
        <w:spacing w:after="0" w:line="314" w:lineRule="auto"/>
        <w:tabs>
          <w:tab w:leader="none" w:pos="1867" w:val="left"/>
        </w:tabs>
        <w:numPr>
          <w:ilvl w:val="1"/>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Shared power to vote or to direct the vote: </w:t>
      </w:r>
      <w:r>
        <w:rPr>
          <w:rFonts w:ascii="Arial" w:cs="Arial" w:eastAsia="Arial" w:hAnsi="Arial"/>
          <w:sz w:val="16"/>
          <w:szCs w:val="16"/>
          <w:color w:val="auto"/>
        </w:rPr>
        <w:t>Rock Springs Capital Management LP: 2,390,187 Rock Springs Capital Master Fund LP: 2,390,187</w:t>
      </w:r>
    </w:p>
    <w:p>
      <w:pPr>
        <w:spacing w:after="0" w:line="142" w:lineRule="exact"/>
        <w:rPr>
          <w:rFonts w:ascii="Arial" w:cs="Arial" w:eastAsia="Arial" w:hAnsi="Arial"/>
          <w:sz w:val="16"/>
          <w:szCs w:val="16"/>
          <w:b w:val="1"/>
          <w:bCs w:val="1"/>
          <w:color w:val="auto"/>
        </w:rPr>
      </w:pPr>
    </w:p>
    <w:p>
      <w:pPr>
        <w:ind w:left="1800" w:right="5560" w:hanging="207"/>
        <w:spacing w:after="0" w:line="293" w:lineRule="auto"/>
        <w:tabs>
          <w:tab w:leader="none" w:pos="1917" w:val="left"/>
        </w:tabs>
        <w:numPr>
          <w:ilvl w:val="1"/>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Sole power to dispose or to direct the disposition of: </w:t>
      </w:r>
      <w:r>
        <w:rPr>
          <w:rFonts w:ascii="Arial" w:cs="Arial" w:eastAsia="Arial" w:hAnsi="Arial"/>
          <w:sz w:val="16"/>
          <w:szCs w:val="16"/>
          <w:color w:val="auto"/>
        </w:rPr>
        <w:t>Rock Springs Capital Management LP: 0</w:t>
      </w:r>
    </w:p>
    <w:p>
      <w:pPr>
        <w:spacing w:after="0" w:line="1"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Master Fund LP: 0</w:t>
      </w:r>
    </w:p>
    <w:p>
      <w:pPr>
        <w:spacing w:after="0" w:line="206" w:lineRule="exact"/>
        <w:rPr>
          <w:rFonts w:ascii="Arial" w:cs="Arial" w:eastAsia="Arial" w:hAnsi="Arial"/>
          <w:sz w:val="16"/>
          <w:szCs w:val="16"/>
          <w:b w:val="1"/>
          <w:bCs w:val="1"/>
          <w:color w:val="auto"/>
        </w:rPr>
      </w:pPr>
    </w:p>
    <w:p>
      <w:pPr>
        <w:ind w:left="1800" w:right="5340" w:hanging="207"/>
        <w:spacing w:after="0" w:line="293" w:lineRule="auto"/>
        <w:tabs>
          <w:tab w:leader="none" w:pos="1907" w:val="left"/>
        </w:tabs>
        <w:numPr>
          <w:ilvl w:val="1"/>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Shared power to dispose or to direct the disposition of: </w:t>
      </w:r>
      <w:r>
        <w:rPr>
          <w:rFonts w:ascii="Arial" w:cs="Arial" w:eastAsia="Arial" w:hAnsi="Arial"/>
          <w:sz w:val="16"/>
          <w:szCs w:val="16"/>
          <w:color w:val="auto"/>
        </w:rPr>
        <w:t>Rock Springs Capital Management LP: 2,390,187</w:t>
      </w:r>
    </w:p>
    <w:p>
      <w:pPr>
        <w:spacing w:after="0" w:line="1"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8"/>
          <w:szCs w:val="18"/>
          <w:color w:val="auto"/>
        </w:rPr>
        <w:t>Rock Springs Capital Master Fund LP: 2,390,187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jc w:val="both"/>
        <w:ind w:left="800"/>
        <w:spacing w:after="0" w:line="277" w:lineRule="auto"/>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Arial" w:cs="Arial" w:eastAsia="Arial" w:hAnsi="Arial"/>
          <w:sz w:val="17"/>
          <w:szCs w:val="17"/>
          <w:color w:val="auto"/>
        </w:rPr>
        <w:t>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ind w:left="1300" w:hanging="1296"/>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7" w:lineRule="exact"/>
        <w:rPr>
          <w:sz w:val="20"/>
          <w:szCs w:val="20"/>
          <w:color w:val="auto"/>
        </w:rPr>
      </w:pPr>
    </w:p>
    <w:p>
      <w:pPr>
        <w:jc w:val="both"/>
        <w:ind w:left="800"/>
        <w:spacing w:after="0" w:line="255"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906" w:right="2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039697107</w:t>
            </w:r>
          </w:p>
        </w:tc>
        <w:tc>
          <w:tcPr>
            <w:tcW w:w="4580" w:type="dxa"/>
            <w:vAlign w:val="bottom"/>
            <w:tcBorders>
              <w:right w:val="single" w:sz="8" w:color="auto"/>
            </w:tcBorders>
          </w:tcPr>
          <w:p>
            <w:pPr>
              <w:ind w:left="1640"/>
              <w:spacing w:after="0"/>
              <w:rPr>
                <w:sz w:val="20"/>
                <w:szCs w:val="20"/>
                <w:color w:val="auto"/>
              </w:rPr>
            </w:pPr>
            <w:r>
              <w:rPr>
                <w:rFonts w:ascii="Arial" w:cs="Arial" w:eastAsia="Arial" w:hAnsi="Arial"/>
                <w:sz w:val="18"/>
                <w:szCs w:val="18"/>
                <w:b w:val="1"/>
                <w:bCs w:val="1"/>
                <w:color w:val="auto"/>
              </w:rPr>
              <w:t>SCHEDULE 13G</w:t>
            </w:r>
          </w:p>
        </w:tc>
        <w:tc>
          <w:tcPr>
            <w:tcW w:w="3400" w:type="dxa"/>
            <w:vAlign w:val="bottom"/>
            <w:tcBorders>
              <w:top w:val="single" w:sz="8" w:color="auto"/>
              <w:right w:val="single" w:sz="8" w:color="auto"/>
            </w:tcBorders>
          </w:tcPr>
          <w:p>
            <w:pPr>
              <w:ind w:left="2000"/>
              <w:spacing w:after="0"/>
              <w:rPr>
                <w:sz w:val="20"/>
                <w:szCs w:val="20"/>
                <w:color w:val="auto"/>
              </w:rPr>
            </w:pPr>
            <w:r>
              <w:rPr>
                <w:rFonts w:ascii="Arial" w:cs="Arial" w:eastAsia="Arial" w:hAnsi="Arial"/>
                <w:sz w:val="18"/>
                <w:szCs w:val="18"/>
                <w:b w:val="1"/>
                <w:bCs w:val="1"/>
                <w:color w:val="auto"/>
                <w:w w:val="88"/>
              </w:rPr>
              <w:t>Page 7 of 8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2017</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Rock Springs Capital Management LP</w:t>
      </w:r>
    </w:p>
    <w:p>
      <w:pPr>
        <w:spacing w:after="0" w:line="225"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Rock Springs Capital Master Fund LP</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Rock Springs Capital Management LP</w:t>
      </w:r>
    </w:p>
    <w:p>
      <w:pPr>
        <w:spacing w:after="0" w:line="211"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ectPr>
          <w:pgSz w:w="11900" w:h="16838" w:orient="portrait"/>
          <w:cols w:equalWidth="0" w:num="1">
            <w:col w:w="11420"/>
          </w:cols>
          <w:pgMar w:left="240" w:top="474" w:right="2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039697107</w:t>
            </w:r>
          </w:p>
        </w:tc>
        <w:tc>
          <w:tcPr>
            <w:tcW w:w="4580" w:type="dxa"/>
            <w:vAlign w:val="bottom"/>
            <w:tcBorders>
              <w:right w:val="single" w:sz="8" w:color="auto"/>
            </w:tcBorders>
          </w:tcPr>
          <w:p>
            <w:pPr>
              <w:ind w:left="1640"/>
              <w:spacing w:after="0"/>
              <w:rPr>
                <w:sz w:val="20"/>
                <w:szCs w:val="20"/>
                <w:color w:val="auto"/>
              </w:rPr>
            </w:pPr>
            <w:r>
              <w:rPr>
                <w:rFonts w:ascii="Arial" w:cs="Arial" w:eastAsia="Arial" w:hAnsi="Arial"/>
                <w:sz w:val="18"/>
                <w:szCs w:val="18"/>
                <w:b w:val="1"/>
                <w:bCs w:val="1"/>
                <w:color w:val="auto"/>
              </w:rPr>
              <w:t>SCHEDULE 13G</w:t>
            </w:r>
          </w:p>
        </w:tc>
        <w:tc>
          <w:tcPr>
            <w:tcW w:w="3400" w:type="dxa"/>
            <w:vAlign w:val="bottom"/>
            <w:tcBorders>
              <w:top w:val="single" w:sz="8" w:color="auto"/>
              <w:right w:val="single" w:sz="8" w:color="auto"/>
            </w:tcBorders>
          </w:tcPr>
          <w:p>
            <w:pPr>
              <w:ind w:left="2000"/>
              <w:spacing w:after="0"/>
              <w:rPr>
                <w:sz w:val="20"/>
                <w:szCs w:val="20"/>
                <w:color w:val="auto"/>
              </w:rPr>
            </w:pPr>
            <w:r>
              <w:rPr>
                <w:rFonts w:ascii="Arial" w:cs="Arial" w:eastAsia="Arial" w:hAnsi="Arial"/>
                <w:sz w:val="18"/>
                <w:szCs w:val="18"/>
                <w:b w:val="1"/>
                <w:bCs w:val="1"/>
                <w:color w:val="auto"/>
                <w:w w:val="88"/>
              </w:rPr>
              <w:t>Page 8 of 8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2017</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Rock Springs Capital Management LP</w:t>
      </w:r>
    </w:p>
    <w:p>
      <w:pPr>
        <w:spacing w:after="0" w:line="225"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Rock Springs Capital Master Fund LP</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Rock Springs Capital Management LP</w:t>
      </w:r>
    </w:p>
    <w:p>
      <w:pPr>
        <w:spacing w:after="0" w:line="211"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Graham McPhail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Graham McPhail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sectPr>
      <w:pgSz w:w="11900" w:h="16838" w:orient="portrait"/>
      <w:cols w:equalWidth="0" w:num="1">
        <w:col w:w="11420"/>
      </w:cols>
      <w:pgMar w:left="240" w:top="4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2019-12-07T09:30:49Z</dcterms:created>
  <dcterms:modified xsi:type="dcterms:W3CDTF">2019-12-07T09:30:49Z</dcterms:modified>
</cp:coreProperties>
</file>