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RAAB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2,534</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7.0878</w:t>
            </w: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214,754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17"/>
              <w:spacing w:after="0"/>
              <w:rPr>
                <w:sz w:val="20"/>
                <w:szCs w:val="20"/>
                <w:color w:val="auto"/>
              </w:rPr>
            </w:pPr>
            <w:r>
              <w:rPr>
                <w:rFonts w:ascii="Arial" w:cs="Arial" w:eastAsia="Arial" w:hAnsi="Arial"/>
                <w:sz w:val="17"/>
                <w:szCs w:val="17"/>
                <w:color w:val="0000FF"/>
                <w:w w:val="92"/>
              </w:rPr>
              <w:t>24,364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9"/>
              </w:rPr>
              <w:t>1,000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Michael G. Raab, Trustee of the Michael G. Raab Living Trust dated July 25,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owned directly by trusts for the benefit of the Reporting Person's children.</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05/21/2021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2021-05-21T16:16:26Z</dcterms:created>
  <dcterms:modified xsi:type="dcterms:W3CDTF">2021-05-21T16:16:26Z</dcterms:modified>
</cp:coreProperties>
</file>