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650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Arasaratnam Narani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VP, Corporate Controller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5"/>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08/31/2015</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8"/>
              </w:rPr>
              <w:t>1,232</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13.991</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1,232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4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01/15/2016</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620" w:type="dxa"/>
            <w:vAlign w:val="bottom"/>
          </w:tcPr>
          <w:p>
            <w:pPr>
              <w:ind w:left="180"/>
              <w:spacing w:after="0"/>
              <w:rPr>
                <w:sz w:val="20"/>
                <w:szCs w:val="20"/>
                <w:color w:val="auto"/>
              </w:rPr>
            </w:pPr>
            <w:r>
              <w:rPr>
                <w:rFonts w:ascii="Arial" w:cs="Arial" w:eastAsia="Arial" w:hAnsi="Arial"/>
                <w:sz w:val="13"/>
                <w:szCs w:val="13"/>
                <w:color w:val="0000FF"/>
              </w:rPr>
              <w:t>20,540</w:t>
            </w:r>
          </w:p>
        </w:tc>
        <w:tc>
          <w:tcPr>
            <w:tcW w:w="36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3"/>
                <w:szCs w:val="13"/>
                <w:color w:val="0000FF"/>
              </w:rPr>
              <w:t>01/15/2026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20"/>
                <w:szCs w:val="20"/>
                <w:color w:val="auto"/>
              </w:rPr>
            </w:pPr>
            <w:r>
              <w:rPr>
                <w:rFonts w:ascii="Arial" w:cs="Arial" w:eastAsia="Arial" w:hAnsi="Arial"/>
                <w:sz w:val="17"/>
                <w:szCs w:val="17"/>
                <w:color w:val="0000FF"/>
                <w:w w:val="92"/>
              </w:rPr>
              <w:t>20,540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20,540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acquired under the Issuer's Employee Stock Purchase Plan on August 31, 2015.</w:t>
      </w:r>
    </w:p>
    <w:p>
      <w:pPr>
        <w:spacing w:after="0" w:line="51"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Narani</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Arasaratnam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405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2019-12-08T17:13:56Z</dcterms:created>
  <dcterms:modified xsi:type="dcterms:W3CDTF">2019-12-08T17:13:56Z</dcterms:modified>
</cp:coreProperties>
</file>