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Viswanathan Ravi</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07/18/2016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07/18/2016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763,651</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2,665,520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07/18/2016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763,650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2,665,519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7"/>
          </w:tcPr>
          <w:p>
            <w:pPr>
              <w:jc w:val="center"/>
              <w:ind w:left="7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0" w:type="dxa"/>
            <w:vAlign w:val="bottom"/>
            <w:gridSpan w:val="15"/>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Acquired from the issuer pursuant to a Securities Purchase Agreement dated July 14, 2016, with a closing date of July 18, 2016.</w:t>
      </w:r>
    </w:p>
    <w:p>
      <w:pPr>
        <w:spacing w:after="0" w:line="41" w:lineRule="exact"/>
        <w:rPr>
          <w:rFonts w:ascii="Arial" w:cs="Arial" w:eastAsia="Arial" w:hAnsi="Arial"/>
          <w:sz w:val="14"/>
          <w:szCs w:val="14"/>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07/20/2016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9386"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2019-12-08T18:06:56Z</dcterms:created>
  <dcterms:modified xsi:type="dcterms:W3CDTF">2019-12-08T18:06:56Z</dcterms:modified>
</cp:coreProperties>
</file>