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Lundberg Jan M</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03/23/2018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ARDELYX,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34175 ARDENWOOD BLVD, SUITE 200</w:t>
      </w:r>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FREMONT   CA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94555</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vMerge w:val="continue"/>
          </w:tcPr>
          <w:p>
            <w:pPr>
              <w:spacing w:after="0"/>
              <w:rPr>
                <w:sz w:val="16"/>
                <w:szCs w:val="16"/>
                <w:color w:val="auto"/>
              </w:rPr>
            </w:pP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32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Jan M.</w:t>
      </w:r>
      <w:r>
        <w:rPr>
          <w:sz w:val="20"/>
          <w:szCs w:val="20"/>
          <w:color w:val="auto"/>
        </w:rPr>
        <w:tab/>
      </w:r>
      <w:r>
        <w:rPr>
          <w:rFonts w:ascii="Times New Roman" w:cs="Times New Roman" w:eastAsia="Times New Roman" w:hAnsi="Times New Roman"/>
          <w:sz w:val="16"/>
          <w:szCs w:val="16"/>
          <w:color w:val="0000FF"/>
        </w:rPr>
        <w:t>03/27/2018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Lundberg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1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(i) the Chief Executive Officer of Ardelyx,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is currently Michael Raab, (ii) the Company's Chief Financial Officer, who is currently Mark Kaufmann and (iii) the Company's Executive Vice President, General Counsel, who is currently Elizabeth Grammer, and their respective successors, signing singly, with full power of substitution, as the undersigned's true and lawful attorney-in-fact to:</w:t>
      </w:r>
    </w:p>
    <w:p>
      <w:pPr>
        <w:spacing w:after="0" w:line="207" w:lineRule="exact"/>
        <w:rPr>
          <w:sz w:val="20"/>
          <w:szCs w:val="20"/>
          <w:color w:val="auto"/>
        </w:rPr>
      </w:pPr>
    </w:p>
    <w:p>
      <w:pPr>
        <w:ind w:left="1300" w:right="60" w:hanging="644"/>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20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3"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18"/>
          <w:szCs w:val="18"/>
          <w:b w:val="1"/>
          <w:bCs w:val="1"/>
          <w:color w:val="auto"/>
        </w:rPr>
        <w:t>Prior Powers of Attorney</w:t>
      </w:r>
      <w:r>
        <w:rPr>
          <w:rFonts w:ascii="Times New Roman" w:cs="Times New Roman" w:eastAsia="Times New Roman" w:hAnsi="Times New Roman"/>
          <w:sz w:val="18"/>
          <w:szCs w:val="18"/>
          <w:color w:val="auto"/>
        </w:rPr>
        <w:t>"), and the authority of the attorneys-in-fact named in any Prior Powers of Attorney is hereby revoked.</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26th day of March 2018.</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Jan M. 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Jan M. Lundberg, PhD</w:t>
      </w:r>
    </w:p>
    <w:sectPr>
      <w:pgSz w:w="11900" w:h="16838" w:orient="portrait"/>
      <w:cols w:equalWidth="0" w:num="1">
        <w:col w:w="11400"/>
      </w:cols>
      <w:pgMar w:left="240" w:top="1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480120"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2019-12-07T13:30:13Z</dcterms:created>
  <dcterms:modified xsi:type="dcterms:W3CDTF">2019-12-07T13:30:13Z</dcterms:modified>
</cp:coreProperties>
</file>