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40" w:hanging="1052"/>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17, 2025, Elizabeth Grammer informed Ardelyx, Inc. (the “Company”) of her resignation as the Company’s Chief Legal and Administrative Officer, effective December 31, 2025 (the “Resignation Date”).</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connection with Ms. Grammer’s resignation from her executive role with the Company, on December 17, 2025, the Company and Ms. Grammer entered into a Transition and Separation Agreement (the “Agreement”), pursuant to which Ms. Grammer is expected to continue to serve in the non-executive officer position of General Counsel until a successor is appointed, after which Ms. Grammer will serve as a Senior Advisor to the Company for a period of twenty-four (24) months (the “Advisory Period”). Under the Agreement, for so long as Ms. Grammer serves as the Company’s General Counsel, and thereafter, for the first twelve (12) months of the Advisory Period (the “Employment Period”), (i) Ms. Grammer will continue to be employed by the Company and receive her base salary as in effect immediately prior to the Resignation Date (the “Base Salary”), (ii) she will be eligible to receive her annual target bonus of 45% of her Base Salary for the year ending December 31, 2025, but will not be eligible for any ongoing bonus opportunity during her service as a Senior Advisor, and (iii) she will continue to receive benefits consistent with those provided to other senior non-executives. At the end of the Employment Period, if Ms. Grammer provides the Company a general release of claims, she will be paid an amount equal to one month of her annual base salary as in effect prior to the Resignation Date.</w:t>
      </w:r>
    </w:p>
    <w:p>
      <w:pPr>
        <w:spacing w:after="0" w:line="2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addition, (a) during the second twelve (12) months of the Advisory Period (the “Consulting Phase”), Ms. Grammer’s equity will continue to vest, (b) during the first nine (9) months of the Consulting Phase, Ms. Grammer will be eligible for an advisory payment in an amount to be determined, and (c) during the full Advisory Period, or if earlier, the date she becomes eligible for healthcare coverage from another employer, Ms. Grammer will be eligible to receive continued health care coverage for herself and her covered dependents under the provisions of the Consolidated Omnibus Budget Reconciliation</w:t>
      </w:r>
    </w:p>
    <w:p>
      <w:pPr>
        <w:spacing w:after="0" w:line="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Act of 1985 , as amended (“COBRA”), and the Company will pay the applicable COBRA premiums. The Agreement also includes a general release of claims in favor of the Company.</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foregoing is only a summary of the material terms of the Agreement, does not purport to be a complete description of the rights and obligations of the parties thereunder and is qualified in its entirety by reference to the Agreement, which the Company expects to file as an exhibit to its Annual Report on Form 10-K for the year ending December 31, 2025.</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Conner, M.D. has notified the Company of his decision to resign as Chief Medical Officer of the Company, effective December 31, 2025. Dr.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Conner resigned for personal reasons, and his resignation is not a result of any disagreement with the Company.</w:t>
      </w:r>
    </w:p>
    <w:p>
      <w:pPr>
        <w:spacing w:after="0" w:line="2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Dr. Laura Williams, the Company’s Chief Patient Officer and former Chief Medical Officer, will serve as interim Chief Medical Officer, assuming key responsibilities, including strategic guidance for the Company’s clinical development programs, until a new Chief Medical Officer is hired.</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9"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December 17, 2025</w:t>
      </w:r>
      <w:r>
        <w:rPr>
          <w:sz w:val="20"/>
          <w:szCs w:val="20"/>
          <w:color w:val="auto"/>
        </w:rPr>
        <w:tab/>
      </w:r>
      <w:r>
        <w:rPr>
          <w:rFonts w:ascii="Times New Roman" w:cs="Times New Roman" w:eastAsia="Times New Roman" w:hAnsi="Times New Roman"/>
          <w:sz w:val="17"/>
          <w:szCs w:val="17"/>
          <w:color w:val="auto"/>
        </w:rPr>
        <w:t>ARDELYX, INC.</w:t>
      </w:r>
    </w:p>
    <w:p>
      <w:pPr>
        <w:spacing w:after="0" w:line="200" w:lineRule="exact"/>
        <w:rPr>
          <w:sz w:val="20"/>
          <w:szCs w:val="20"/>
          <w:color w:val="auto"/>
        </w:rPr>
      </w:pPr>
    </w:p>
    <w:p>
      <w:pPr>
        <w:spacing w:after="0" w:line="214"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Susan Hohenleitner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26035</wp:posOffset>
            </wp:positionV>
            <wp:extent cx="3737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Susan Hohenleitner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2025-12-17T16:09:22Z</dcterms:created>
  <dcterms:modified xsi:type="dcterms:W3CDTF">2025-12-17T16:09:22Z</dcterms:modified>
</cp:coreProperties>
</file>