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276860</wp:posOffset>
            </wp:positionV>
            <wp:extent cx="51435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May 1, 2025, Ardelyx, Inc. (the “Company”) announced its financial results for the quarter ended March 31, 2025. The full text of the press release issued in connection with the announcement is furnished as Exhibit 99.1 to this Current Report on Form 8-K.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Exhibit No.</w:t>
            </w:r>
          </w:p>
        </w:tc>
        <w:tc>
          <w:tcPr>
            <w:tcW w:w="20" w:type="dxa"/>
            <w:vAlign w:val="bottom"/>
          </w:tcPr>
          <w:p>
            <w:pPr>
              <w:spacing w:after="0"/>
              <w:rPr>
                <w:sz w:val="16"/>
                <w:szCs w:val="16"/>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3"/>
        </w:trPr>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of Ardelyx, Inc.</w:t>
            </w:r>
          </w:p>
        </w:tc>
        <w:tc>
          <w:tcPr>
            <w:tcW w:w="7880" w:type="dxa"/>
            <w:vAlign w:val="bottom"/>
            <w:gridSpan w:val="2"/>
          </w:tcPr>
          <w:p>
            <w:pPr>
              <w:spacing w:after="0"/>
              <w:rPr>
                <w:sz w:val="17"/>
                <w:szCs w:val="17"/>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81"/>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May 1, 2025</w:t>
      </w:r>
      <w:r>
        <w:rPr>
          <w:sz w:val="20"/>
          <w:szCs w:val="20"/>
          <w:color w:val="auto"/>
        </w:rPr>
        <w:tab/>
      </w:r>
      <w:r>
        <w:rPr>
          <w:rFonts w:ascii="Times New Roman" w:cs="Times New Roman" w:eastAsia="Times New Roman" w:hAnsi="Times New Roman"/>
          <w:sz w:val="17"/>
          <w:szCs w:val="17"/>
          <w:b w:val="1"/>
          <w:bCs w:val="1"/>
          <w:color w:val="auto"/>
        </w:rPr>
        <w:t>ARDELYX, INC.</w:t>
      </w:r>
    </w:p>
    <w:p>
      <w:pPr>
        <w:spacing w:after="0" w:line="243"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ectPr>
          <w:pgSz w:w="11900" w:h="16838" w:orient="portrait"/>
          <w:cols w:equalWidth="0" w:num="1">
            <w:col w:w="11220"/>
          </w:cols>
          <w:pgMar w:left="320" w:top="114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Reports First Quarter 2025 Financial Results and Provides Business Update</w:t>
      </w:r>
    </w:p>
    <w:p>
      <w:pPr>
        <w:spacing w:after="0" w:line="254" w:lineRule="exact"/>
        <w:rPr>
          <w:sz w:val="20"/>
          <w:szCs w:val="20"/>
          <w:color w:val="auto"/>
        </w:rPr>
      </w:pPr>
    </w:p>
    <w:p>
      <w:pPr>
        <w:jc w:val="center"/>
        <w:ind w:left="340" w:right="1740"/>
        <w:spacing w:after="0" w:line="437" w:lineRule="auto"/>
        <w:rPr>
          <w:sz w:val="20"/>
          <w:szCs w:val="20"/>
          <w:color w:val="auto"/>
        </w:rPr>
      </w:pPr>
      <w:r>
        <w:rPr>
          <w:rFonts w:ascii="Times New Roman" w:cs="Times New Roman" w:eastAsia="Times New Roman" w:hAnsi="Times New Roman"/>
          <w:sz w:val="18"/>
          <w:szCs w:val="18"/>
          <w:i w:val="1"/>
          <w:iCs w:val="1"/>
          <w:color w:val="auto"/>
        </w:rPr>
        <w:t>Company reports $74.1 million in Q1 total revenue, reflecting 61% growth year-over-year IBSRELA net product sales revenue of $44.4 million; XPHOZAH net product sales revenue of $23.4 million Company ends Q1 with $214.0 million in cash, cash equivalents and investments Conference call scheduled for 4:30 PM Eastern Time</w:t>
      </w:r>
    </w:p>
    <w:p>
      <w:pPr>
        <w:spacing w:after="0" w:line="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May 1, 2025 </w:t>
      </w:r>
      <w:r>
        <w:rPr>
          <w:rFonts w:ascii="Times New Roman" w:cs="Times New Roman" w:eastAsia="Times New Roman" w:hAnsi="Times New Roman"/>
          <w:sz w:val="18"/>
          <w:szCs w:val="18"/>
          <w:color w:val="auto"/>
        </w:rPr>
        <w:t>- Ardelyx, Inc. (Nasdaq: ARDX), a biopharmaceutical company founded with a mission to discover, develop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innovative, first-in-class medicines that meet significant unmet medical needs, today reported financial results for the first quarter ended March 31, 2025 and provided a business update.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“Ardelyx delivered an outstanding first quarter, generating $74 million in total revenue and advancing our key strategic priorities,” said Mike Raab, president and chief executive officer of Ardelyx. “As IBSRELA enters its third full year on the market, it achieved exceptional year-over-year growth of 57%, a testament to the significant clinical value it delivers and the strength of our commercial strategy. XPHOZAH also posted strong year-over-year growth, despite ongoing disruption in the dialysis community, underscoring the high unmet need among patients and the momentum built by the team in 2024. The results affirm our confidence in XPHOZAH’s long-term potential and the important and expanding impact on care for patients with chronic kidney disease on dialysis. Importantly, we continued to thoughtfully manage our operating expenses, preserving a strong balance sheet, and positioned the company for success and value creation as we execute on our mission to improve the lives of patients with serious diseases.”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Raab continued, “Looking ahead to the next quarter and the remainder of 2025, we remain sharply focused on the strategic priorities fueling our momentum: accelerating commercial growth for IBSRELA, deepening the adoption and impact of XPHOZAH, building a pipeline of innovative therapies, and maintaining a disciplined financial performance. We are confident in our ability to continue delivering meaningful results for patients, healthcare providers and shareholders.”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IBSRELA</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records $44.4 million in net product sales revenue in Q1 2025</w:t>
      </w:r>
    </w:p>
    <w:p>
      <w:pPr>
        <w:ind w:right="420"/>
        <w:spacing w:after="0" w:line="258" w:lineRule="auto"/>
        <w:rPr>
          <w:sz w:val="20"/>
          <w:szCs w:val="20"/>
          <w:color w:val="auto"/>
        </w:rPr>
      </w:pPr>
      <w:r>
        <w:rPr>
          <w:rFonts w:ascii="Times New Roman" w:cs="Times New Roman" w:eastAsia="Times New Roman" w:hAnsi="Times New Roman"/>
          <w:sz w:val="18"/>
          <w:szCs w:val="18"/>
          <w:color w:val="auto"/>
        </w:rPr>
        <w:t>U.S. net product sales revenue for IBSRELA during the first quarter of 2025 was $44.4 million, reflecting significant year-over-year growth of approximately 57%. The strong growth was driven by increases across key demand indicators, including total writers and new and refill prescriptions.</w:t>
      </w:r>
    </w:p>
    <w:p>
      <w:pPr>
        <w:spacing w:after="0" w:line="129" w:lineRule="exact"/>
        <w:rPr>
          <w:sz w:val="20"/>
          <w:szCs w:val="20"/>
          <w:color w:val="auto"/>
        </w:rPr>
      </w:pPr>
    </w:p>
    <w:p>
      <w:pPr>
        <w:ind w:right="1820"/>
        <w:spacing w:after="0" w:line="312" w:lineRule="auto"/>
        <w:rPr>
          <w:sz w:val="20"/>
          <w:szCs w:val="20"/>
          <w:color w:val="auto"/>
        </w:rPr>
      </w:pPr>
      <w:r>
        <w:rPr>
          <w:rFonts w:ascii="Times New Roman" w:cs="Times New Roman" w:eastAsia="Times New Roman" w:hAnsi="Times New Roman"/>
          <w:sz w:val="18"/>
          <w:szCs w:val="18"/>
          <w:color w:val="auto"/>
        </w:rPr>
        <w:t xml:space="preserve">Ardelyx continues to expect full-year 2025 U.S. net product sales revenue for IBSRELA to be between $240.0 and $250.0 million. </w:t>
      </w:r>
      <w:r>
        <w:rPr>
          <w:rFonts w:ascii="Times New Roman" w:cs="Times New Roman" w:eastAsia="Times New Roman" w:hAnsi="Times New Roman"/>
          <w:sz w:val="18"/>
          <w:szCs w:val="18"/>
          <w:b w:val="1"/>
          <w:bCs w:val="1"/>
          <w:color w:val="auto"/>
        </w:rPr>
        <w:t>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records $23.4 million net product sales revenue during Q1 2025</w:t>
      </w:r>
    </w:p>
    <w:p>
      <w:pPr>
        <w:spacing w:after="0" w:line="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U.S. net product sales revenue for XPHOZAH during the first quarter of 2025 was $23.4 million, driven by strong commercial momentum and execution. Net sales revenue during this period reflects the release of $3.8 million of prior periods’ estimated product returns for XPHOZAH, based on assumptions from actual returns history and other data supporting an expectation of minimal returns. Excluding the returns reserve release, net sales revenue for XPHOZAH grew 30% compared to the first quarter of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Corporate Developments</w:t>
      </w:r>
    </w:p>
    <w:p>
      <w:pPr>
        <w:spacing w:after="0" w:line="31"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the company announced the appointment of Merdad Parsey, M.D. Ph.D., to its Board of Directors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the company announced the appointment of Laura A. Williams, M.D., M.P.H., as the company’s first Chief Patient Officer.</w:t>
      </w:r>
    </w:p>
    <w:p>
      <w:pPr>
        <w:spacing w:after="0" w:line="9" w:lineRule="exact"/>
        <w:rPr>
          <w:rFonts w:ascii="Times New Roman" w:cs="Times New Roman" w:eastAsia="Times New Roman" w:hAnsi="Times New Roman"/>
          <w:sz w:val="18"/>
          <w:szCs w:val="18"/>
          <w:color w:val="auto"/>
        </w:rPr>
      </w:pPr>
    </w:p>
    <w:p>
      <w:pPr>
        <w:ind w:left="340" w:right="320" w:hanging="332"/>
        <w:spacing w:after="0" w:line="26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the company announced the approval of tenapanor in China for hyperphosphatemia. Ardelyx earned a $5.0 million milestone payment from Fosun Pharma following the approval.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Results</w:t>
      </w:r>
    </w:p>
    <w:p>
      <w:pPr>
        <w:spacing w:after="0" w:line="31" w:lineRule="exact"/>
        <w:rPr>
          <w:sz w:val="20"/>
          <w:szCs w:val="20"/>
          <w:color w:val="auto"/>
        </w:rPr>
      </w:pPr>
    </w:p>
    <w:p>
      <w:pPr>
        <w:ind w:left="340" w:right="80" w:hanging="332"/>
        <w:spacing w:after="0" w:line="26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2025, the company had total cash, cash equivalents and short-term investments of $214.0 million, as compared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cash equivalents and short-term investments of $250.1 million as of December 31, 2024.</w:t>
      </w:r>
    </w:p>
    <w:p>
      <w:pPr>
        <w:spacing w:after="0" w:line="123" w:lineRule="exact"/>
        <w:rPr>
          <w:rFonts w:ascii="Times New Roman" w:cs="Times New Roman" w:eastAsia="Times New Roman" w:hAnsi="Times New Roman"/>
          <w:sz w:val="18"/>
          <w:szCs w:val="18"/>
          <w:color w:val="auto"/>
        </w:rPr>
      </w:pPr>
    </w:p>
    <w:p>
      <w:pPr>
        <w:ind w:left="340" w:right="120" w:hanging="332"/>
        <w:spacing w:after="0" w:line="286"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Total revenue for the quarter ended March 31, 2025 was $74.1 million, compared to $46.0 million in total revenue during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2024, reflecting increased net product sales and licensing revenue.</w:t>
      </w:r>
    </w:p>
    <w:p>
      <w:pPr>
        <w:sectPr>
          <w:pgSz w:w="11900" w:h="16838" w:orient="portrait"/>
          <w:cols w:equalWidth="0" w:num="1">
            <w:col w:w="11240"/>
          </w:cols>
          <w:pgMar w:left="320" w:top="1427" w:right="339" w:bottom="1440" w:gutter="0" w:footer="0" w:header="0"/>
        </w:sectPr>
      </w:pPr>
    </w:p>
    <w:bookmarkStart w:id="4" w:name="page5"/>
    <w:bookmarkEnd w:id="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2917190</wp:posOffset>
            </wp:positionH>
            <wp:positionV relativeFrom="page">
              <wp:posOffset>200660</wp:posOffset>
            </wp:positionV>
            <wp:extent cx="172275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   IBSRELA U.S. net product sales revenue was $44.4 million, compared to $28.4 million during the same period of 2024.</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XPHOZAH U.S. net product sales revenue was $23.4 million, compared to $15.2 million during the same period of 2024.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Product supply revenue was $0.3 million, compared to $2.1 million during the same period of 2024.</w:t>
      </w:r>
    </w:p>
    <w:p>
      <w:pPr>
        <w:spacing w:after="0" w:line="9" w:lineRule="exact"/>
        <w:rPr>
          <w:sz w:val="20"/>
          <w:szCs w:val="20"/>
          <w:color w:val="auto"/>
        </w:rPr>
      </w:pPr>
    </w:p>
    <w:p>
      <w:pPr>
        <w:ind w:left="1300" w:right="140" w:hanging="324"/>
        <w:spacing w:after="0" w:line="250" w:lineRule="auto"/>
        <w:rPr>
          <w:sz w:val="20"/>
          <w:szCs w:val="20"/>
          <w:color w:val="auto"/>
        </w:rPr>
      </w:pPr>
      <w:r>
        <w:rPr>
          <w:rFonts w:ascii="Times New Roman" w:cs="Times New Roman" w:eastAsia="Times New Roman" w:hAnsi="Times New Roman"/>
          <w:sz w:val="18"/>
          <w:szCs w:val="18"/>
          <w:color w:val="auto"/>
        </w:rPr>
        <w:t>– Licensing revenue was $5.0 million, compared to $17 thousand during the same period of 2024. The increase is related to a $5.0 million milestone from Fosun Pharma following the approval of tenapanor for hyperphosphatemia in China.</w:t>
      </w:r>
    </w:p>
    <w:p>
      <w:pPr>
        <w:ind w:left="1300" w:right="380" w:hanging="324"/>
        <w:spacing w:after="0" w:line="260" w:lineRule="auto"/>
        <w:rPr>
          <w:sz w:val="20"/>
          <w:szCs w:val="20"/>
          <w:color w:val="auto"/>
        </w:rPr>
      </w:pPr>
      <w:r>
        <w:rPr>
          <w:rFonts w:ascii="Times New Roman" w:cs="Times New Roman" w:eastAsia="Times New Roman" w:hAnsi="Times New Roman"/>
          <w:sz w:val="18"/>
          <w:szCs w:val="18"/>
          <w:color w:val="auto"/>
        </w:rPr>
        <w:t>– Non-cash royalty revenue related to the sale of future royalties was $1.0 million, compared to $0.4 million during the same period of 2024.</w:t>
      </w:r>
    </w:p>
    <w:p>
      <w:pPr>
        <w:spacing w:after="0" w:line="204" w:lineRule="exact"/>
        <w:rPr>
          <w:sz w:val="20"/>
          <w:szCs w:val="20"/>
          <w:color w:val="auto"/>
        </w:rPr>
      </w:pPr>
    </w:p>
    <w:p>
      <w:pPr>
        <w:ind w:left="340" w:right="420" w:hanging="332"/>
        <w:spacing w:after="0" w:line="286"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$14.9 million for the quarter ended March 31, 2025, compared to $10.6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March 31, 2024. The increase was primarily related to increased engagement with the scientific and medical communities.</w:t>
      </w:r>
    </w:p>
    <w:p>
      <w:pPr>
        <w:spacing w:after="0" w:line="100" w:lineRule="exact"/>
        <w:rPr>
          <w:rFonts w:ascii="Times New Roman" w:cs="Times New Roman" w:eastAsia="Times New Roman" w:hAnsi="Times New Roman"/>
          <w:sz w:val="18"/>
          <w:szCs w:val="18"/>
          <w:color w:val="auto"/>
        </w:rPr>
      </w:pPr>
    </w:p>
    <w:p>
      <w:pPr>
        <w:ind w:left="340" w:hanging="332"/>
        <w:spacing w:after="0" w:line="268"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$83.2 million for the quarter ended March 31, 2025, compared to $53.0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quarter ended March 31, 2024. The increase was primarily related to increased costs associated with the ongoing commercialization of IBSRELA and XPHOZAH.</w:t>
      </w:r>
    </w:p>
    <w:p>
      <w:pPr>
        <w:spacing w:after="0" w:line="116" w:lineRule="exact"/>
        <w:rPr>
          <w:rFonts w:ascii="Times New Roman" w:cs="Times New Roman" w:eastAsia="Times New Roman" w:hAnsi="Times New Roman"/>
          <w:sz w:val="18"/>
          <w:szCs w:val="18"/>
          <w:color w:val="auto"/>
        </w:rPr>
      </w:pPr>
    </w:p>
    <w:p>
      <w:pPr>
        <w:ind w:left="340" w:right="40" w:hanging="332"/>
        <w:spacing w:after="0" w:line="268"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for the quarter ended March 31, 2025 was $41.1 million, or $(0.17) per share, compared to net loss of $26.5 million, or $(0.11)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for the quarter ended March 31, 2024. The net loss for the first quarter of 2025 included share-based compensation expense of $12.1 million and non-cash interest expense related to the sale of future royalties of $2.1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today, May 1, 2025, at 4:30 PM ET to discuss today’s announcement. To participate in the conference call, please dial (877) 346-6112 (domestic) or (848) 280-6350 (international) and ask to be joined into the Ardelyx call. A webcast of the call can also be accessed by visiting the Investor page of the company’s website, </w:t>
      </w:r>
      <w:r>
        <w:rPr>
          <w:rFonts w:ascii="Times New Roman" w:cs="Times New Roman" w:eastAsia="Times New Roman" w:hAnsi="Times New Roman"/>
          <w:sz w:val="18"/>
          <w:szCs w:val="18"/>
          <w:u w:val="single" w:color="auto"/>
          <w:color w:val="0000FF"/>
        </w:rPr>
        <w:t>https://ardelyx.com/</w:t>
      </w:r>
      <w:r>
        <w:rPr>
          <w:rFonts w:ascii="Times New Roman" w:cs="Times New Roman" w:eastAsia="Times New Roman" w:hAnsi="Times New Roman"/>
          <w:sz w:val="18"/>
          <w:szCs w:val="18"/>
          <w:color w:val="auto"/>
        </w:rPr>
        <w:t>, and will be available on the website for 30 days following the call.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796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79692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WARNING: RISK OF SERIOUS DEHYDRATION IN PEDIATRIC PATIENTS</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IBSRELA is contraindicated in patients less than 6 years of age; in nonclinical studies in young juvenile rats administration of tenapanor caused</w:t>
      </w:r>
    </w:p>
    <w:p>
      <w:pPr>
        <w:spacing w:after="0" w:line="117" w:lineRule="exact"/>
        <w:rPr>
          <w:sz w:val="20"/>
          <w:szCs w:val="20"/>
          <w:color w:val="auto"/>
        </w:rPr>
      </w:pPr>
    </w:p>
    <w:p>
      <w:pPr>
        <w:ind w:left="40" w:right="740"/>
        <w:spacing w:after="0" w:line="391" w:lineRule="auto"/>
        <w:rPr>
          <w:sz w:val="20"/>
          <w:szCs w:val="20"/>
          <w:color w:val="auto"/>
        </w:rPr>
      </w:pPr>
      <w:r>
        <w:rPr>
          <w:rFonts w:ascii="Times New Roman" w:cs="Times New Roman" w:eastAsia="Times New Roman" w:hAnsi="Times New Roman"/>
          <w:sz w:val="18"/>
          <w:szCs w:val="18"/>
          <w:color w:val="auto"/>
        </w:rPr>
        <w:t>deaths presumed to be due to dehydration. Avoid use of IBSRELA in patients 6 years to less than 12 years of age. The safety and effectiveness of IBSRELA have not been established in patients less than 18 years of age.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IBSRELA is contraindicated in patients less than 6 years of age due to the risk of serious dehydration.</w:t>
      </w:r>
    </w:p>
    <w:p>
      <w:pPr>
        <w:spacing w:after="0" w:line="13"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IBSRELA is contraindicated in patients with known or suspected mechanical gastrointestinal obstruction.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Serious Dehydration in Pediatric Patients</w:t>
      </w:r>
    </w:p>
    <w:p>
      <w:pPr>
        <w:spacing w:after="0" w:line="31" w:lineRule="exact"/>
        <w:rPr>
          <w:sz w:val="20"/>
          <w:szCs w:val="20"/>
          <w:color w:val="auto"/>
        </w:rPr>
      </w:pPr>
    </w:p>
    <w:p>
      <w:pPr>
        <w:ind w:left="660" w:right="100" w:hanging="328"/>
        <w:spacing w:after="0" w:line="246"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22" w:lineRule="exact"/>
        <w:rPr>
          <w:rFonts w:ascii="Arial" w:cs="Arial" w:eastAsia="Arial" w:hAnsi="Arial"/>
          <w:sz w:val="22"/>
          <w:szCs w:val="22"/>
          <w:color w:val="auto"/>
        </w:rPr>
      </w:pPr>
    </w:p>
    <w:p>
      <w:pPr>
        <w:jc w:val="both"/>
        <w:ind w:left="660" w:right="280" w:hanging="328"/>
        <w:spacing w:after="0" w:line="239"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ectPr>
          <w:pgSz w:w="11900" w:h="16838" w:orient="portrait"/>
          <w:cols w:equalWidth="0" w:num="1">
            <w:col w:w="11240"/>
          </w:cols>
          <w:pgMar w:left="320" w:top="14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200025</wp:posOffset>
            </wp:positionV>
            <wp:extent cx="172275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Diarrhea</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INDICATION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IBSRELA (tenapanor) is indicated for the treatment of Irritable Bowel Syndrome with Constipation (IBS-C) in adults.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Please see full </w:t>
      </w:r>
      <w:r>
        <w:rPr>
          <w:rFonts w:ascii="Times New Roman" w:cs="Times New Roman" w:eastAsia="Times New Roman" w:hAnsi="Times New Roman"/>
          <w:sz w:val="18"/>
          <w:szCs w:val="18"/>
          <w:b w:val="1"/>
          <w:bCs w:val="1"/>
          <w:u w:val="single" w:color="auto"/>
          <w:color w:val="0000FF"/>
        </w:rPr>
        <w:t>Prescribing Information</w:t>
      </w:r>
      <w:r>
        <w:rPr>
          <w:rFonts w:ascii="Times New Roman" w:cs="Times New Roman" w:eastAsia="Times New Roman" w:hAnsi="Times New Roman"/>
          <w:sz w:val="18"/>
          <w:szCs w:val="18"/>
          <w:b w:val="1"/>
          <w:bCs w:val="1"/>
          <w:color w:val="auto"/>
          <w:highlight w:val="white"/>
        </w:rPr>
        <w:t>, including Boxed Warning, for additional risk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(XPHOZAH)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XPHOZAH is contraindicated in:</w:t>
      </w:r>
    </w:p>
    <w:p>
      <w:pPr>
        <w:spacing w:after="0" w:line="1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Pediatric patients under 6 years of age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Patients with known or suspected mechanical gastrointestinal obstruction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9" w:lineRule="exact"/>
        <w:rPr>
          <w:sz w:val="20"/>
          <w:szCs w:val="20"/>
          <w:color w:val="auto"/>
        </w:rPr>
      </w:pPr>
    </w:p>
    <w:p>
      <w:pPr>
        <w:ind w:right="1580"/>
        <w:spacing w:after="0" w:line="344" w:lineRule="auto"/>
        <w:rPr>
          <w:sz w:val="20"/>
          <w:szCs w:val="20"/>
          <w:color w:val="auto"/>
        </w:rPr>
      </w:pPr>
      <w:r>
        <w:rPr>
          <w:rFonts w:ascii="Times New Roman" w:cs="Times New Roman" w:eastAsia="Times New Roman" w:hAnsi="Times New Roman"/>
          <w:sz w:val="18"/>
          <w:szCs w:val="18"/>
          <w:color w:val="auto"/>
        </w:rPr>
        <w:t xml:space="preserve">Patients may experience severe diarrhea. Treatment with XPHOZAH should be discontinued in patients who develop severe diarrhea. </w:t>
      </w:r>
      <w:r>
        <w:rPr>
          <w:rFonts w:ascii="Times New Roman" w:cs="Times New Roman" w:eastAsia="Times New Roman" w:hAnsi="Times New Roman"/>
          <w:sz w:val="18"/>
          <w:szCs w:val="18"/>
          <w:b w:val="1"/>
          <w:bCs w:val="1"/>
          <w:color w:val="auto"/>
        </w:rPr>
        <w:t>MOST COMMON ADVERSE REACTIONS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INDICATION</w:t>
      </w:r>
    </w:p>
    <w:p>
      <w:pPr>
        <w:spacing w:after="0" w:line="3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safety information, please see full </w:t>
      </w:r>
      <w:r>
        <w:rPr>
          <w:rFonts w:ascii="Times New Roman" w:cs="Times New Roman" w:eastAsia="Times New Roman" w:hAnsi="Times New Roman"/>
          <w:sz w:val="18"/>
          <w:szCs w:val="18"/>
          <w:u w:val="single" w:color="auto"/>
          <w:color w:val="0000FF"/>
        </w:rPr>
        <w:t>Prescribing Information</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3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Ardelyx was founded with a mission to discover, develop and commercialize innovative, first-in-class medicines that meet significant unmet medical needs. Ardelyx has two commercial products approved in the United States,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and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as well as early-stage pipeline candidates. Ardelyx has agreements for the development and commercialization of tenapanor outside of the U.S. Kyowa Kirin commercializes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for hyperphosphatemia in Japan. A New Drug Application for tenapanor for hyperphosphatemia has been approved in China with Fosun Pharma. Knight Therapeutics commercializes IBSRELA in Canada. For more information, please visit </w:t>
      </w:r>
      <w:r>
        <w:rPr>
          <w:rFonts w:ascii="Times New Roman" w:cs="Times New Roman" w:eastAsia="Times New Roman" w:hAnsi="Times New Roman"/>
          <w:sz w:val="18"/>
          <w:szCs w:val="18"/>
          <w:u w:val="single" w:color="auto"/>
          <w:color w:val="0000FF"/>
        </w:rPr>
        <w:t>https://ardelyx.com/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0000FF"/>
        </w:rPr>
        <w:t>X (formerly known as 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Facebook</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expectations regarding: the long term potential for Ardelyx’s existing commercial products; opportunities for continued IBSRELA growth; opportunities for deepening the adoption and impact of XPHOZAH and the projected U.S. net product sales revenue for IBSRELA for full year 2025. Such forward-looking statements involve known and unknown risks, uncertainties and other factors that are in some cases beyond our control, that could cause actual outcomes or results to differ materially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w:t>
      </w:r>
    </w:p>
    <w:p>
      <w:pPr>
        <w:sectPr>
          <w:pgSz w:w="11900" w:h="16838" w:orient="portrait"/>
          <w:cols w:equalWidth="0" w:num="1">
            <w:col w:w="11220"/>
          </w:cols>
          <w:pgMar w:left="320" w:top="1427" w:right="359" w:bottom="1440" w:gutter="0" w:footer="0" w:header="0"/>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results to differ from those expressed in these forward-looking statements, as well as risks relating to Ardelyx's business in general, please refer to Ardelyx’s Quarterly Report on Form 10-Q filed with the Securities and Exchange Commission on May 1, 2025, and its future current and periodic reports to be filed with the Securities and Exchange Commission.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Lowie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clowie@ardelyx.com</w:t>
      </w:r>
    </w:p>
    <w:p>
      <w:pPr>
        <w:sectPr>
          <w:pgSz w:w="11900" w:h="16838" w:orient="portrait"/>
          <w:cols w:equalWidth="0" w:num="1">
            <w:col w:w="11100"/>
          </w:cols>
          <w:pgMar w:left="320" w:top="1255" w:right="479" w:bottom="1440" w:gutter="0" w:footer="0" w:header="0"/>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Ardelyx,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12"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64,932</w:t>
            </w:r>
          </w:p>
        </w:tc>
      </w:tr>
      <w:tr>
        <w:trPr>
          <w:trHeight w:val="23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185,168</w:t>
            </w:r>
          </w:p>
        </w:tc>
      </w:tr>
      <w:tr>
        <w:trPr>
          <w:trHeight w:val="229"/>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57,705</w:t>
            </w:r>
          </w:p>
        </w:tc>
      </w:tr>
      <w:tr>
        <w:trPr>
          <w:trHeight w:val="23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r>
      <w:tr>
        <w:trPr>
          <w:trHeight w:val="229"/>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91,184</w:t>
            </w:r>
          </w:p>
        </w:tc>
      </w:tr>
      <w:tr>
        <w:trPr>
          <w:trHeight w:val="22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3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2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r>
      <w:tr>
        <w:trPr>
          <w:trHeight w:val="223"/>
        </w:trPr>
        <w:tc>
          <w:tcPr>
            <w:tcW w:w="7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435,754</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r>
      <w:tr>
        <w:trPr>
          <w:trHeight w:val="22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3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w:t>
            </w:r>
          </w:p>
        </w:tc>
      </w:tr>
      <w:tr>
        <w:trPr>
          <w:trHeight w:val="22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35,665</w:t>
            </w:r>
          </w:p>
        </w:tc>
      </w:tr>
      <w:tr>
        <w:trPr>
          <w:trHeight w:val="23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150,853</w:t>
            </w:r>
          </w:p>
        </w:tc>
      </w:tr>
      <w:tr>
        <w:trPr>
          <w:trHeight w:val="23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w:t>
            </w:r>
          </w:p>
        </w:tc>
      </w:tr>
      <w:tr>
        <w:trPr>
          <w:trHeight w:val="230"/>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173,289</w:t>
            </w:r>
          </w:p>
        </w:tc>
      </w:tr>
      <w:tr>
        <w:trPr>
          <w:trHeight w:val="248"/>
        </w:trPr>
        <w:tc>
          <w:tcPr>
            <w:tcW w:w="7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435,754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72" w:hanging="172"/>
        <w:spacing w:after="0"/>
        <w:tabs>
          <w:tab w:leader="none" w:pos="172"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Derived from the audited financial statements included in the Company’s Annual Report on Form 10-K for the year ended December 31, 2024.</w:t>
      </w:r>
    </w:p>
    <w:p>
      <w:pPr>
        <w:sectPr>
          <w:pgSz w:w="11900" w:h="16838" w:orient="portrait"/>
          <w:cols w:equalWidth="0" w:num="1">
            <w:col w:w="11212"/>
          </w:cols>
          <w:pgMar w:left="328" w:top="1251" w:right="3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Ardelyx,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IBSRELA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w:t>
            </w:r>
          </w:p>
        </w:tc>
      </w:tr>
      <w:tr>
        <w:trPr>
          <w:trHeight w:val="229"/>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XPHOZAH</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15,151</w:t>
            </w:r>
          </w:p>
        </w:tc>
      </w:tr>
      <w:tr>
        <w:trPr>
          <w:trHeight w:val="223"/>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product sales,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43,512</w:t>
            </w:r>
          </w:p>
        </w:tc>
      </w:tr>
      <w:tr>
        <w:trPr>
          <w:trHeight w:val="229"/>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supply revenue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3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Licensing revenue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46,023</w:t>
            </w: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3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w:t>
            </w: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r>
      <w:tr>
        <w:trPr>
          <w:trHeight w:val="23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52,994</w:t>
            </w: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63,573</w:t>
            </w:r>
          </w:p>
        </w:tc>
      </w:tr>
      <w:tr>
        <w:trPr>
          <w:trHeight w:val="223"/>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(24,678)</w:t>
            </w:r>
          </w:p>
        </w:tc>
      </w:tr>
      <w:tr>
        <w:trPr>
          <w:trHeight w:val="23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r>
      <w:tr>
        <w:trPr>
          <w:trHeight w:val="230"/>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 related to the sale of future royalties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29"/>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(26,397)</w:t>
            </w:r>
          </w:p>
        </w:tc>
      </w:tr>
      <w:tr>
        <w:trPr>
          <w:trHeight w:val="23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(26,518)</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 - basic and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Shares used in computing net loss per share - basic and diluted</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238,624,145</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233,065,960</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00"/>
      </w:cols>
      <w:pgMar w:left="400" w:top="142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endash "/>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2025-05-01T15:16:46Z</dcterms:created>
  <dcterms:modified xsi:type="dcterms:W3CDTF">2025-05-01T15:16:46Z</dcterms:modified>
</cp:coreProperties>
</file>