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-258445</wp:posOffset>
            </wp:positionV>
            <wp:extent cx="118745" cy="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69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180" w:space="28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0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KERINS PATRICK J</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ARDELYX,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10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00" w:type="dxa"/>
            <w:vAlign w:val="bottom"/>
            <w:gridSpan w:val="5"/>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1954 GREENSPRING DRIVE</w:t>
            </w:r>
          </w:p>
        </w:tc>
        <w:tc>
          <w:tcPr>
            <w:tcW w:w="134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7"/>
                <w:szCs w:val="17"/>
                <w:color w:val="0000FF"/>
              </w:rPr>
              <w:t>06/10/2020</w:t>
            </w: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SUITE 600</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74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74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8"/>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TIMONIUM</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MD</w:t>
            </w:r>
          </w:p>
        </w:tc>
        <w:tc>
          <w:tcPr>
            <w:tcW w:w="1340" w:type="dxa"/>
            <w:vAlign w:val="bottom"/>
          </w:tcPr>
          <w:p>
            <w:pPr>
              <w:ind w:left="140"/>
              <w:spacing w:after="0"/>
              <w:rPr>
                <w:sz w:val="20"/>
                <w:szCs w:val="20"/>
                <w:color w:val="auto"/>
              </w:rPr>
            </w:pPr>
            <w:r>
              <w:rPr>
                <w:rFonts w:ascii="Arial" w:cs="Arial" w:eastAsia="Arial" w:hAnsi="Arial"/>
                <w:sz w:val="17"/>
                <w:szCs w:val="17"/>
                <w:color w:val="0000FF"/>
              </w:rPr>
              <w:t>21093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4"/>
          </w:tcPr>
          <w:p>
            <w:pPr>
              <w:jc w:val="center"/>
              <w:ind w:left="62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jc w:val="right"/>
              <w:ind w:right="215"/>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0" w:type="dxa"/>
            <w:vAlign w:val="bottom"/>
            <w:gridSpan w:val="4"/>
            <w:vMerge w:val="restart"/>
          </w:tcPr>
          <w:p>
            <w:pPr>
              <w:jc w:val="center"/>
              <w:ind w:left="625"/>
              <w:spacing w:after="0"/>
              <w:rPr>
                <w:sz w:val="20"/>
                <w:szCs w:val="20"/>
                <w:color w:val="auto"/>
              </w:rPr>
            </w:pPr>
            <w:r>
              <w:rPr>
                <w:rFonts w:ascii="Arial" w:cs="Arial" w:eastAsia="Arial" w:hAnsi="Arial"/>
                <w:sz w:val="17"/>
                <w:szCs w:val="17"/>
                <w:color w:val="0000FF"/>
                <w:w w:val="91"/>
              </w:rPr>
              <w:t>06/10/2020</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89"/>
              </w:rPr>
              <w:t>1,482,809</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560" w:type="dxa"/>
            <w:vAlign w:val="bottom"/>
            <w:gridSpan w:val="3"/>
            <w:vMerge w:val="restart"/>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8,086,401</w:t>
            </w:r>
          </w:p>
        </w:tc>
        <w:tc>
          <w:tcPr>
            <w:tcW w:w="920" w:type="dxa"/>
            <w:vAlign w:val="bottom"/>
            <w:vMerge w:val="restart"/>
          </w:tcPr>
          <w:p>
            <w:pPr>
              <w:jc w:val="center"/>
              <w:ind w:right="49"/>
              <w:spacing w:after="0"/>
              <w:rPr>
                <w:sz w:val="20"/>
                <w:szCs w:val="20"/>
                <w:color w:val="auto"/>
              </w:rPr>
            </w:pPr>
            <w:r>
              <w:rPr>
                <w:rFonts w:ascii="Arial" w:cs="Arial" w:eastAsia="Arial" w:hAnsi="Arial"/>
                <w:sz w:val="17"/>
                <w:szCs w:val="17"/>
                <w:color w:val="0000FF"/>
                <w:w w:val="83"/>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2</w:t>
            </w:r>
            <w:r>
              <w:rPr>
                <w:rFonts w:ascii="Arial" w:cs="Arial" w:eastAsia="Arial" w:hAnsi="Arial"/>
                <w:sz w:val="22"/>
                <w:szCs w:val="22"/>
                <w:color w:val="008000"/>
                <w:w w:val="99"/>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0" w:type="dxa"/>
            <w:vAlign w:val="bottom"/>
            <w:gridSpan w:val="4"/>
            <w:vMerge w:val="restart"/>
          </w:tcPr>
          <w:p>
            <w:pPr>
              <w:jc w:val="center"/>
              <w:ind w:left="625"/>
              <w:spacing w:after="0"/>
              <w:rPr>
                <w:sz w:val="20"/>
                <w:szCs w:val="20"/>
                <w:color w:val="auto"/>
              </w:rPr>
            </w:pPr>
            <w:r>
              <w:rPr>
                <w:rFonts w:ascii="Arial" w:cs="Arial" w:eastAsia="Arial" w:hAnsi="Arial"/>
                <w:sz w:val="17"/>
                <w:szCs w:val="17"/>
                <w:color w:val="0000FF"/>
                <w:w w:val="91"/>
              </w:rPr>
              <w:t>06/10/2020</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(3)</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455,222</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560" w:type="dxa"/>
            <w:vAlign w:val="bottom"/>
            <w:gridSpan w:val="3"/>
            <w:vMerge w:val="restart"/>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gridSpan w:val="2"/>
            <w:vMerge w:val="restart"/>
          </w:tcPr>
          <w:p>
            <w:pPr>
              <w:jc w:val="center"/>
              <w:ind w:right="17"/>
              <w:spacing w:after="0"/>
              <w:rPr>
                <w:sz w:val="20"/>
                <w:szCs w:val="20"/>
                <w:color w:val="auto"/>
              </w:rPr>
            </w:pPr>
            <w:r>
              <w:rPr>
                <w:rFonts w:ascii="Arial" w:cs="Arial" w:eastAsia="Arial" w:hAnsi="Arial"/>
                <w:sz w:val="17"/>
                <w:szCs w:val="17"/>
                <w:color w:val="0000FF"/>
                <w:w w:val="91"/>
              </w:rPr>
              <w:t>455,222</w:t>
            </w:r>
          </w:p>
        </w:tc>
        <w:tc>
          <w:tcPr>
            <w:tcW w:w="920" w:type="dxa"/>
            <w:vAlign w:val="bottom"/>
            <w:vMerge w:val="restart"/>
          </w:tcPr>
          <w:p>
            <w:pPr>
              <w:jc w:val="center"/>
              <w:ind w:right="49"/>
              <w:spacing w:after="0"/>
              <w:rPr>
                <w:sz w:val="20"/>
                <w:szCs w:val="20"/>
                <w:color w:val="auto"/>
              </w:rPr>
            </w:pPr>
            <w:r>
              <w:rPr>
                <w:rFonts w:ascii="Arial" w:cs="Arial" w:eastAsia="Arial" w:hAnsi="Arial"/>
                <w:sz w:val="17"/>
                <w:szCs w:val="17"/>
                <w:color w:val="0000FF"/>
                <w:w w:val="83"/>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4</w:t>
            </w:r>
            <w:r>
              <w:rPr>
                <w:rFonts w:ascii="Arial" w:cs="Arial" w:eastAsia="Arial" w:hAnsi="Arial"/>
                <w:sz w:val="22"/>
                <w:szCs w:val="22"/>
                <w:color w:val="008000"/>
                <w:w w:val="99"/>
                <w:vertAlign w:val="superscript"/>
              </w:rPr>
              <w:t>(4)</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0" w:type="dxa"/>
            <w:vAlign w:val="bottom"/>
            <w:gridSpan w:val="4"/>
            <w:vMerge w:val="restart"/>
          </w:tcPr>
          <w:p>
            <w:pPr>
              <w:jc w:val="center"/>
              <w:ind w:left="625"/>
              <w:spacing w:after="0"/>
              <w:rPr>
                <w:sz w:val="20"/>
                <w:szCs w:val="20"/>
                <w:color w:val="auto"/>
              </w:rPr>
            </w:pPr>
            <w:r>
              <w:rPr>
                <w:rFonts w:ascii="Arial" w:cs="Arial" w:eastAsia="Arial" w:hAnsi="Arial"/>
                <w:sz w:val="17"/>
                <w:szCs w:val="17"/>
                <w:color w:val="0000FF"/>
                <w:w w:val="91"/>
              </w:rPr>
              <w:t>06/10/2020</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(5)</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455,222</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560" w:type="dxa"/>
            <w:vAlign w:val="bottom"/>
            <w:gridSpan w:val="3"/>
            <w:vMerge w:val="restart"/>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440" w:type="dxa"/>
            <w:vAlign w:val="bottom"/>
          </w:tcPr>
          <w:p>
            <w:pPr>
              <w:spacing w:after="0"/>
              <w:rPr>
                <w:sz w:val="22"/>
                <w:szCs w:val="22"/>
                <w:color w:val="auto"/>
              </w:rPr>
            </w:pPr>
          </w:p>
        </w:tc>
        <w:tc>
          <w:tcPr>
            <w:tcW w:w="760" w:type="dxa"/>
            <w:vAlign w:val="bottom"/>
            <w:vMerge w:val="restart"/>
          </w:tcPr>
          <w:p>
            <w:pPr>
              <w:jc w:val="center"/>
              <w:ind w:right="437"/>
              <w:spacing w:after="0"/>
              <w:rPr>
                <w:sz w:val="20"/>
                <w:szCs w:val="20"/>
                <w:color w:val="auto"/>
              </w:rPr>
            </w:pPr>
            <w:r>
              <w:rPr>
                <w:rFonts w:ascii="Arial" w:cs="Arial" w:eastAsia="Arial" w:hAnsi="Arial"/>
                <w:sz w:val="17"/>
                <w:szCs w:val="17"/>
                <w:color w:val="0000FF"/>
              </w:rPr>
              <w:t>0</w:t>
            </w:r>
          </w:p>
        </w:tc>
        <w:tc>
          <w:tcPr>
            <w:tcW w:w="920" w:type="dxa"/>
            <w:vAlign w:val="bottom"/>
            <w:vMerge w:val="restart"/>
          </w:tcPr>
          <w:p>
            <w:pPr>
              <w:jc w:val="center"/>
              <w:ind w:right="49"/>
              <w:spacing w:after="0"/>
              <w:rPr>
                <w:sz w:val="20"/>
                <w:szCs w:val="20"/>
                <w:color w:val="auto"/>
              </w:rPr>
            </w:pPr>
            <w:r>
              <w:rPr>
                <w:rFonts w:ascii="Arial" w:cs="Arial" w:eastAsia="Arial" w:hAnsi="Arial"/>
                <w:sz w:val="17"/>
                <w:szCs w:val="17"/>
                <w:color w:val="0000FF"/>
                <w:w w:val="83"/>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Note 4</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top w:val="single" w:sz="8" w:color="2C2C2C"/>
              <w:bottom w:val="single" w:sz="8" w:color="2C2C2C"/>
            </w:tcBorders>
          </w:tcPr>
          <w:p>
            <w:pPr>
              <w:spacing w:after="0"/>
              <w:rPr>
                <w:sz w:val="24"/>
                <w:szCs w:val="24"/>
                <w:color w:val="auto"/>
              </w:rPr>
            </w:pPr>
          </w:p>
        </w:tc>
        <w:tc>
          <w:tcPr>
            <w:tcW w:w="880" w:type="dxa"/>
            <w:vAlign w:val="bottom"/>
            <w:tcBorders>
              <w:top w:val="single" w:sz="8" w:color="2C2C2C"/>
              <w:bottom w:val="single" w:sz="8" w:color="2C2C2C"/>
            </w:tcBorders>
          </w:tcPr>
          <w:p>
            <w:pPr>
              <w:spacing w:after="0"/>
              <w:rPr>
                <w:sz w:val="24"/>
                <w:szCs w:val="24"/>
                <w:color w:val="auto"/>
              </w:rPr>
            </w:pPr>
          </w:p>
        </w:tc>
        <w:tc>
          <w:tcPr>
            <w:tcW w:w="1800" w:type="dxa"/>
            <w:vAlign w:val="bottom"/>
            <w:tcBorders>
              <w:top w:val="single" w:sz="8" w:color="2C2C2C"/>
              <w:bottom w:val="single" w:sz="8" w:color="2C2C2C"/>
            </w:tcBorders>
            <w:gridSpan w:val="4"/>
          </w:tcPr>
          <w:p>
            <w:pPr>
              <w:jc w:val="center"/>
              <w:ind w:left="625"/>
              <w:spacing w:after="0"/>
              <w:rPr>
                <w:sz w:val="20"/>
                <w:szCs w:val="20"/>
                <w:color w:val="auto"/>
              </w:rPr>
            </w:pPr>
            <w:r>
              <w:rPr>
                <w:rFonts w:ascii="Arial" w:cs="Arial" w:eastAsia="Arial" w:hAnsi="Arial"/>
                <w:sz w:val="17"/>
                <w:szCs w:val="17"/>
                <w:color w:val="0000FF"/>
                <w:w w:val="91"/>
              </w:rPr>
              <w:t>06/10/2020</w:t>
            </w:r>
          </w:p>
        </w:tc>
        <w:tc>
          <w:tcPr>
            <w:tcW w:w="42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(6)</w:t>
            </w:r>
          </w:p>
        </w:tc>
        <w:tc>
          <w:tcPr>
            <w:tcW w:w="7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w w:val="92"/>
              </w:rPr>
              <w:t>10,825</w:t>
            </w:r>
          </w:p>
        </w:tc>
        <w:tc>
          <w:tcPr>
            <w:tcW w:w="64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560" w:type="dxa"/>
            <w:vAlign w:val="bottom"/>
            <w:tcBorders>
              <w:top w:val="single" w:sz="8" w:color="2C2C2C"/>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top w:val="single" w:sz="8" w:color="2C2C2C"/>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11,066</w:t>
            </w:r>
          </w:p>
        </w:tc>
        <w:tc>
          <w:tcPr>
            <w:tcW w:w="920" w:type="dxa"/>
            <w:vAlign w:val="bottom"/>
            <w:tcBorders>
              <w:top w:val="single" w:sz="8" w:color="2C2C2C"/>
              <w:bottom w:val="single" w:sz="8" w:color="2C2C2C"/>
            </w:tcBorders>
          </w:tcPr>
          <w:p>
            <w:pPr>
              <w:jc w:val="center"/>
              <w:ind w:right="49"/>
              <w:spacing w:after="0"/>
              <w:rPr>
                <w:sz w:val="20"/>
                <w:szCs w:val="20"/>
                <w:color w:val="auto"/>
              </w:rPr>
            </w:pPr>
            <w:r>
              <w:rPr>
                <w:rFonts w:ascii="Arial" w:cs="Arial" w:eastAsia="Arial" w:hAnsi="Arial"/>
                <w:sz w:val="17"/>
                <w:szCs w:val="17"/>
                <w:color w:val="0000FF"/>
                <w:w w:val="97"/>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4"/>
          </w:tcPr>
          <w:p>
            <w:pPr>
              <w:jc w:val="center"/>
              <w:ind w:left="625"/>
              <w:spacing w:after="0"/>
              <w:rPr>
                <w:sz w:val="20"/>
                <w:szCs w:val="20"/>
                <w:color w:val="auto"/>
              </w:rPr>
            </w:pPr>
            <w:r>
              <w:rPr>
                <w:rFonts w:ascii="Arial" w:cs="Arial" w:eastAsia="Arial" w:hAnsi="Arial"/>
                <w:sz w:val="17"/>
                <w:szCs w:val="17"/>
                <w:color w:val="0000FF"/>
                <w:w w:val="91"/>
              </w:rPr>
              <w:t>06/10/2020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(7)</w:t>
            </w:r>
          </w:p>
        </w:tc>
        <w:tc>
          <w:tcPr>
            <w:tcW w:w="78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91"/>
              </w:rPr>
              <w:t>121</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11,187</w:t>
            </w:r>
          </w:p>
        </w:tc>
        <w:tc>
          <w:tcPr>
            <w:tcW w:w="92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4"/>
          </w:tcPr>
          <w:p>
            <w:pPr>
              <w:jc w:val="center"/>
              <w:ind w:left="625"/>
              <w:spacing w:after="0"/>
              <w:rPr>
                <w:sz w:val="20"/>
                <w:szCs w:val="20"/>
                <w:color w:val="auto"/>
              </w:rPr>
            </w:pPr>
            <w:r>
              <w:rPr>
                <w:rFonts w:ascii="Arial" w:cs="Arial" w:eastAsia="Arial" w:hAnsi="Arial"/>
                <w:sz w:val="17"/>
                <w:szCs w:val="17"/>
                <w:color w:val="0000FF"/>
                <w:w w:val="91"/>
              </w:rPr>
              <w:t>06/10/2020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(8)</w:t>
            </w:r>
          </w:p>
        </w:tc>
        <w:tc>
          <w:tcPr>
            <w:tcW w:w="78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91"/>
              </w:rPr>
              <w:t>137</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11,324</w:t>
            </w:r>
          </w:p>
        </w:tc>
        <w:tc>
          <w:tcPr>
            <w:tcW w:w="92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20" w:type="dxa"/>
            <w:vAlign w:val="bottom"/>
            <w:gridSpan w:val="12"/>
          </w:tcPr>
          <w:p>
            <w:pPr>
              <w:jc w:val="center"/>
              <w:ind w:left="46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-4380230</wp:posOffset>
            </wp:positionV>
            <wp:extent cx="7031355" cy="4425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42531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New Enterprise Associates 12, Limited Partnership ("NEA 12") made a pro rata distribution for no consideration of an aggregate of 1,482,809 shares of Common Stock of the Issuer to its general partner and its limited partners on June 10, 2020.</w:t>
      </w:r>
    </w:p>
    <w:p>
      <w:pPr>
        <w:spacing w:after="0" w:line="15"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a manager of NEA 12 GP, LLC ("NEA 12 GP"), which is the sole general partner of NEA Partners 12, Limited Partnership ("NEA Partners 12"). NEA Partners 12 is the sole general partner of NEA 12, which is the direct beneficial owner of the securities. The Reporting Person disclaims beneficial ownership, within the meaning of Section 16 of the Securities Exchange Act of 1934, as amended, or otherwise of such portion of the NEA 12 shares in which the Reporting Person has no pecuniary interest.</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NEA Partners 12 received 455,222 shares of Common Stock of the Issuer in the distribution by NEA 12 on June 10, 2020.</w:t>
      </w:r>
    </w:p>
    <w:p>
      <w:pPr>
        <w:spacing w:after="0" w:line="50" w:lineRule="exact"/>
        <w:rPr>
          <w:rFonts w:ascii="Arial" w:cs="Arial" w:eastAsia="Arial" w:hAnsi="Arial"/>
          <w:sz w:val="13"/>
          <w:szCs w:val="13"/>
          <w:color w:val="008000"/>
        </w:rPr>
      </w:pPr>
    </w:p>
    <w:p>
      <w:pPr>
        <w:ind w:left="40" w:right="5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a manager of NEA 12 GP, which is the sole general partner of NEA Partners 12, the direct beneficial owner of the securities. The Reporting Person disclaims beneficial ownership, within the meaning of Section 16 of the Securities Exchange Act of 1934, as amended, or otherwise of such portion of the NEA Partners 12 shares in which the Reporting Person has no pecuniary interest.</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NEA Partners 12 made a pro rata distribution for no consideration of an aggregate of 455,222 shares of Common Stock of the Issuer to its limited partners on June 10, 2020.</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10,825 shares of Common Stock of the Issuer in the distribution by NEA Partners 12 on June 10, 2020.</w:t>
      </w:r>
    </w:p>
    <w:p>
      <w:pPr>
        <w:spacing w:after="0" w:line="50" w:lineRule="exact"/>
        <w:rPr>
          <w:rFonts w:ascii="Arial" w:cs="Arial" w:eastAsia="Arial" w:hAnsi="Arial"/>
          <w:sz w:val="13"/>
          <w:szCs w:val="13"/>
          <w:color w:val="008000"/>
        </w:rPr>
      </w:pPr>
    </w:p>
    <w:p>
      <w:pPr>
        <w:ind w:left="40" w:right="3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NEA Partners 15, L.P. made a pro rata distribution for no consideration of shares of Common Stock of the Issuer to its limited partners on June 10, 2020. The Reporting Person received 121 shares of Common Stock of the Issuer in the distribution.</w:t>
      </w:r>
    </w:p>
    <w:p>
      <w:pPr>
        <w:spacing w:after="0" w:line="15" w:lineRule="exact"/>
        <w:rPr>
          <w:rFonts w:ascii="Arial" w:cs="Arial" w:eastAsia="Arial" w:hAnsi="Arial"/>
          <w:sz w:val="13"/>
          <w:szCs w:val="13"/>
          <w:color w:val="008000"/>
        </w:rPr>
      </w:pPr>
    </w:p>
    <w:p>
      <w:pPr>
        <w:ind w:left="40" w:right="2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NEA Partners 15-OF, L.P. made a pro rata distribution for no consideration of shares of Common Stock of the Issuer to its limited partners on June 10, 2020. The Reporting Person received 137 shares of Common Stock of the Issuer in the distribution.</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Sasha Keough, attorney-in- </w:t>
      </w:r>
      <w:r>
        <w:rPr>
          <w:rFonts w:ascii="Arial" w:cs="Arial" w:eastAsia="Arial" w:hAnsi="Arial"/>
          <w:sz w:val="34"/>
          <w:szCs w:val="34"/>
          <w:color w:val="0000FF"/>
          <w:vertAlign w:val="subscript"/>
        </w:rPr>
        <w:t>06/12/2020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511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2020-06-12T16:41:08Z</dcterms:created>
  <dcterms:modified xsi:type="dcterms:W3CDTF">2020-06-12T16:41:08Z</dcterms:modified>
</cp:coreProperties>
</file>