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0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29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8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Previous</w:t>
            </w:r>
          </w:p>
        </w:tc>
        <w:tc>
          <w:tcPr>
            <w:tcW w:w="500" w:type="dxa"/>
            <w:vAlign w:val="bottom"/>
            <w:vMerge w:val="restart"/>
          </w:tcPr>
          <w:p>
            <w:pPr>
              <w:ind w:left="2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800" w:type="dxa"/>
            <w:vAlign w:val="bottom"/>
            <w:gridSpan w:val="2"/>
            <w:vMerge w:val="restart"/>
          </w:tcPr>
          <w:p>
            <w:pPr>
              <w:jc w:val="center"/>
              <w:ind w:left="112"/>
              <w:spacing w:after="0"/>
              <w:rPr>
                <w:sz w:val="20"/>
                <w:szCs w:val="20"/>
                <w:color w:val="auto"/>
              </w:rPr>
            </w:pPr>
            <w:r>
              <w:rPr>
                <w:rFonts w:ascii="Arial" w:cs="Arial" w:eastAsia="Arial" w:hAnsi="Arial"/>
                <w:sz w:val="22"/>
                <w:szCs w:val="22"/>
                <w:b w:val="1"/>
                <w:bCs w:val="1"/>
                <w:color w:val="auto"/>
                <w:w w:val="85"/>
              </w:rPr>
              <w:t>Names</w:t>
            </w:r>
          </w:p>
        </w:tc>
        <w:tc>
          <w:tcPr>
            <w:tcW w:w="5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0001437402</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00" w:type="dxa"/>
            <w:vAlign w:val="bottom"/>
            <w:gridSpan w:val="2"/>
            <w:vMerge w:val="restart"/>
          </w:tcPr>
          <w:p>
            <w:pPr>
              <w:ind w:left="500"/>
              <w:spacing w:after="0"/>
              <w:rPr>
                <w:sz w:val="20"/>
                <w:szCs w:val="20"/>
                <w:color w:val="auto"/>
              </w:rPr>
            </w:pPr>
            <w:r>
              <w:rPr>
                <w:rFonts w:ascii="Arial" w:cs="Arial" w:eastAsia="Arial" w:hAnsi="Arial"/>
                <w:sz w:val="22"/>
                <w:szCs w:val="22"/>
                <w:color w:val="auto"/>
                <w:w w:val="96"/>
              </w:rPr>
              <w:t>NTERYX INC</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1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1800" w:type="dxa"/>
            <w:vAlign w:val="bottom"/>
            <w:gridSpan w:val="2"/>
          </w:tcPr>
          <w:p>
            <w:pPr>
              <w:jc w:val="center"/>
              <w:ind w:left="112"/>
              <w:spacing w:after="0"/>
              <w:rPr>
                <w:sz w:val="20"/>
                <w:szCs w:val="20"/>
                <w:color w:val="auto"/>
              </w:rPr>
            </w:pPr>
            <w:r>
              <w:rPr>
                <w:rFonts w:ascii="Arial" w:cs="Arial" w:eastAsia="Arial" w:hAnsi="Arial"/>
                <w:sz w:val="22"/>
                <w:szCs w:val="22"/>
                <w:color w:val="auto"/>
                <w:w w:val="91"/>
              </w:rPr>
              <w:t>Nteryx, Inc.</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ARDELYX, INC.</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8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80" w:type="dxa"/>
            <w:vAlign w:val="bottom"/>
            <w:gridSpan w:val="6"/>
          </w:tcPr>
          <w:p>
            <w:pPr>
              <w:spacing w:after="0"/>
              <w:rPr>
                <w:sz w:val="20"/>
                <w:szCs w:val="20"/>
                <w:color w:val="auto"/>
              </w:rPr>
            </w:pPr>
            <w:r>
              <w:rPr>
                <w:rFonts w:ascii="Arial" w:cs="Arial" w:eastAsia="Arial" w:hAnsi="Arial"/>
                <w:sz w:val="22"/>
                <w:szCs w:val="22"/>
                <w:color w:val="auto"/>
                <w:w w:val="97"/>
              </w:rPr>
              <w:t>2. Principal Place of Business and Contact Information</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ARDELYX, INC.</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34175 ARDENWOOD BLVD.</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80" w:type="dxa"/>
            <w:vAlign w:val="bottom"/>
            <w:gridSpan w:val="3"/>
          </w:tcPr>
          <w:p>
            <w:pPr>
              <w:ind w:left="1280"/>
              <w:spacing w:after="0"/>
              <w:rPr>
                <w:sz w:val="20"/>
                <w:szCs w:val="20"/>
                <w:color w:val="auto"/>
              </w:rPr>
            </w:pPr>
            <w:r>
              <w:rPr>
                <w:rFonts w:ascii="Arial" w:cs="Arial" w:eastAsia="Arial" w:hAnsi="Arial"/>
                <w:sz w:val="22"/>
                <w:szCs w:val="22"/>
                <w:b w:val="1"/>
                <w:bCs w:val="1"/>
                <w:color w:val="auto"/>
                <w:w w:val="97"/>
              </w:rPr>
              <w:t>State/Province/Country</w:t>
            </w:r>
          </w:p>
        </w:tc>
        <w:tc>
          <w:tcPr>
            <w:tcW w:w="50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FREMONT</w:t>
            </w:r>
          </w:p>
        </w:tc>
        <w:tc>
          <w:tcPr>
            <w:tcW w:w="2720" w:type="dxa"/>
            <w:vAlign w:val="bottom"/>
            <w:gridSpan w:val="2"/>
          </w:tcPr>
          <w:p>
            <w:pPr>
              <w:ind w:left="1120"/>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22"/>
                <w:szCs w:val="22"/>
                <w:color w:val="auto"/>
              </w:rPr>
              <w:t>94555</w:t>
            </w:r>
          </w:p>
        </w:tc>
        <w:tc>
          <w:tcPr>
            <w:tcW w:w="100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510-745-1700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Raab</w:t>
            </w:r>
          </w:p>
        </w:tc>
        <w:tc>
          <w:tcPr>
            <w:tcW w:w="188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w w:val="97"/>
              </w:rPr>
              <w:t>Michael</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2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Ardelyx, Inc.</w:t>
            </w:r>
          </w:p>
        </w:tc>
        <w:tc>
          <w:tcPr>
            <w:tcW w:w="2300" w:type="dxa"/>
            <w:vAlign w:val="bottom"/>
            <w:gridSpan w:val="3"/>
          </w:tcPr>
          <w:p>
            <w:pPr>
              <w:ind w:left="80"/>
              <w:spacing w:after="0"/>
              <w:rPr>
                <w:sz w:val="20"/>
                <w:szCs w:val="20"/>
                <w:color w:val="auto"/>
              </w:rPr>
            </w:pPr>
            <w:r>
              <w:rPr>
                <w:rFonts w:ascii="Arial" w:cs="Arial" w:eastAsia="Arial" w:hAnsi="Arial"/>
                <w:sz w:val="22"/>
                <w:szCs w:val="22"/>
                <w:color w:val="auto"/>
                <w:w w:val="94"/>
              </w:rPr>
              <w:t>34175 Ardenwood Blvd.</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Fremont</w:t>
            </w:r>
          </w:p>
        </w:tc>
        <w:tc>
          <w:tcPr>
            <w:tcW w:w="188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94555</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00"/>
              <w:spacing w:after="0"/>
              <w:rPr>
                <w:sz w:val="20"/>
                <w:szCs w:val="20"/>
                <w:color w:val="auto"/>
              </w:rPr>
            </w:pPr>
            <w:r>
              <w:rPr>
                <w:rFonts w:ascii="Arial" w:cs="Arial" w:eastAsia="Arial" w:hAnsi="Arial"/>
                <w:sz w:val="22"/>
                <w:szCs w:val="22"/>
                <w:color w:val="auto"/>
                <w:w w:val="92"/>
              </w:rPr>
              <w:t>Promoter</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Mott</w:t>
            </w:r>
          </w:p>
        </w:tc>
        <w:tc>
          <w:tcPr>
            <w:tcW w:w="188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2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Ardelyx, Inc.</w:t>
            </w:r>
          </w:p>
        </w:tc>
        <w:tc>
          <w:tcPr>
            <w:tcW w:w="2300" w:type="dxa"/>
            <w:vAlign w:val="bottom"/>
            <w:gridSpan w:val="3"/>
          </w:tcPr>
          <w:p>
            <w:pPr>
              <w:ind w:left="80"/>
              <w:spacing w:after="0"/>
              <w:rPr>
                <w:sz w:val="20"/>
                <w:szCs w:val="20"/>
                <w:color w:val="auto"/>
              </w:rPr>
            </w:pPr>
            <w:r>
              <w:rPr>
                <w:rFonts w:ascii="Arial" w:cs="Arial" w:eastAsia="Arial" w:hAnsi="Arial"/>
                <w:sz w:val="22"/>
                <w:szCs w:val="22"/>
                <w:color w:val="auto"/>
                <w:w w:val="94"/>
              </w:rPr>
              <w:t>34175 Ardenwood Blvd.</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Fremont</w:t>
            </w:r>
          </w:p>
        </w:tc>
        <w:tc>
          <w:tcPr>
            <w:tcW w:w="188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94555</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2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40"/>
              <w:spacing w:after="0"/>
              <w:rPr>
                <w:sz w:val="20"/>
                <w:szCs w:val="20"/>
                <w:color w:val="auto"/>
              </w:rPr>
            </w:pPr>
            <w:r>
              <w:rPr>
                <w:rFonts w:ascii="Arial" w:cs="Arial" w:eastAsia="Arial" w:hAnsi="Arial"/>
                <w:sz w:val="22"/>
                <w:szCs w:val="22"/>
                <w:color w:val="auto"/>
                <w:w w:val="99"/>
              </w:rPr>
              <w:t>Promoter</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Schultz</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Rodgers</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Richard</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Ringold</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Gordon</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Jenkins</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Annalisa</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Kaufmann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94555</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Rosenbaum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Grammer</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Elizabeth</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Ardelyx,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Fremont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Caldwell</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Jeremy</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Ardelyx,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Fremont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ectPr>
          <w:pgSz w:w="11900" w:h="16838" w:orient="portrait"/>
          <w:cols w:equalWidth="0" w:num="2">
            <w:col w:w="3600" w:space="340"/>
            <w:col w:w="7480"/>
          </w:cols>
          <w:pgMar w:left="240" w:top="111" w:right="2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3080" w:type="dxa"/>
            <w:vAlign w:val="bottom"/>
          </w:tcPr>
          <w:p>
            <w:pPr>
              <w:ind w:left="220"/>
              <w:spacing w:after="0"/>
              <w:rPr>
                <w:sz w:val="20"/>
                <w:szCs w:val="20"/>
                <w:color w:val="auto"/>
              </w:rPr>
            </w:pPr>
            <w:r>
              <w:rPr>
                <w:rFonts w:ascii="Arial" w:cs="Arial" w:eastAsia="Arial" w:hAnsi="Arial"/>
                <w:sz w:val="22"/>
                <w:szCs w:val="22"/>
                <w:color w:val="auto"/>
              </w:rPr>
              <w:t>$5,000,001 -</w:t>
            </w:r>
          </w:p>
        </w:tc>
        <w:tc>
          <w:tcPr>
            <w:tcW w:w="2300" w:type="dxa"/>
            <w:vAlign w:val="bottom"/>
          </w:tcPr>
          <w:p>
            <w:pPr>
              <w:ind w:left="1180"/>
              <w:spacing w:after="0"/>
              <w:rPr>
                <w:sz w:val="20"/>
                <w:szCs w:val="20"/>
                <w:color w:val="auto"/>
              </w:rPr>
            </w:pPr>
            <w:r>
              <w:rPr>
                <w:rFonts w:ascii="Arial" w:cs="Arial" w:eastAsia="Arial" w:hAnsi="Arial"/>
                <w:sz w:val="22"/>
                <w:szCs w:val="22"/>
                <w:color w:val="auto"/>
                <w:w w:val="89"/>
              </w:rPr>
              <w:t>$25,000,001</w:t>
            </w:r>
          </w:p>
        </w:tc>
        <w:tc>
          <w:tcPr>
            <w:tcW w:w="1340" w:type="dxa"/>
            <w:vAlign w:val="bottom"/>
          </w:tcPr>
          <w:p>
            <w:pPr>
              <w:ind w:left="20"/>
              <w:spacing w:after="0"/>
              <w:rPr>
                <w:sz w:val="20"/>
                <w:szCs w:val="20"/>
                <w:color w:val="auto"/>
              </w:rPr>
            </w:pPr>
            <w:r>
              <w:rPr>
                <w:rFonts w:ascii="Arial" w:cs="Arial" w:eastAsia="Arial" w:hAnsi="Arial"/>
                <w:sz w:val="22"/>
                <w:szCs w:val="22"/>
                <w:color w:val="auto"/>
                <w:w w:val="95"/>
              </w:rPr>
              <w:t>- $50,000,000</w:t>
            </w:r>
          </w:p>
        </w:tc>
        <w:tc>
          <w:tcPr>
            <w:tcW w:w="0" w:type="dxa"/>
            <w:vAlign w:val="bottom"/>
          </w:tcPr>
          <w:p>
            <w:pPr>
              <w:spacing w:after="0"/>
              <w:rPr>
                <w:sz w:val="1"/>
                <w:szCs w:val="1"/>
                <w:color w:val="auto"/>
              </w:rPr>
            </w:pPr>
          </w:p>
        </w:tc>
      </w:tr>
      <w:tr>
        <w:trPr>
          <w:trHeight w:val="275"/>
        </w:trPr>
        <w:tc>
          <w:tcPr>
            <w:tcW w:w="3080" w:type="dxa"/>
            <w:vAlign w:val="bottom"/>
          </w:tcPr>
          <w:p>
            <w:pPr>
              <w:ind w:left="220"/>
              <w:spacing w:after="0"/>
              <w:rPr>
                <w:sz w:val="20"/>
                <w:szCs w:val="20"/>
                <w:color w:val="auto"/>
              </w:rPr>
            </w:pPr>
            <w:r>
              <w:rPr>
                <w:rFonts w:ascii="Arial" w:cs="Arial" w:eastAsia="Arial" w:hAnsi="Arial"/>
                <w:sz w:val="22"/>
                <w:szCs w:val="22"/>
                <w:color w:val="auto"/>
              </w:rPr>
              <w:t>$25,000,000</w:t>
            </w:r>
          </w:p>
        </w:tc>
        <w:tc>
          <w:tcPr>
            <w:tcW w:w="2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8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2300" w:type="dxa"/>
            <w:vAlign w:val="bottom"/>
            <w:vMerge w:val="restart"/>
          </w:tcPr>
          <w:p>
            <w:pPr>
              <w:ind w:left="1180"/>
              <w:spacing w:after="0"/>
              <w:rPr>
                <w:sz w:val="20"/>
                <w:szCs w:val="20"/>
                <w:color w:val="auto"/>
              </w:rPr>
            </w:pPr>
            <w:r>
              <w:rPr>
                <w:rFonts w:ascii="Arial" w:cs="Arial" w:eastAsia="Arial" w:hAnsi="Arial"/>
                <w:sz w:val="22"/>
                <w:szCs w:val="22"/>
                <w:color w:val="auto"/>
                <w:w w:val="89"/>
              </w:rPr>
              <w:t>$50,000,001</w:t>
            </w:r>
          </w:p>
        </w:tc>
        <w:tc>
          <w:tcPr>
            <w:tcW w:w="1340" w:type="dxa"/>
            <w:vAlign w:val="bottom"/>
            <w:vMerge w:val="restart"/>
          </w:tcPr>
          <w:p>
            <w:pPr>
              <w:ind w:left="20"/>
              <w:spacing w:after="0"/>
              <w:rPr>
                <w:sz w:val="20"/>
                <w:szCs w:val="20"/>
                <w:color w:val="auto"/>
              </w:rPr>
            </w:pPr>
            <w:r>
              <w:rPr>
                <w:rFonts w:ascii="Arial" w:cs="Arial" w:eastAsia="Arial" w:hAnsi="Arial"/>
                <w:sz w:val="22"/>
                <w:szCs w:val="22"/>
                <w:color w:val="auto"/>
                <w:w w:val="87"/>
              </w:rPr>
              <w:t>- $100,000,000</w:t>
            </w:r>
          </w:p>
        </w:tc>
        <w:tc>
          <w:tcPr>
            <w:tcW w:w="0" w:type="dxa"/>
            <w:vAlign w:val="bottom"/>
          </w:tcPr>
          <w:p>
            <w:pPr>
              <w:spacing w:after="0"/>
              <w:rPr>
                <w:sz w:val="1"/>
                <w:szCs w:val="1"/>
                <w:color w:val="auto"/>
              </w:rPr>
            </w:pPr>
          </w:p>
        </w:tc>
      </w:tr>
      <w:tr>
        <w:trPr>
          <w:trHeight w:val="153"/>
        </w:trPr>
        <w:tc>
          <w:tcPr>
            <w:tcW w:w="308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23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8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08"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08"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2015-06-05</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9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Arial" w:cs="Arial" w:eastAsia="Arial" w:hAnsi="Arial"/>
                <w:sz w:val="22"/>
                <w:szCs w:val="22"/>
                <w:color w:val="auto"/>
              </w:rPr>
              <w:t>X Equity</w:t>
            </w:r>
          </w:p>
        </w:tc>
        <w:tc>
          <w:tcPr>
            <w:tcW w:w="920" w:type="dxa"/>
            <w:vAlign w:val="bottom"/>
          </w:tcPr>
          <w:p>
            <w:pPr>
              <w:spacing w:after="0"/>
              <w:rPr>
                <w:sz w:val="24"/>
                <w:szCs w:val="24"/>
                <w:color w:val="auto"/>
              </w:rPr>
            </w:pPr>
          </w:p>
        </w:tc>
        <w:tc>
          <w:tcPr>
            <w:tcW w:w="3260" w:type="dxa"/>
            <w:vAlign w:val="bottom"/>
            <w:gridSpan w:val="3"/>
          </w:tcPr>
          <w:p>
            <w:pPr>
              <w:ind w:left="80"/>
              <w:spacing w:after="0"/>
              <w:rPr>
                <w:sz w:val="20"/>
                <w:szCs w:val="20"/>
                <w:color w:val="auto"/>
              </w:rPr>
            </w:pPr>
            <w:r>
              <w:rPr>
                <w:rFonts w:ascii="Arial" w:cs="Arial" w:eastAsia="Arial" w:hAnsi="Arial"/>
                <w:sz w:val="22"/>
                <w:szCs w:val="22"/>
                <w:color w:val="auto"/>
                <w:w w:val="96"/>
              </w:rPr>
              <w:t>Pooled Investment Fund Interests</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22"/>
                <w:szCs w:val="22"/>
                <w:color w:val="auto"/>
              </w:rPr>
              <w:t>Debt</w:t>
            </w:r>
          </w:p>
        </w:tc>
        <w:tc>
          <w:tcPr>
            <w:tcW w:w="920" w:type="dxa"/>
            <w:vAlign w:val="bottom"/>
          </w:tcPr>
          <w:p>
            <w:pPr>
              <w:spacing w:after="0"/>
              <w:rPr>
                <w:sz w:val="24"/>
                <w:szCs w:val="24"/>
                <w:color w:val="auto"/>
              </w:rPr>
            </w:pPr>
          </w:p>
        </w:tc>
        <w:tc>
          <w:tcPr>
            <w:tcW w:w="3260" w:type="dxa"/>
            <w:vAlign w:val="bottom"/>
            <w:gridSpan w:val="3"/>
          </w:tcPr>
          <w:p>
            <w:pPr>
              <w:ind w:left="80"/>
              <w:spacing w:after="0"/>
              <w:rPr>
                <w:sz w:val="20"/>
                <w:szCs w:val="20"/>
                <w:color w:val="auto"/>
              </w:rPr>
            </w:pPr>
            <w:r>
              <w:rPr>
                <w:rFonts w:ascii="Arial" w:cs="Arial" w:eastAsia="Arial" w:hAnsi="Arial"/>
                <w:sz w:val="22"/>
                <w:szCs w:val="22"/>
                <w:color w:val="auto"/>
              </w:rPr>
              <w:t>Tenant-in-Common Securities</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2"/>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3260" w:type="dxa"/>
            <w:vAlign w:val="bottom"/>
            <w:gridSpan w:val="3"/>
          </w:tcPr>
          <w:p>
            <w:pPr>
              <w:ind w:left="80"/>
              <w:spacing w:after="0"/>
              <w:rPr>
                <w:sz w:val="20"/>
                <w:szCs w:val="20"/>
                <w:color w:val="auto"/>
              </w:rPr>
            </w:pPr>
            <w:r>
              <w:rPr>
                <w:rFonts w:ascii="Arial" w:cs="Arial" w:eastAsia="Arial" w:hAnsi="Arial"/>
                <w:sz w:val="22"/>
                <w:szCs w:val="22"/>
                <w:color w:val="auto"/>
              </w:rPr>
              <w:t>Mineral Property Securities</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40" w:type="dxa"/>
            <w:vAlign w:val="bottom"/>
            <w:gridSpan w:val="2"/>
          </w:tcPr>
          <w:p>
            <w:pPr>
              <w:ind w:left="260"/>
              <w:spacing w:after="0" w:line="233" w:lineRule="exact"/>
              <w:rPr>
                <w:sz w:val="20"/>
                <w:szCs w:val="20"/>
                <w:color w:val="auto"/>
              </w:rPr>
            </w:pPr>
            <w:r>
              <w:rPr>
                <w:rFonts w:ascii="Arial" w:cs="Arial" w:eastAsia="Arial" w:hAnsi="Arial"/>
                <w:sz w:val="22"/>
                <w:szCs w:val="22"/>
                <w:color w:val="auto"/>
                <w:w w:val="94"/>
              </w:rPr>
              <w:t>Security to be Acquired Upon Exercise of Option, Warrant or</w:t>
            </w: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92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920" w:type="dxa"/>
            <w:vAlign w:val="bottom"/>
          </w:tcPr>
          <w:p>
            <w:pPr>
              <w:spacing w:after="0"/>
              <w:rPr>
                <w:sz w:val="24"/>
                <w:szCs w:val="24"/>
                <w:color w:val="auto"/>
              </w:rPr>
            </w:pPr>
          </w:p>
        </w:tc>
        <w:tc>
          <w:tcPr>
            <w:tcW w:w="1620" w:type="dxa"/>
            <w:vAlign w:val="bottom"/>
          </w:tcPr>
          <w:p>
            <w:pPr>
              <w:ind w:left="80"/>
              <w:spacing w:after="0"/>
              <w:rPr>
                <w:sz w:val="20"/>
                <w:szCs w:val="20"/>
                <w:color w:val="auto"/>
              </w:rPr>
            </w:pPr>
            <w:r>
              <w:rPr>
                <w:rFonts w:ascii="Arial" w:cs="Arial" w:eastAsia="Arial" w:hAnsi="Arial"/>
                <w:sz w:val="22"/>
                <w:szCs w:val="22"/>
                <w:color w:val="auto"/>
                <w:w w:val="95"/>
              </w:rPr>
              <w:t>Other (describe)</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980" w:type="dxa"/>
            <w:vAlign w:val="bottom"/>
            <w:vMerge w:val="restart"/>
          </w:tcPr>
          <w:p>
            <w:pPr>
              <w:ind w:left="80"/>
              <w:spacing w:after="0"/>
              <w:rPr>
                <w:sz w:val="20"/>
                <w:szCs w:val="20"/>
                <w:color w:val="auto"/>
              </w:rPr>
            </w:pPr>
            <w:r>
              <w:rPr>
                <w:rFonts w:ascii="Arial" w:cs="Arial" w:eastAsia="Arial" w:hAnsi="Arial"/>
                <w:sz w:val="22"/>
                <w:szCs w:val="22"/>
                <w:color w:val="auto"/>
                <w:w w:val="94"/>
              </w:rPr>
              <w:t>Yes X No</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2"/>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2540" w:type="dxa"/>
            <w:vAlign w:val="bottom"/>
            <w:gridSpan w:val="2"/>
          </w:tcPr>
          <w:p>
            <w:pPr>
              <w:ind w:left="34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20"/>
              <w:spacing w:after="0"/>
              <w:rPr>
                <w:sz w:val="20"/>
                <w:szCs w:val="20"/>
                <w:color w:val="auto"/>
              </w:rPr>
            </w:pPr>
            <w:r>
              <w:rPr>
                <w:rFonts w:ascii="Arial" w:cs="Arial" w:eastAsia="Arial" w:hAnsi="Arial"/>
                <w:sz w:val="22"/>
                <w:szCs w:val="22"/>
                <w:color w:val="auto"/>
                <w:w w:val="98"/>
              </w:rPr>
              <w:t>None</w:t>
            </w: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20" w:type="dxa"/>
            <w:vAlign w:val="bottom"/>
          </w:tcPr>
          <w:p>
            <w:pPr>
              <w:ind w:left="40"/>
              <w:spacing w:after="0"/>
              <w:rPr>
                <w:sz w:val="20"/>
                <w:szCs w:val="20"/>
                <w:color w:val="auto"/>
              </w:rPr>
            </w:pPr>
            <w:r>
              <w:rPr>
                <w:rFonts w:ascii="Arial" w:cs="Arial" w:eastAsia="Arial" w:hAnsi="Arial"/>
                <w:sz w:val="22"/>
                <w:szCs w:val="22"/>
                <w:color w:val="auto"/>
              </w:rPr>
              <w:t>Leerink Partners LLC</w:t>
            </w:r>
          </w:p>
        </w:tc>
        <w:tc>
          <w:tcPr>
            <w:tcW w:w="920" w:type="dxa"/>
            <w:vAlign w:val="bottom"/>
          </w:tcPr>
          <w:p>
            <w:pPr>
              <w:ind w:left="300"/>
              <w:spacing w:after="0"/>
              <w:rPr>
                <w:sz w:val="20"/>
                <w:szCs w:val="20"/>
                <w:color w:val="auto"/>
              </w:rPr>
            </w:pPr>
            <w:r>
              <w:rPr>
                <w:rFonts w:ascii="Arial" w:cs="Arial" w:eastAsia="Arial" w:hAnsi="Arial"/>
                <w:sz w:val="22"/>
                <w:szCs w:val="22"/>
                <w:color w:val="auto"/>
                <w:w w:val="98"/>
              </w:rPr>
              <w:t>39011</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92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180" w:type="dxa"/>
            <w:vAlign w:val="bottom"/>
            <w:gridSpan w:val="4"/>
          </w:tcPr>
          <w:p>
            <w:pPr>
              <w:ind w:left="340"/>
              <w:spacing w:after="0"/>
              <w:rPr>
                <w:sz w:val="20"/>
                <w:szCs w:val="20"/>
                <w:color w:val="auto"/>
              </w:rPr>
            </w:pPr>
            <w:r>
              <w:rPr>
                <w:rFonts w:ascii="Arial" w:cs="Arial" w:eastAsia="Arial" w:hAnsi="Arial"/>
                <w:sz w:val="22"/>
                <w:szCs w:val="22"/>
                <w:color w:val="auto"/>
              </w:rPr>
              <w:t>(Associated) Broker or Dealer CRD</w:t>
            </w:r>
          </w:p>
        </w:tc>
        <w:tc>
          <w:tcPr>
            <w:tcW w:w="2280" w:type="dxa"/>
            <w:vAlign w:val="bottom"/>
            <w:vMerge w:val="restart"/>
          </w:tcPr>
          <w:p>
            <w:pPr>
              <w:ind w:left="60"/>
              <w:spacing w:after="0"/>
              <w:rPr>
                <w:sz w:val="20"/>
                <w:szCs w:val="20"/>
                <w:color w:val="auto"/>
              </w:rPr>
            </w:pPr>
            <w:r>
              <w:rPr>
                <w:rFonts w:ascii="Arial" w:cs="Arial" w:eastAsia="Arial" w:hAnsi="Arial"/>
                <w:sz w:val="22"/>
                <w:szCs w:val="22"/>
                <w:color w:val="auto"/>
              </w:rPr>
              <w:t>X None</w:t>
            </w:r>
          </w:p>
        </w:tc>
        <w:tc>
          <w:tcPr>
            <w:tcW w:w="0" w:type="dxa"/>
            <w:vAlign w:val="bottom"/>
          </w:tcPr>
          <w:p>
            <w:pPr>
              <w:spacing w:after="0"/>
              <w:rPr>
                <w:sz w:val="1"/>
                <w:szCs w:val="1"/>
                <w:color w:val="auto"/>
              </w:rPr>
            </w:pPr>
          </w:p>
        </w:tc>
      </w:tr>
      <w:tr>
        <w:trPr>
          <w:trHeight w:val="153"/>
        </w:trPr>
        <w:tc>
          <w:tcPr>
            <w:tcW w:w="4920" w:type="dxa"/>
            <w:vAlign w:val="bottom"/>
            <w:vMerge w:val="continue"/>
          </w:tcPr>
          <w:p>
            <w:pPr>
              <w:spacing w:after="0"/>
              <w:rPr>
                <w:sz w:val="13"/>
                <w:szCs w:val="13"/>
                <w:color w:val="auto"/>
              </w:rPr>
            </w:pPr>
          </w:p>
        </w:tc>
        <w:tc>
          <w:tcPr>
            <w:tcW w:w="2540" w:type="dxa"/>
            <w:vAlign w:val="bottom"/>
            <w:gridSpan w:val="2"/>
            <w:vMerge w:val="restart"/>
          </w:tcPr>
          <w:p>
            <w:pPr>
              <w:ind w:left="340"/>
              <w:spacing w:after="0"/>
              <w:rPr>
                <w:sz w:val="20"/>
                <w:szCs w:val="20"/>
                <w:color w:val="auto"/>
              </w:rPr>
            </w:pPr>
            <w:r>
              <w:rPr>
                <w:rFonts w:ascii="Arial" w:cs="Arial" w:eastAsia="Arial" w:hAnsi="Arial"/>
                <w:sz w:val="22"/>
                <w:szCs w:val="22"/>
                <w:color w:val="auto"/>
              </w:rPr>
              <w:t>Number</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tcPr>
          <w:p>
            <w:pPr>
              <w:spacing w:after="0"/>
              <w:rPr>
                <w:sz w:val="10"/>
                <w:szCs w:val="10"/>
                <w:color w:val="auto"/>
              </w:rPr>
            </w:pPr>
          </w:p>
        </w:tc>
        <w:tc>
          <w:tcPr>
            <w:tcW w:w="254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920" w:type="dxa"/>
            <w:vAlign w:val="bottom"/>
          </w:tcPr>
          <w:p>
            <w:pPr>
              <w:ind w:left="40"/>
              <w:spacing w:after="0"/>
              <w:rPr>
                <w:sz w:val="20"/>
                <w:szCs w:val="20"/>
                <w:color w:val="auto"/>
              </w:rPr>
            </w:pPr>
            <w:r>
              <w:rPr>
                <w:rFonts w:ascii="Arial" w:cs="Arial" w:eastAsia="Arial" w:hAnsi="Arial"/>
                <w:sz w:val="22"/>
                <w:szCs w:val="22"/>
                <w:color w:val="auto"/>
              </w:rPr>
              <w:t>None</w:t>
            </w:r>
          </w:p>
        </w:tc>
        <w:tc>
          <w:tcPr>
            <w:tcW w:w="920" w:type="dxa"/>
            <w:vAlign w:val="bottom"/>
          </w:tcPr>
          <w:p>
            <w:pPr>
              <w:ind w:left="300"/>
              <w:spacing w:after="0"/>
              <w:rPr>
                <w:sz w:val="20"/>
                <w:szCs w:val="20"/>
                <w:color w:val="auto"/>
              </w:rPr>
            </w:pPr>
            <w:r>
              <w:rPr>
                <w:rFonts w:ascii="Arial" w:cs="Arial" w:eastAsia="Arial" w:hAnsi="Arial"/>
                <w:sz w:val="22"/>
                <w:szCs w:val="22"/>
                <w:color w:val="auto"/>
              </w:rPr>
              <w:t>None</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920" w:type="dxa"/>
            <w:vAlign w:val="bottom"/>
          </w:tcPr>
          <w:p>
            <w:pPr>
              <w:spacing w:after="0"/>
              <w:rPr>
                <w:sz w:val="24"/>
                <w:szCs w:val="24"/>
                <w:color w:val="auto"/>
              </w:rPr>
            </w:pPr>
          </w:p>
        </w:tc>
        <w:tc>
          <w:tcPr>
            <w:tcW w:w="3260" w:type="dxa"/>
            <w:vAlign w:val="bottom"/>
            <w:gridSpan w:val="3"/>
          </w:tcPr>
          <w:p>
            <w:pPr>
              <w:ind w:left="960"/>
              <w:spacing w:after="0"/>
              <w:rPr>
                <w:sz w:val="20"/>
                <w:szCs w:val="20"/>
                <w:color w:val="auto"/>
              </w:rPr>
            </w:pPr>
            <w:r>
              <w:rPr>
                <w:rFonts w:ascii="Arial" w:cs="Arial" w:eastAsia="Arial" w:hAnsi="Arial"/>
                <w:sz w:val="22"/>
                <w:szCs w:val="22"/>
                <w:b w:val="1"/>
                <w:bCs w:val="1"/>
                <w:color w:val="auto"/>
              </w:rPr>
              <w:t>Street Address 2</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ind w:left="40"/>
              <w:spacing w:after="0"/>
              <w:rPr>
                <w:sz w:val="20"/>
                <w:szCs w:val="20"/>
                <w:color w:val="auto"/>
              </w:rPr>
            </w:pPr>
            <w:r>
              <w:rPr>
                <w:rFonts w:ascii="Arial" w:cs="Arial" w:eastAsia="Arial" w:hAnsi="Arial"/>
                <w:sz w:val="22"/>
                <w:szCs w:val="22"/>
                <w:color w:val="auto"/>
              </w:rPr>
              <w:t>One Federal Street</w:t>
            </w:r>
          </w:p>
        </w:tc>
        <w:tc>
          <w:tcPr>
            <w:tcW w:w="2540" w:type="dxa"/>
            <w:vAlign w:val="bottom"/>
            <w:gridSpan w:val="2"/>
          </w:tcPr>
          <w:p>
            <w:pPr>
              <w:ind w:left="300"/>
              <w:spacing w:after="0"/>
              <w:rPr>
                <w:sz w:val="20"/>
                <w:szCs w:val="20"/>
                <w:color w:val="auto"/>
              </w:rPr>
            </w:pPr>
            <w:r>
              <w:rPr>
                <w:rFonts w:ascii="Arial" w:cs="Arial" w:eastAsia="Arial" w:hAnsi="Arial"/>
                <w:sz w:val="22"/>
                <w:szCs w:val="22"/>
                <w:color w:val="auto"/>
              </w:rPr>
              <w:t>37th Floor</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ind w:left="40"/>
              <w:spacing w:after="0"/>
              <w:rPr>
                <w:sz w:val="20"/>
                <w:szCs w:val="20"/>
                <w:color w:val="auto"/>
              </w:rPr>
            </w:pPr>
            <w:r>
              <w:rPr>
                <w:rFonts w:ascii="Arial" w:cs="Arial" w:eastAsia="Arial" w:hAnsi="Arial"/>
                <w:sz w:val="22"/>
                <w:szCs w:val="22"/>
                <w:color w:val="auto"/>
              </w:rPr>
              <w:t>City</w:t>
            </w:r>
          </w:p>
        </w:tc>
        <w:tc>
          <w:tcPr>
            <w:tcW w:w="2540" w:type="dxa"/>
            <w:vAlign w:val="bottom"/>
            <w:gridSpan w:val="2"/>
          </w:tcPr>
          <w:p>
            <w:pPr>
              <w:ind w:left="30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ind w:left="8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297"/>
        </w:trPr>
        <w:tc>
          <w:tcPr>
            <w:tcW w:w="4920" w:type="dxa"/>
            <w:vAlign w:val="bottom"/>
          </w:tcPr>
          <w:p>
            <w:pPr>
              <w:ind w:left="40"/>
              <w:spacing w:after="0"/>
              <w:rPr>
                <w:sz w:val="20"/>
                <w:szCs w:val="20"/>
                <w:color w:val="auto"/>
              </w:rPr>
            </w:pPr>
            <w:r>
              <w:rPr>
                <w:rFonts w:ascii="Arial" w:cs="Arial" w:eastAsia="Arial" w:hAnsi="Arial"/>
                <w:sz w:val="22"/>
                <w:szCs w:val="22"/>
                <w:color w:val="auto"/>
              </w:rPr>
              <w:t>Boston</w:t>
            </w:r>
          </w:p>
        </w:tc>
        <w:tc>
          <w:tcPr>
            <w:tcW w:w="2540" w:type="dxa"/>
            <w:vAlign w:val="bottom"/>
            <w:gridSpan w:val="2"/>
          </w:tcPr>
          <w:p>
            <w:pPr>
              <w:ind w:left="300"/>
              <w:spacing w:after="0"/>
              <w:rPr>
                <w:sz w:val="20"/>
                <w:szCs w:val="20"/>
                <w:color w:val="auto"/>
              </w:rPr>
            </w:pPr>
            <w:r>
              <w:rPr>
                <w:rFonts w:ascii="Arial" w:cs="Arial" w:eastAsia="Arial" w:hAnsi="Arial"/>
                <w:sz w:val="22"/>
                <w:szCs w:val="22"/>
                <w:color w:val="auto"/>
              </w:rPr>
              <w:t>MASSACHUSETTS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ind w:left="840"/>
              <w:spacing w:after="0"/>
              <w:rPr>
                <w:sz w:val="20"/>
                <w:szCs w:val="20"/>
                <w:color w:val="auto"/>
              </w:rPr>
            </w:pPr>
            <w:r>
              <w:rPr>
                <w:rFonts w:ascii="Arial" w:cs="Arial" w:eastAsia="Arial" w:hAnsi="Arial"/>
                <w:sz w:val="22"/>
                <w:szCs w:val="22"/>
                <w:color w:val="auto"/>
              </w:rPr>
              <w:t>02110</w:t>
            </w:r>
          </w:p>
        </w:tc>
        <w:tc>
          <w:tcPr>
            <w:tcW w:w="0" w:type="dxa"/>
            <w:vAlign w:val="bottom"/>
          </w:tcPr>
          <w:p>
            <w:pPr>
              <w:spacing w:after="0"/>
              <w:rPr>
                <w:sz w:val="1"/>
                <w:szCs w:val="1"/>
                <w:color w:val="auto"/>
              </w:rPr>
            </w:pPr>
          </w:p>
        </w:tc>
      </w:tr>
    </w:tbl>
    <w:p>
      <w:pPr>
        <w:sectPr>
          <w:pgSz w:w="11900" w:h="16838" w:orient="portrait"/>
          <w:cols w:equalWidth="0" w:num="1">
            <w:col w:w="11380"/>
          </w:cols>
          <w:pgMar w:left="240" w:top="108" w:right="279" w:bottom="0" w:gutter="0" w:footer="0" w:header="0"/>
          <w:type w:val="continuous"/>
        </w:sectPr>
      </w:pPr>
    </w:p>
    <w:bookmarkStart w:id="4" w:name="page5"/>
    <w:bookmarkEnd w:id="4"/>
    <w:p>
      <w:pPr>
        <w:ind w:left="80"/>
        <w:spacing w:after="0"/>
        <w:tabs>
          <w:tab w:leader="none" w:pos="4040" w:val="left"/>
          <w:tab w:leader="none" w:pos="5400" w:val="left"/>
        </w:tabs>
        <w:rPr>
          <w:sz w:val="20"/>
          <w:szCs w:val="20"/>
          <w:color w:val="auto"/>
        </w:rPr>
      </w:pPr>
      <w:r>
        <w:rPr>
          <w:rFonts w:ascii="Arial" w:cs="Arial" w:eastAsia="Arial" w:hAnsi="Arial"/>
          <w:sz w:val="22"/>
          <w:szCs w:val="22"/>
          <w:color w:val="auto"/>
        </w:rPr>
        <w:t>State(s) of Solicitation (select all that apply)</w:t>
        <w:tab/>
        <w:t>X All States</w:t>
      </w:r>
      <w:r>
        <w:rPr>
          <w:sz w:val="20"/>
          <w:szCs w:val="20"/>
          <w:color w:val="auto"/>
        </w:rPr>
        <w:tab/>
      </w:r>
      <w:r>
        <w:rPr>
          <w:rFonts w:ascii="Arial" w:cs="Arial" w:eastAsia="Arial" w:hAnsi="Arial"/>
          <w:sz w:val="19"/>
          <w:szCs w:val="19"/>
          <w:color w:val="auto"/>
        </w:rPr>
        <w:t>Foreign/non-US</w:t>
      </w:r>
    </w:p>
    <w:p>
      <w:pPr>
        <w:ind w:left="80"/>
        <w:spacing w:after="0" w:line="238" w:lineRule="auto"/>
        <w:rPr>
          <w:sz w:val="20"/>
          <w:szCs w:val="20"/>
          <w:color w:val="auto"/>
        </w:rPr>
      </w:pPr>
      <w:r>
        <w:rPr>
          <w:rFonts w:ascii="Arial" w:cs="Arial" w:eastAsia="Arial" w:hAnsi="Arial"/>
          <w:sz w:val="22"/>
          <w:szCs w:val="22"/>
          <w:color w:val="auto"/>
        </w:rPr>
        <w:t>Check “All States” or check individual</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$107,996,652</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40" w:type="dxa"/>
            <w:vAlign w:val="bottom"/>
          </w:tcPr>
          <w:p>
            <w:pPr>
              <w:jc w:val="right"/>
              <w:spacing w:after="0"/>
              <w:rPr>
                <w:sz w:val="20"/>
                <w:szCs w:val="20"/>
                <w:color w:val="auto"/>
              </w:rPr>
            </w:pPr>
            <w:r>
              <w:rPr>
                <w:rFonts w:ascii="Arial" w:cs="Arial" w:eastAsia="Arial" w:hAnsi="Arial"/>
                <w:sz w:val="22"/>
                <w:szCs w:val="22"/>
                <w:color w:val="auto"/>
                <w:w w:val="96"/>
              </w:rPr>
              <w:t>$77,771,627</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240" w:type="dxa"/>
            <w:vAlign w:val="bottom"/>
          </w:tcPr>
          <w:p>
            <w:pPr>
              <w:jc w:val="right"/>
              <w:spacing w:after="0"/>
              <w:rPr>
                <w:sz w:val="20"/>
                <w:szCs w:val="20"/>
                <w:color w:val="auto"/>
              </w:rPr>
            </w:pPr>
            <w:r>
              <w:rPr>
                <w:rFonts w:ascii="Arial" w:cs="Arial" w:eastAsia="Arial" w:hAnsi="Arial"/>
                <w:sz w:val="22"/>
                <w:szCs w:val="22"/>
                <w:color w:val="auto"/>
                <w:w w:val="96"/>
              </w:rPr>
              <w:t>$30,225,025</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600"/>
        <w:spacing w:after="0" w:line="328" w:lineRule="auto"/>
        <w:rPr>
          <w:sz w:val="20"/>
          <w:szCs w:val="20"/>
          <w:color w:val="auto"/>
        </w:rPr>
      </w:pPr>
      <w:r>
        <w:rPr>
          <w:rFonts w:ascii="Arial" w:cs="Arial" w:eastAsia="Arial" w:hAnsi="Arial"/>
          <w:sz w:val="19"/>
          <w:szCs w:val="19"/>
          <w:color w:val="auto"/>
        </w:rPr>
        <w:t>Includes amounts receivable by the issuer upon the exercise of warrants to purchase the issuer's common stock, assuming no cashless exercise. None of such warrants have yet been exercised and such warrants may never be exercised.</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$2,525,000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488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24885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8" w:right="279" w:bottom="0" w:gutter="0" w:footer="0" w:header="0"/>
        </w:sectPr>
      </w:pPr>
    </w:p>
    <w:bookmarkStart w:id="5" w:name="page6"/>
    <w:bookmarkEnd w:id="5"/>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60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ARDELYX, INC.</w:t>
            </w:r>
          </w:p>
        </w:tc>
        <w:tc>
          <w:tcPr>
            <w:tcW w:w="40" w:type="dxa"/>
            <w:vAlign w:val="bottom"/>
          </w:tcPr>
          <w:p>
            <w:pPr>
              <w:spacing w:after="0"/>
              <w:rPr>
                <w:sz w:val="22"/>
                <w:szCs w:val="22"/>
                <w:color w:val="auto"/>
              </w:rPr>
            </w:pPr>
          </w:p>
        </w:tc>
        <w:tc>
          <w:tcPr>
            <w:tcW w:w="26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Elizabeth Grammer</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Elizabeth Grammer</w:t>
            </w:r>
          </w:p>
        </w:tc>
        <w:tc>
          <w:tcPr>
            <w:tcW w:w="20" w:type="dxa"/>
            <w:vAlign w:val="bottom"/>
          </w:tcPr>
          <w:p>
            <w:pPr>
              <w:spacing w:after="0"/>
              <w:rPr>
                <w:sz w:val="22"/>
                <w:szCs w:val="22"/>
                <w:color w:val="auto"/>
              </w:rPr>
            </w:pPr>
          </w:p>
        </w:tc>
        <w:tc>
          <w:tcPr>
            <w:tcW w:w="2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VP and General Counsel</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2015-06-22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0"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2019-12-08T21:09:12Z</dcterms:created>
  <dcterms:modified xsi:type="dcterms:W3CDTF">2019-12-08T21:09:12Z</dcterms:modified>
</cp:coreProperties>
</file>