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February 22, 2024, Ardelyx, Inc. (the “Company”) announced its financial results for the year ended December 31, 2023. The full text of the press release issued in connection with the announcement is furnished as Exhibit 99.1 to this Current Report on Form 8-K.</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Fourth Quarter and Full Year 2023 Financial Results and Provides Business Update</w:t>
      </w:r>
    </w:p>
    <w:p>
      <w:pPr>
        <w:spacing w:after="0" w:line="254"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Strong commercial performance of IBSRELA continues, ending FY 2023 with $80.1 million in net product sales revenue; 2024 net product sales revenue currently expected to be between $140.0 to $150.0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XPHOZAH launch off to a strong start, ending FY 2023 with $2.5 million in net product sales revenue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ends FY 2023 with $184.3 million in cash and investments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200" w:lineRule="exact"/>
        <w:rPr>
          <w:sz w:val="20"/>
          <w:szCs w:val="20"/>
          <w:color w:val="auto"/>
        </w:rPr>
      </w:pP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February 22, 2024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fourth quarter and full year ended December 31, 2023 and provided a business update.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“Ardelyx enters 2024 with tremendous commercial and operational momentum. We finished 2023 with a strong revenue performance as both IBSRELA and XPHOZAH launches continue to exceed expectations. We will look to significantly expand our position within their respective markets in 2024,” said Mike Raab, president and chief executive officer of Ardelyx. “We have two first-in-class therapies with strong clinical profiles where patients continue to have unmet treatment needs. We will focus on executing our commercial approach, which has proven to be effective, increasing our investment in IBSRELA to help more patients and increase market share, while simultaneously advancing the launch of XPHOZAH.</w:t>
      </w: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well-capitalized, we are working to establish a track record of delivering consistent results, and we believe we have opportunities for additional value creation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 (tenapanor) finishes 2023 with $80.1 million in net product sales revenue, $28.1 million in Q4 2023</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U.S. net product sales revenue for the first full calendar year of commercialization of IBSRELA was $80.1 million. During the fourth quarter of 2023, U.S. net product sales revenue was $28.1 million, reflecting 26% growth compared to the third quarter of 2023. In January, Ardelyx announced that it expects IBSRELA to achieve greater than 10 percent share of the prescription irritable bowel syndrome with constipation (IBS-C) market at peak and generate more than $1.0 billion in annual U.S. net product sales revenue before patent term expiration. In 2024, the company will continue to invest to support future realization of the full potential for IBSRELA, including the expansion of the IBSRELA sales team, additional promotional programming and omnichannel digital capabilities, increased sampling availability, and expanded support provided by the ArdelyxAssist™ patient services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currently expects full-year 2024 U.S. net product sales revenue for IBSRELA to be between $140.0 and $150.0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launched in November 2023; records $2.5 million net product sales revenue during Q4 2023</w:t>
      </w:r>
    </w:p>
    <w:p>
      <w:pPr>
        <w:spacing w:after="0" w:line="1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approval by the U.S. Food and Drug Administration (FDA) of XPHOZAH in October 2023 and launch in November 2023, Ardelyx has seen a strong initial response from the nephrology community. U.S. net product sales revenue in the fourth quarter of 2023 were $2.5 million.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Today, the company announced the planned initiation of a long-term, prospective, observational cohort study designed to collect real-world evidence for XPHOZAH. The objective of the study is to evaluate the impact of an XPHOZAH-based regimen (XBR) in a real-world setting, in patients with hyperphosphatemia on maintenance dialysis who were not controlled on binder therapy. The study will follow patients in the United States for a period of up to three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256" w:lineRule="exact"/>
        <w:rPr>
          <w:sz w:val="20"/>
          <w:szCs w:val="20"/>
          <w:color w:val="auto"/>
        </w:rPr>
      </w:pPr>
    </w:p>
    <w:p>
      <w:pPr>
        <w:ind w:left="340" w:right="80" w:hanging="332"/>
        <w:spacing w:after="0" w:line="312" w:lineRule="auto"/>
        <w:tabs>
          <w:tab w:leader="none" w:pos="3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recently released its 2023 Environmental, Social and Governance (ESG) report, demonstrating the company’s commitment and progress towards initiatives and best practices that build a more equitable and sustainable organization. The report is available on the company’s website.</w:t>
      </w:r>
    </w:p>
    <w:p>
      <w:pPr>
        <w:sectPr>
          <w:pgSz w:w="11900" w:h="16838" w:orient="portrait"/>
          <w:cols w:equalWidth="0" w:num="1">
            <w:col w:w="11240"/>
          </w:cols>
          <w:pgMar w:left="320" w:top="1062" w:right="339" w:bottom="1440" w:gutter="0" w:footer="0" w:header="0"/>
        </w:sectPr>
      </w:pPr>
    </w:p>
    <w:bookmarkStart w:id="4" w:name="page5"/>
    <w:bookmarkEnd w:id="4"/>
    <w:p>
      <w:pPr>
        <w:ind w:left="340" w:right="60" w:hanging="332"/>
        <w:spacing w:after="0" w:line="25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Kyowa Kirin Co. Ltd. announced that tenapanor, marketed as PHOZEVEL®, will be available to patients in Japan as of February 20, 2024. In September 2023, Ardelyx and Kyowa Kirin announced that PHOZEVEL received approval from the Japanese Ministry of Health, Labour and Welfare for the New Drug Application for tenapanor for the improvement of hyperphosphatemia in adult patients with chronic kidney disease (CKD) on dialysis.</w:t>
      </w:r>
    </w:p>
    <w:p>
      <w:pPr>
        <w:spacing w:after="0" w:line="2"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the company hosted a Key Opinion Leader Discussion regarding the IBS-C treatment landscape with Philip Schoenfeld, M.D., MS Ed, MSc, Chief (Emeritus) of the Gastroenterology Section at the John D. Dingell VA Medical Center in Detroit, Mich. The event webcast is archived on the company’s website.</w:t>
      </w:r>
    </w:p>
    <w:p>
      <w:pPr>
        <w:spacing w:after="0" w:line="1"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the company announced that XPHOZAH has been granted Orphan Drug Designation by the U.S. FDA for the treatment of pediatric hyperphosphatemia.</w:t>
      </w:r>
    </w:p>
    <w:p>
      <w:pPr>
        <w:ind w:left="340" w:right="280" w:hanging="332"/>
        <w:spacing w:after="0" w:line="25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American Society of Nephrology Kidney Week 2023 meeting in Philadelphia. from November 1-5, 2023. The company presented four posters providing additional data highlighting the safety and efficacy of XPHOZAH. In addition, the company’s commercial partner in Japan, Kyowa Kirin, presented two posters. The company also sponsored an Exhibitor Spotlight titled “A New Paradigm: Rethinking Hyperphosphatemia Management,” where Arnold Silva, M.D., Ph.D., director of Home and Peritoneal Dialysis Programs at the Boise Kidney &amp; Hypertension Institute, and David Spiegel, M.D., vice president of nephrology at Ardelyx, led a discussion on important clinical considerations in managing CKD patients with hyperphosphatemia.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Financial Results</w:t>
      </w:r>
    </w:p>
    <w:p>
      <w:pPr>
        <w:spacing w:after="0" w:line="252" w:lineRule="exact"/>
        <w:rPr>
          <w:sz w:val="20"/>
          <w:szCs w:val="20"/>
          <w:color w:val="auto"/>
        </w:rPr>
      </w:pPr>
    </w:p>
    <w:p>
      <w:pPr>
        <w:ind w:left="340" w:hanging="332"/>
        <w:spacing w:after="0" w:line="256"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2023, the company had total cash, cash equivalents and short-term investments of $184.3 million,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short-term investments of $123.9 million as of December 31, 2022. During the quarter ended December 31, 2023, the company drew $22.4 million in net proceeds under its term loan with SLR Investment Corp. Subsequent to December 31, in January 2024, the company received a $3.0 million milestone payment from Fosun Pharma following the U.S. approval of XPHOZAH.</w:t>
      </w:r>
    </w:p>
    <w:p>
      <w:pPr>
        <w:spacing w:after="0" w:line="3"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25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Total revenues for the year ended December 31, 2023 were $124.5 million, compared to $52.2 million in total revenues in 2022, reflecting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increased net product sales, licensing revenues and product supply revenue. U.S. net product sales revenue for IBSRELA was $80.1 million, compared to $15.6 million in 2022. U.S. net product sales revenue in 2023 for XPHOZAH was $2.5 million following its commercial launch in November 2023. Licensing revenue was $35.8 million in the year, including $30.0 million in milestone and license agreement amendment payments from Kyowa Kirin following the approval of tenapanor for hyperphosphatemia in Japan, as well as $5.0 million in milestone payments from Fosun Pharma related to the acceptance of the New Drug Application for tenapanor for the control of serum phosphorus in adult patients with CKD on dialysis in China and the FDA approval of XPHOZAH in the U.S. Product supply revenue was $6.1 million, compared to product supply revenue of $1.5 million in 2022.</w:t>
      </w:r>
    </w:p>
    <w:p>
      <w:pPr>
        <w:spacing w:after="0" w:line="1" w:lineRule="exact"/>
        <w:rPr>
          <w:rFonts w:ascii="Times New Roman" w:cs="Times New Roman" w:eastAsia="Times New Roman" w:hAnsi="Times New Roman"/>
          <w:sz w:val="17"/>
          <w:szCs w:val="17"/>
          <w:color w:val="auto"/>
        </w:rPr>
      </w:pPr>
    </w:p>
    <w:p>
      <w:pPr>
        <w:ind w:left="340" w:hanging="332"/>
        <w:spacing w:after="0" w:line="25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$35.5 million for the year ended December 31, 2023, compared to $35.2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2022.</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$134.4 million for the year ended December 31, 2023, an increase of</w:t>
      </w:r>
    </w:p>
    <w:p>
      <w:pPr>
        <w:spacing w:after="0" w:line="9" w:lineRule="exact"/>
        <w:rPr>
          <w:sz w:val="20"/>
          <w:szCs w:val="20"/>
          <w:color w:val="auto"/>
        </w:rPr>
      </w:pPr>
    </w:p>
    <w:p>
      <w:pPr>
        <w:jc w:val="both"/>
        <w:ind w:left="340" w:right="440"/>
        <w:spacing w:after="0" w:line="245" w:lineRule="auto"/>
        <w:rPr>
          <w:sz w:val="20"/>
          <w:szCs w:val="20"/>
          <w:color w:val="auto"/>
        </w:rPr>
      </w:pPr>
      <w:r>
        <w:rPr>
          <w:rFonts w:ascii="Times New Roman" w:cs="Times New Roman" w:eastAsia="Times New Roman" w:hAnsi="Times New Roman"/>
          <w:sz w:val="18"/>
          <w:szCs w:val="18"/>
          <w:color w:val="auto"/>
        </w:rPr>
        <w:t>$57.8 million compared to $76.6 million for the year ended December 31, 2022. The increase in selling, general and administrative expenses was primarily due to increased costs associated with the ongoing commercialization of IBSRELA and commercial activities to prepare for and launch XPHOZAH.</w:t>
      </w:r>
    </w:p>
    <w:p>
      <w:pPr>
        <w:spacing w:after="0" w:line="2" w:lineRule="exact"/>
        <w:rPr>
          <w:sz w:val="20"/>
          <w:szCs w:val="20"/>
          <w:color w:val="auto"/>
        </w:rPr>
      </w:pPr>
    </w:p>
    <w:p>
      <w:pPr>
        <w:ind w:left="340" w:right="120" w:hanging="332"/>
        <w:spacing w:after="0" w:line="239"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year ended December 31, 2023 was $66.1 million, or $(0.30) per share, compared to net loss of $67.2 million, or $(0.42)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year ended December 31, 2022. The net loss for the full year 2023 included share-based compensation expense of $13.5 million, non-cash interest expense related to the sale of future royalties of $3.9 million and a non-cash impairment of a lease right of use asset of $0.4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today, February 22, 2024, at 4:30 PM ET to discuss today’s announcement. To participate in the conference call, please dial (844) 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4046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w:t>
      </w:r>
    </w:p>
    <w:p>
      <w:pPr>
        <w:spacing w:after="0" w:line="117" w:lineRule="exact"/>
        <w:rPr>
          <w:sz w:val="20"/>
          <w:szCs w:val="20"/>
          <w:color w:val="auto"/>
        </w:rPr>
      </w:pPr>
    </w:p>
    <w:p>
      <w:pPr>
        <w:ind w:left="40" w:right="700"/>
        <w:spacing w:after="0" w:line="391" w:lineRule="auto"/>
        <w:rPr>
          <w:sz w:val="20"/>
          <w:szCs w:val="20"/>
          <w:color w:val="auto"/>
        </w:rPr>
      </w:pPr>
      <w:r>
        <w:rPr>
          <w:rFonts w:ascii="Times New Roman" w:cs="Times New Roman" w:eastAsia="Times New Roman" w:hAnsi="Times New Roman"/>
          <w:sz w:val="18"/>
          <w:szCs w:val="18"/>
          <w:color w:val="auto"/>
        </w:rPr>
        <w:t>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9" w:lineRule="exact"/>
        <w:rPr>
          <w:sz w:val="20"/>
          <w:szCs w:val="20"/>
          <w:color w:val="auto"/>
        </w:rPr>
      </w:pPr>
    </w:p>
    <w:p>
      <w:pPr>
        <w:jc w:val="both"/>
        <w:ind w:left="340" w:right="10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1"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full Prescribing Information, including Boxed Warning, for additional risk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patients under 6 years of age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may experience severe diarrhea. Treatment with XPHOZAH should be discontinued in patients who develop severe diarrhea.</w:t>
      </w:r>
    </w:p>
    <w:p>
      <w:pPr>
        <w:sectPr>
          <w:pgSz w:w="11900" w:h="16838" w:orient="portrait"/>
          <w:cols w:equalWidth="0" w:num="1">
            <w:col w:w="11200"/>
          </w:cols>
          <w:pgMar w:left="320" w:top="106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safety information, please see full Prescribing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25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as well as early stage pipeline candidates.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https://ardelyx.com/ and connect with us on X (formerly known as Twitter), LinkedIn and Facebook.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regarding opportunities for continued IBSRELA and XPHOZAH adoption, the potential growth of market share in their respective markets, the potential market share for IBSRELA and annual U.S. net product sales revenue at peak; and projected U.S. net product sales revenue for IBSRELA for full year 2024.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February 22, 2024, and its future current and periodic reports to be filed with the Securities and Exchange Commission.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clowie@ardelyx.com</w:t>
      </w:r>
    </w:p>
    <w:p>
      <w:pPr>
        <w:sectPr>
          <w:pgSz w:w="11900" w:h="16838" w:orient="portrait"/>
          <w:cols w:equalWidth="0" w:num="1">
            <w:col w:w="11220"/>
          </w:cols>
          <w:pgMar w:left="320" w:top="887" w:right="35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96,140</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current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non-current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25,064</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190,066</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26,711</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98,329</w:t>
            </w:r>
          </w:p>
        </w:tc>
      </w:tr>
      <w:tr>
        <w:trPr>
          <w:trHeight w:val="248"/>
        </w:trPr>
        <w:tc>
          <w:tcPr>
            <w:tcW w:w="7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financial statements included in the Company’s Annual Report on Form 10-K for the year ended December 31, 2022.</w:t>
      </w:r>
    </w:p>
    <w:p>
      <w:pPr>
        <w:sectPr>
          <w:pgSz w:w="11900" w:h="16838" w:orient="portrait"/>
          <w:cols w:equalWidth="0" w:num="1">
            <w:col w:w="11060"/>
          </w:cols>
          <w:pgMar w:left="320" w:top="1427" w:right="519" w:bottom="1440" w:gutter="0" w:footer="0" w:header="0"/>
        </w:sectPr>
      </w:pPr>
    </w:p>
    <w:bookmarkStart w:id="8" w:name="page9"/>
    <w:bookmarkEnd w:id="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(63,759)</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interest expense related to the sale of future</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provision for income taxes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 -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diluted</w:t>
            </w:r>
          </w:p>
        </w:tc>
        <w:tc>
          <w:tcPr>
            <w:tcW w:w="1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Shares used in computing net (loss) income per share -</w:t>
            </w: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232,253,351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192,430,121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219,331,253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158,690,083</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Shares used in computing net (loss) income per share -</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232,253,351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193,840,751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219,331,253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158,690,083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420"/>
      </w:cols>
      <w:pgMar w:left="7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2024-02-22T15:11:14Z</dcterms:created>
  <dcterms:modified xsi:type="dcterms:W3CDTF">2024-02-22T15:11:14Z</dcterms:modified>
</cp:coreProperties>
</file>