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1060" w:type="dxa"/>
        <w:tblCellMar>
          <w:top w:w="0" w:type="dxa"/>
          <w:left w:w="0" w:type="dxa"/>
          <w:bottom w:w="0" w:type="dxa"/>
          <w:right w:w="0" w:type="dxa"/>
        </w:tblCellMar>
      </w:tblPr>
      <w:tr>
        <w:trPr>
          <w:trHeight w:val="225"/>
        </w:trPr>
        <w:tc>
          <w:tcPr>
            <w:tcW w:w="2880" w:type="dxa"/>
            <w:vAlign w:val="bottom"/>
          </w:tcPr>
          <w:p>
            <w:pPr>
              <w:jc w:val="center"/>
              <w:ind w:right="1182"/>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ind w:left="1280"/>
              <w:spacing w:after="0"/>
              <w:rPr>
                <w:sz w:val="20"/>
                <w:szCs w:val="20"/>
                <w:color w:val="auto"/>
              </w:rPr>
            </w:pPr>
            <w:r>
              <w:rPr>
                <w:rFonts w:ascii="Arial" w:cs="Arial" w:eastAsia="Arial" w:hAnsi="Arial"/>
                <w:sz w:val="18"/>
                <w:szCs w:val="18"/>
                <w:b w:val="1"/>
                <w:bCs w:val="1"/>
                <w:color w:val="auto"/>
              </w:rPr>
              <w:t>001-36485</w:t>
            </w:r>
          </w:p>
        </w:tc>
        <w:tc>
          <w:tcPr>
            <w:tcW w:w="2740" w:type="dxa"/>
            <w:vAlign w:val="bottom"/>
          </w:tcPr>
          <w:p>
            <w:pPr>
              <w:jc w:val="center"/>
              <w:ind w:left="1222"/>
              <w:spacing w:after="0"/>
              <w:rPr>
                <w:sz w:val="20"/>
                <w:szCs w:val="20"/>
                <w:color w:val="auto"/>
              </w:rPr>
            </w:pPr>
            <w:r>
              <w:rPr>
                <w:rFonts w:ascii="Arial" w:cs="Arial" w:eastAsia="Arial" w:hAnsi="Arial"/>
                <w:sz w:val="18"/>
                <w:szCs w:val="18"/>
                <w:b w:val="1"/>
                <w:bCs w:val="1"/>
                <w:color w:val="auto"/>
                <w:w w:val="91"/>
              </w:rPr>
              <w:t>26-1303944</w:t>
            </w:r>
          </w:p>
        </w:tc>
      </w:tr>
      <w:tr>
        <w:trPr>
          <w:trHeight w:val="148"/>
        </w:trPr>
        <w:tc>
          <w:tcPr>
            <w:tcW w:w="2880" w:type="dxa"/>
            <w:vAlign w:val="bottom"/>
          </w:tcPr>
          <w:p>
            <w:pPr>
              <w:jc w:val="center"/>
              <w:ind w:right="11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400" w:type="dxa"/>
            <w:vAlign w:val="bottom"/>
          </w:tcPr>
          <w:p>
            <w:pPr>
              <w:ind w:left="1260"/>
              <w:spacing w:after="0" w:line="149" w:lineRule="exact"/>
              <w:rPr>
                <w:sz w:val="20"/>
                <w:szCs w:val="20"/>
                <w:color w:val="auto"/>
              </w:rPr>
            </w:pPr>
            <w:r>
              <w:rPr>
                <w:rFonts w:ascii="Arial" w:cs="Arial" w:eastAsia="Arial" w:hAnsi="Arial"/>
                <w:sz w:val="14"/>
                <w:szCs w:val="14"/>
                <w:b w:val="1"/>
                <w:bCs w:val="1"/>
                <w:color w:val="auto"/>
              </w:rPr>
              <w:t>(Commission</w:t>
            </w:r>
          </w:p>
        </w:tc>
        <w:tc>
          <w:tcPr>
            <w:tcW w:w="2740" w:type="dxa"/>
            <w:vAlign w:val="bottom"/>
          </w:tcPr>
          <w:p>
            <w:pPr>
              <w:jc w:val="center"/>
              <w:ind w:left="12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80" w:type="dxa"/>
            <w:vAlign w:val="bottom"/>
          </w:tcPr>
          <w:p>
            <w:pPr>
              <w:jc w:val="center"/>
              <w:ind w:right="1182"/>
              <w:spacing w:after="0"/>
              <w:rPr>
                <w:sz w:val="20"/>
                <w:szCs w:val="20"/>
                <w:color w:val="auto"/>
              </w:rPr>
            </w:pPr>
            <w:r>
              <w:rPr>
                <w:rFonts w:ascii="Arial" w:cs="Arial" w:eastAsia="Arial" w:hAnsi="Arial"/>
                <w:sz w:val="14"/>
                <w:szCs w:val="14"/>
                <w:b w:val="1"/>
                <w:bCs w:val="1"/>
                <w:color w:val="auto"/>
                <w:w w:val="94"/>
              </w:rPr>
              <w:t>of incorporation)</w:t>
            </w:r>
          </w:p>
        </w:tc>
        <w:tc>
          <w:tcPr>
            <w:tcW w:w="340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740" w:type="dxa"/>
            <w:vAlign w:val="bottom"/>
          </w:tcPr>
          <w:p>
            <w:pPr>
              <w:jc w:val="center"/>
              <w:ind w:left="124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FIFTH AVE., SUITE 210, WALTHAM, MASSACHUSETTS 02451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6"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99"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4" w:lineRule="exact"/>
        <w:rPr>
          <w:sz w:val="24"/>
          <w:szCs w:val="24"/>
          <w:color w:val="auto"/>
        </w:rPr>
      </w:pPr>
    </w:p>
    <w:p>
      <w:pPr>
        <w:ind w:right="58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October 17, 2023, Ardelyx, Inc. (the “Company”) entered into a Third Amendment to Loan and Security Agreement (the “Third Amendment”), by and among the Company, as borrower, SLR Investment Corp. (“SLR”), as collateral agent and the lenders party thereto, which amends the Company’s Loan and Security Agreement, dated February 23, 2022.</w:t>
      </w:r>
    </w:p>
    <w:p>
      <w:pPr>
        <w:spacing w:after="0" w:line="21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Third Amendment, among other things, (1) provides the Company with the option to draw an additional $50 million of committed senior secured term loans by March 15, 2024 (the “Term C Loan”), subject to the prior drawing of the existing $22.5 million senior secured term loan commitment (the “Term B Loan”); (2) provides the Company with the option to draw up to an additional $50 million of uncommitted senior secured term loans by December 31, 2026, subject to approval by SLR’s investment committee (the “Term D Loan”); and (3) extends the interest-only period for the two existing tranches, the Third Tranche and the Fourth Tranche to December 31, 2026, effective upon the Company’s decision to draw the Term B Loan.</w:t>
      </w:r>
    </w:p>
    <w:p>
      <w:pPr>
        <w:spacing w:after="0" w:line="188" w:lineRule="exact"/>
        <w:rPr>
          <w:sz w:val="20"/>
          <w:szCs w:val="20"/>
          <w:color w:val="auto"/>
        </w:rPr>
      </w:pPr>
    </w:p>
    <w:p>
      <w:pPr>
        <w:jc w:val="both"/>
        <w:ind w:right="360"/>
        <w:spacing w:after="0" w:line="305" w:lineRule="auto"/>
        <w:rPr>
          <w:sz w:val="20"/>
          <w:szCs w:val="20"/>
          <w:color w:val="auto"/>
        </w:rPr>
      </w:pPr>
      <w:r>
        <w:rPr>
          <w:rFonts w:ascii="Arial" w:cs="Arial" w:eastAsia="Arial" w:hAnsi="Arial"/>
          <w:sz w:val="16"/>
          <w:szCs w:val="16"/>
          <w:color w:val="auto"/>
        </w:rPr>
        <w:t>The interest rate for the Term A Loan and Term B Loan is 7.95% plus a SOFR rate equal to 0.022% plus the 1-month SOFR reference rate, subject to a SOFR floor of 1.00%. The interest rate for the Term C Loan and the Term D Loan is 4.25% plus a SOFR rate equal to 0.022% plus the 1-month SOFR reference rate, subject to a SOFR floor of 4.70%. The Term A Loans, the Term B Loans, Term C Loans and Term D Loans are hereinafter referred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collectively as the “Term Loans”). The maturity date for the Term Loans is March 1, 2027 (the “Maturity Date”).</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obligated to pay two hundred and fifty thousand dollars ($250,000) on the earliest of (1) the funding date of the Term C Loan, (2) March</w:t>
      </w:r>
    </w:p>
    <w:p>
      <w:pPr>
        <w:spacing w:after="0" w:line="11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15, 2024, and (3) the prepayment, refinancing, substitution or replacement of the Term B Loans on or prior to March 15, 2024. In addition, the Company will be obligated to pay 0.50% of the aggregate original principal amount of the Term D Loan commitment, if requested by the Company and approved by SLR, which shall be due on the earliest of (1) the funding of the Term D Loan, (2) if the Company requests and SLR provides the Term D Loan commitment, the day immediately preceding the amortization date, and (3) if the Company requests and SLR provides the Term D Loan commitment, the prepayment, refinancing, substitution or replacement of the Term C Loan on or prior to the date immediately preceding the amortization date. The Company is also obligated to pay a fee equal to 4.95% of the aggregate original principal amount of the Term Loans funded upon the earliest to occur of (1) the Maturity Date, (2) the acceleration of the Term Loans, and (3) the prepayment, refinancing, substitution, or replacement of the Term Loans.</w:t>
      </w:r>
    </w:p>
    <w:p>
      <w:pPr>
        <w:spacing w:after="0" w:line="2"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The Company may voluntarily prepay the outstanding Term Loans, subject to a prepayment premium of (1) 3% of the principal amount of the Term Loans if prepaid prior to October 17, 2024, (2) 2% of the principal amount of the Term Loans if prepaid after October 17, 2024 through and including October 17, 2025, or (3) 1% of the principal amount of the Term Loans if prepaid after October 17, 2025 and prior to the Maturity Date.</w:t>
      </w:r>
    </w:p>
    <w:p>
      <w:pPr>
        <w:ind w:right="2220"/>
        <w:spacing w:after="0" w:line="260" w:lineRule="auto"/>
        <w:rPr>
          <w:sz w:val="20"/>
          <w:szCs w:val="20"/>
          <w:color w:val="auto"/>
        </w:rPr>
      </w:pPr>
      <w:r>
        <w:rPr>
          <w:rFonts w:ascii="Arial" w:cs="Arial" w:eastAsia="Arial" w:hAnsi="Arial"/>
          <w:sz w:val="18"/>
          <w:szCs w:val="18"/>
          <w:color w:val="auto"/>
        </w:rPr>
        <w:t>The foregoing description of the Third Amendment is not complete and is qualified in its entirety by the full text of the Third Amendment, a copy of which is filed herewith as Exhibit 10.1 and incorporated herein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on Form 8-K is incorporated herein by reference.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 Exhibits.</w:t>
            </w: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0"/>
        </w:trPr>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Exhibit</w:t>
            </w: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w:t>
            </w:r>
          </w:p>
        </w:tc>
        <w:tc>
          <w:tcPr>
            <w:tcW w:w="20" w:type="dxa"/>
            <w:vAlign w:val="bottom"/>
          </w:tcPr>
          <w:p>
            <w:pPr>
              <w:spacing w:after="0"/>
              <w:rPr>
                <w:sz w:val="21"/>
                <w:szCs w:val="21"/>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183"/>
        </w:trPr>
        <w:tc>
          <w:tcPr>
            <w:tcW w:w="9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4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auto"/>
                <w:w w:val="93"/>
              </w:rPr>
              <w:t>Third Amendment to Loan and Security Agreement, dated October 17, 2023, by and among the Company, SLR Investment Corp., as</w:t>
            </w:r>
          </w:p>
        </w:tc>
        <w:tc>
          <w:tcPr>
            <w:tcW w:w="60" w:type="dxa"/>
            <w:vAlign w:val="bottom"/>
          </w:tcPr>
          <w:p>
            <w:pPr>
              <w:spacing w:after="0"/>
              <w:rPr>
                <w:sz w:val="15"/>
                <w:szCs w:val="15"/>
                <w:color w:val="auto"/>
              </w:rPr>
            </w:pPr>
          </w:p>
        </w:tc>
      </w:tr>
      <w:tr>
        <w:trPr>
          <w:trHeight w:val="155"/>
        </w:trPr>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8"/>
                <w:szCs w:val="18"/>
                <w:color w:val="auto"/>
              </w:rPr>
              <w:t>collateral agent, and the lenders party thereto.</w:t>
            </w:r>
          </w:p>
        </w:tc>
        <w:tc>
          <w:tcPr>
            <w:tcW w:w="44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6720" w:type="dxa"/>
            <w:vAlign w:val="bottom"/>
            <w:gridSpan w:val="3"/>
          </w:tcPr>
          <w:p>
            <w:pPr>
              <w:spacing w:after="0" w:line="20" w:lineRule="exact"/>
              <w:rPr>
                <w:sz w:val="1"/>
                <w:szCs w:val="1"/>
                <w:color w:val="auto"/>
              </w:rPr>
            </w:pPr>
          </w:p>
        </w:tc>
      </w:tr>
      <w:tr>
        <w:trPr>
          <w:trHeight w:val="263"/>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06"/>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October 18, 2023</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and Operations Officer</w:t>
      </w:r>
    </w:p>
    <w:p>
      <w:pPr>
        <w:sectPr>
          <w:pgSz w:w="11900" w:h="16838" w:orient="portrait"/>
          <w:cols w:equalWidth="0" w:num="1">
            <w:col w:w="11220"/>
          </w:cols>
          <w:pgMar w:left="320" w:top="114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THIRD AMENDMENT TO LOAN AND SECURITY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THIRD AMENDMENT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as of October 17, 2023, by and</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among SLR INVESTMENT CORP., a Maryland corporation with an office located at 500 Park Avenue,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Floor, New York, NY 10022 (“</w:t>
      </w:r>
      <w:r>
        <w:rPr>
          <w:rFonts w:ascii="Arial" w:cs="Arial" w:eastAsia="Arial" w:hAnsi="Arial"/>
          <w:sz w:val="16"/>
          <w:szCs w:val="16"/>
          <w:b w:val="1"/>
          <w:bCs w:val="1"/>
          <w:color w:val="auto"/>
        </w:rPr>
        <w:t>SLR</w:t>
      </w:r>
      <w:r>
        <w:rPr>
          <w:rFonts w:ascii="Arial" w:cs="Arial" w:eastAsia="Arial" w:hAnsi="Arial"/>
          <w:sz w:val="16"/>
          <w:szCs w:val="16"/>
          <w:color w:val="auto"/>
        </w:rPr>
        <w:t>”), as collateral agent (in such capacity, together with its successors and assigns, “</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the Lenders listed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hereof or otherwise a party to the Loan Agreement from time to time including SLR in its capacity as a Lender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ARDELYX, INC., a Delaware corporation with offices located at 400 Fifth Avenue, Suite 210, Waltham, MA 02451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69" w:lineRule="exact"/>
        <w:rPr>
          <w:sz w:val="20"/>
          <w:szCs w:val="20"/>
          <w:color w:val="auto"/>
        </w:rPr>
      </w:pPr>
    </w:p>
    <w:p>
      <w:pPr>
        <w:jc w:val="both"/>
        <w:ind w:firstLine="656"/>
        <w:spacing w:after="0" w:line="219" w:lineRule="auto"/>
        <w:tabs>
          <w:tab w:leader="none" w:pos="109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Collateral Agent, Borrower and Lenders have entered into that certain Loan and Security Agreement dated as of February 23, 2022 (as amended, supplemented or otherwise modified from time to time, including but not limited to that certain First Amendment to Loan and Security Agreement dated as of August 1, 2022, that certain Second Amendment to Loan and Security Agreement dated as of February 9, 2023, and this Amendment, collectively, the “</w:t>
      </w:r>
      <w:r>
        <w:rPr>
          <w:rFonts w:ascii="Arial" w:cs="Arial" w:eastAsia="Arial" w:hAnsi="Arial"/>
          <w:sz w:val="18"/>
          <w:szCs w:val="18"/>
          <w:b w:val="1"/>
          <w:bCs w:val="1"/>
          <w:color w:val="auto"/>
        </w:rPr>
        <w:t>Loan Agreement</w:t>
      </w:r>
      <w:r>
        <w:rPr>
          <w:rFonts w:ascii="Arial" w:cs="Arial" w:eastAsia="Arial" w:hAnsi="Arial"/>
          <w:sz w:val="18"/>
          <w:szCs w:val="18"/>
          <w:color w:val="auto"/>
        </w:rPr>
        <w:t>”), pursuant to which Lenders have provided to Borrower certain loans in accordance with the terms and conditions thereof; and</w:t>
      </w:r>
    </w:p>
    <w:p>
      <w:pPr>
        <w:spacing w:after="0" w:line="176" w:lineRule="exact"/>
        <w:rPr>
          <w:rFonts w:ascii="Arial" w:cs="Arial" w:eastAsia="Arial" w:hAnsi="Arial"/>
          <w:sz w:val="18"/>
          <w:szCs w:val="18"/>
          <w:color w:val="auto"/>
        </w:rPr>
      </w:pPr>
    </w:p>
    <w:p>
      <w:pPr>
        <w:ind w:firstLine="656"/>
        <w:spacing w:after="0" w:line="289" w:lineRule="auto"/>
        <w:tabs>
          <w:tab w:leader="none" w:pos="1042" w:val="left"/>
        </w:tabs>
        <w:numPr>
          <w:ilvl w:val="0"/>
          <w:numId w:val="2"/>
        </w:numPr>
        <w:rPr>
          <w:rFonts w:ascii="Arial" w:cs="Arial" w:eastAsia="Arial" w:hAnsi="Arial"/>
          <w:sz w:val="16"/>
          <w:szCs w:val="16"/>
          <w:color w:val="auto"/>
        </w:rPr>
      </w:pPr>
      <w:r>
        <w:rPr>
          <w:rFonts w:ascii="Arial" w:cs="Arial" w:eastAsia="Arial" w:hAnsi="Arial"/>
          <w:sz w:val="16"/>
          <w:szCs w:val="16"/>
          <w:color w:val="auto"/>
        </w:rPr>
        <w:t>Borrower, Collateral Agent and the Required Lenders have agreed to amend certain provisions of the Loan Agreement as provided herein, subject to, and in accordance with, the terms and conditions set forth herein, and in reliance upon the representations and warranties set forth herein.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02" w:lineRule="exact"/>
        <w:rPr>
          <w:sz w:val="20"/>
          <w:szCs w:val="20"/>
          <w:color w:val="auto"/>
        </w:rPr>
      </w:pPr>
    </w:p>
    <w:p>
      <w:pPr>
        <w:ind w:firstLine="258"/>
        <w:spacing w:after="0" w:line="258" w:lineRule="auto"/>
        <w:rPr>
          <w:sz w:val="20"/>
          <w:szCs w:val="20"/>
          <w:color w:val="auto"/>
        </w:rPr>
      </w:pPr>
      <w:r>
        <w:rPr>
          <w:rFonts w:ascii="Arial" w:cs="Arial" w:eastAsia="Arial" w:hAnsi="Arial"/>
          <w:sz w:val="17"/>
          <w:szCs w:val="17"/>
          <w:color w:val="auto"/>
        </w:rPr>
        <w:t>NOW, THEREFORE, in consideration of the promises, covenants and agreements contained herein, and other good and valuable consideration, the receipt and adequacy of which are hereby acknowledged, Borrower, the Required Lenders and Collateral Agent hereby agree as follows:</w:t>
      </w:r>
    </w:p>
    <w:p>
      <w:pPr>
        <w:spacing w:after="0" w:line="143"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Capitalized terms used but not defined in this Amendment shall have the meanings given to them in the Loan Agreement.</w:t>
      </w:r>
    </w:p>
    <w:p>
      <w:pPr>
        <w:spacing w:after="0" w:line="209" w:lineRule="exact"/>
        <w:rPr>
          <w:rFonts w:ascii="Arial" w:cs="Arial" w:eastAsia="Arial" w:hAnsi="Arial"/>
          <w:sz w:val="17"/>
          <w:szCs w:val="17"/>
          <w:b w:val="1"/>
          <w:bCs w:val="1"/>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185"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 xml:space="preserve">1.1 Section 13.1 (Definitions). </w:t>
      </w:r>
      <w:r>
        <w:rPr>
          <w:rFonts w:ascii="Arial" w:cs="Arial" w:eastAsia="Arial" w:hAnsi="Arial"/>
          <w:sz w:val="18"/>
          <w:szCs w:val="18"/>
          <w:color w:val="auto"/>
        </w:rPr>
        <w:t>The following terms and their respective definitions hereby are added or amended and restated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as applicable, to Section 1.4 of the Loan Agreement as follows:</w:t>
      </w:r>
    </w:p>
    <w:p>
      <w:pPr>
        <w:spacing w:after="0" w:line="172" w:lineRule="exact"/>
        <w:rPr>
          <w:sz w:val="20"/>
          <w:szCs w:val="20"/>
          <w:color w:val="auto"/>
        </w:rPr>
      </w:pPr>
    </w:p>
    <w:p>
      <w:pPr>
        <w:ind w:left="660" w:right="66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means April 1, 2024; provided, that upon achievement of the Interest-Only Extension Milestone, the Amortization Date shall automatically be extended to January 1, 2027.</w:t>
      </w:r>
    </w:p>
    <w:p>
      <w:pPr>
        <w:spacing w:after="0" w:line="158" w:lineRule="exact"/>
        <w:rPr>
          <w:sz w:val="20"/>
          <w:szCs w:val="20"/>
          <w:color w:val="auto"/>
        </w:rPr>
      </w:pPr>
    </w:p>
    <w:p>
      <w:pPr>
        <w:ind w:left="660" w:right="64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Rate</w:t>
      </w:r>
      <w:r>
        <w:rPr>
          <w:rFonts w:ascii="Arial" w:cs="Arial" w:eastAsia="Arial" w:hAnsi="Arial"/>
          <w:sz w:val="16"/>
          <w:szCs w:val="16"/>
          <w:color w:val="auto"/>
        </w:rPr>
        <w:t>” means a per annum interest rate equal to the greater of (a)(i) one percent (1.00%) per annum for all Term A Loans and Term B Loans and (ii) four and seven tenths of one percent (4.70%) for all Term C and Term D Loans, and (b)(i) 0.022% plus</w:t>
      </w:r>
    </w:p>
    <w:p>
      <w:pPr>
        <w:spacing w:after="0" w:line="1" w:lineRule="exact"/>
        <w:rPr>
          <w:sz w:val="20"/>
          <w:szCs w:val="20"/>
          <w:color w:val="auto"/>
        </w:rPr>
      </w:pPr>
    </w:p>
    <w:p>
      <w:pPr>
        <w:jc w:val="both"/>
        <w:ind w:left="660" w:right="640" w:hanging="4"/>
        <w:spacing w:after="0" w:line="225" w:lineRule="auto"/>
        <w:tabs>
          <w:tab w:leader="none" w:pos="977" w:val="left"/>
        </w:tabs>
        <w:numPr>
          <w:ilvl w:val="0"/>
          <w:numId w:val="4"/>
        </w:numPr>
        <w:rPr>
          <w:rFonts w:ascii="Arial" w:cs="Arial" w:eastAsia="Arial" w:hAnsi="Arial"/>
          <w:sz w:val="17"/>
          <w:szCs w:val="17"/>
          <w:color w:val="auto"/>
        </w:rPr>
      </w:pPr>
      <w:r>
        <w:rPr>
          <w:rFonts w:ascii="Arial" w:cs="Arial" w:eastAsia="Arial" w:hAnsi="Arial"/>
          <w:sz w:val="17"/>
          <w:szCs w:val="17"/>
          <w:color w:val="auto"/>
        </w:rPr>
        <w:t>1-month CME Term SOFR reference rate as published by the CME Term SOFR Administrator on the CME Term SOFR Administrator’s Website (or on any successor or substitute page of the CME Term SOFR Administrator, or any successor to or substitute for the CME Term SOFR Administrator, as determined by Collateral Agent in a manner consistent with other loans in Collateral Agent’s portfolio), which determination by Collateral Agent shall be conclusive in the absence of manifest error; provided that if, at any time, Lenders notify Collateral Agent that Lenders have determined that (x) Lenders are unable to determine or ascertain such rate, or (y) the applicable regulator has made public statements to the effect that the rate published by the CME Term SOFR Administrator is no longer used for determining interest rates for loans, then the Applicable Rate shall be equal to an alternate benchmark rate and spread agreed between Collateral Agent and Borrowers, giving due consideration to (i) market convention or (ii) selection, endorsement or recommendation by a Relevant Governmental Body. Such alternative benchmark rate and spread shall be binding unless the Required Lenders object within five (5) days following notification of such amendment.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Interest-Only Extension Milestone</w:t>
      </w:r>
      <w:r>
        <w:rPr>
          <w:rFonts w:ascii="Arial" w:cs="Arial" w:eastAsia="Arial" w:hAnsi="Arial"/>
          <w:sz w:val="18"/>
          <w:szCs w:val="18"/>
          <w:color w:val="auto"/>
        </w:rPr>
        <w:t>” is the funding of the Term B Loans by the Lenders to Borrower.</w:t>
      </w:r>
    </w:p>
    <w:p>
      <w:pPr>
        <w:spacing w:after="0" w:line="171" w:lineRule="exact"/>
        <w:rPr>
          <w:sz w:val="20"/>
          <w:szCs w:val="20"/>
          <w:color w:val="auto"/>
        </w:rPr>
      </w:pPr>
    </w:p>
    <w:p>
      <w:pPr>
        <w:ind w:left="660" w:right="66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Royalty Account</w:t>
      </w:r>
      <w:r>
        <w:rPr>
          <w:rFonts w:ascii="Arial" w:cs="Arial" w:eastAsia="Arial" w:hAnsi="Arial"/>
          <w:sz w:val="18"/>
          <w:szCs w:val="18"/>
          <w:color w:val="auto"/>
        </w:rPr>
        <w:t>” is a Deposit Account established by Borrower solely for the purpose of receiving remittance of royalty interest payments and disbursement thereof in</w:t>
      </w:r>
    </w:p>
    <w:p>
      <w:pPr>
        <w:sectPr>
          <w:pgSz w:w="11900" w:h="16838" w:orient="portrait"/>
          <w:cols w:equalWidth="0" w:num="1">
            <w:col w:w="11240"/>
          </w:cols>
          <w:pgMar w:left="320" w:top="108" w:right="339" w:bottom="1440" w:gutter="0" w:footer="0" w:header="0"/>
        </w:sectPr>
      </w:pPr>
    </w:p>
    <w:bookmarkStart w:id="4" w:name="page5"/>
    <w:bookmarkEnd w:id="4"/>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 of the Permitted Royalty Transaction, and disclosed to Collateral Agent by Borrower in writing.</w:t>
      </w:r>
    </w:p>
    <w:p>
      <w:pPr>
        <w:spacing w:after="0" w:line="167" w:lineRule="exact"/>
        <w:rPr>
          <w:sz w:val="20"/>
          <w:szCs w:val="20"/>
          <w:color w:val="auto"/>
        </w:rPr>
      </w:pPr>
    </w:p>
    <w:p>
      <w:pPr>
        <w:jc w:val="both"/>
        <w:ind w:left="660" w:right="66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is, with respect to any Term Loan subject to any prepayment prior to the Maturity Date, whether by mandatory or voluntary prepayment, acceleration or otherwise (including, but not limited to, upon the occurrence of a bankruptcy or insolvency event, an additional fee payable to the Lenders in amount equal to:</w:t>
      </w:r>
    </w:p>
    <w:p>
      <w:pPr>
        <w:spacing w:after="0" w:line="148" w:lineRule="exact"/>
        <w:rPr>
          <w:sz w:val="20"/>
          <w:szCs w:val="20"/>
          <w:color w:val="auto"/>
        </w:rPr>
      </w:pPr>
    </w:p>
    <w:p>
      <w:pPr>
        <w:ind w:left="660" w:right="640" w:firstLine="644"/>
        <w:spacing w:after="0" w:line="274" w:lineRule="auto"/>
        <w:tabs>
          <w:tab w:leader="none" w:pos="1704"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any prepayment made on or after the Third Amendment Effective Date through and including the first anniversary of the Third Amendment Effective Date, three percent (3.00%) of the principal amount of such Term Loan prepaid;</w:t>
      </w:r>
    </w:p>
    <w:p>
      <w:pPr>
        <w:spacing w:after="0" w:line="120" w:lineRule="exact"/>
        <w:rPr>
          <w:rFonts w:ascii="Arial" w:cs="Arial" w:eastAsia="Arial" w:hAnsi="Arial"/>
          <w:sz w:val="17"/>
          <w:szCs w:val="17"/>
          <w:color w:val="auto"/>
        </w:rPr>
      </w:pPr>
    </w:p>
    <w:p>
      <w:pPr>
        <w:jc w:val="both"/>
        <w:ind w:left="660" w:right="660" w:firstLine="644"/>
        <w:spacing w:after="0" w:line="224" w:lineRule="auto"/>
        <w:tabs>
          <w:tab w:leader="none" w:pos="171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any prepayment made after the date which is after the first anniversary of the Third Amendment Effective Date through and including the second anniversary of the Third Amendment Effective Date, two percent (2.00%) of the principal amount of such Term Loan prepaid; and</w:t>
      </w:r>
    </w:p>
    <w:p>
      <w:pPr>
        <w:spacing w:after="0" w:line="149" w:lineRule="exact"/>
        <w:rPr>
          <w:rFonts w:ascii="Arial" w:cs="Arial" w:eastAsia="Arial" w:hAnsi="Arial"/>
          <w:sz w:val="18"/>
          <w:szCs w:val="18"/>
          <w:color w:val="auto"/>
        </w:rPr>
      </w:pPr>
    </w:p>
    <w:p>
      <w:pPr>
        <w:ind w:left="660" w:right="660" w:firstLine="644"/>
        <w:spacing w:after="0" w:line="246" w:lineRule="auto"/>
        <w:tabs>
          <w:tab w:leader="none" w:pos="1767"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any prepayment made after the date which is after the second anniversary of the Third Amendment Effective Date and prior to the Maturity Date, one percent (1.00%) of the principal amount of such Term Loan prepaid.</w:t>
      </w:r>
    </w:p>
    <w:p>
      <w:pPr>
        <w:spacing w:after="0" w:line="139" w:lineRule="exact"/>
        <w:rPr>
          <w:sz w:val="20"/>
          <w:szCs w:val="20"/>
          <w:color w:val="auto"/>
        </w:rPr>
      </w:pPr>
    </w:p>
    <w:p>
      <w:pPr>
        <w:ind w:left="660" w:right="66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Milestone</w:t>
      </w:r>
      <w:r>
        <w:rPr>
          <w:rFonts w:ascii="Arial" w:cs="Arial" w:eastAsia="Arial" w:hAnsi="Arial"/>
          <w:sz w:val="18"/>
          <w:szCs w:val="18"/>
          <w:color w:val="auto"/>
        </w:rPr>
        <w:t>” is Collateral Agent’s receipt of satisfactory evidence that Borrower has received FDA approval of Tenapanor for use in certain patients with Hyperphosphatemia on or prior to November 30, 2023.</w:t>
      </w:r>
    </w:p>
    <w:p>
      <w:pPr>
        <w:spacing w:after="0" w:line="145" w:lineRule="exact"/>
        <w:rPr>
          <w:sz w:val="20"/>
          <w:szCs w:val="20"/>
          <w:color w:val="auto"/>
        </w:rPr>
      </w:pPr>
    </w:p>
    <w:p>
      <w:pPr>
        <w:ind w:left="660" w:right="6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Draw Period</w:t>
      </w:r>
      <w:r>
        <w:rPr>
          <w:rFonts w:ascii="Arial" w:cs="Arial" w:eastAsia="Arial" w:hAnsi="Arial"/>
          <w:sz w:val="18"/>
          <w:szCs w:val="18"/>
          <w:color w:val="auto"/>
        </w:rPr>
        <w:t>” is the period commencing on the first date on which both the Term B Milestone and Interest-Only Extension Milestone have been achieved, and ending on March 15, 2024.</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Amendment Effective Date</w:t>
      </w:r>
      <w:r>
        <w:rPr>
          <w:rFonts w:ascii="Arial" w:cs="Arial" w:eastAsia="Arial" w:hAnsi="Arial"/>
          <w:sz w:val="18"/>
          <w:szCs w:val="18"/>
          <w:color w:val="auto"/>
        </w:rPr>
        <w:t>” is October 17, 2023.</w:t>
      </w:r>
    </w:p>
    <w:p>
      <w:pPr>
        <w:spacing w:after="0" w:line="225"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b w:val="1"/>
          <w:bCs w:val="1"/>
          <w:color w:val="auto"/>
        </w:rPr>
        <w:t>1.2 Section 2.2(a) (Term Loans)</w:t>
      </w:r>
      <w:r>
        <w:rPr>
          <w:rFonts w:ascii="Arial" w:cs="Arial" w:eastAsia="Arial" w:hAnsi="Arial"/>
          <w:sz w:val="18"/>
          <w:szCs w:val="18"/>
          <w:color w:val="auto"/>
        </w:rPr>
        <w:t>. Section 2.2(a) is hereby amended to amend and restate subclause (ii) in its entirety and to add subclauses</w:t>
      </w:r>
      <w:r>
        <w:rPr>
          <w:rFonts w:ascii="Arial" w:cs="Arial" w:eastAsia="Arial" w:hAnsi="Arial"/>
          <w:sz w:val="18"/>
          <w:szCs w:val="18"/>
          <w:b w:val="1"/>
          <w:bCs w:val="1"/>
          <w:color w:val="auto"/>
        </w:rPr>
        <w:t xml:space="preserve"> </w:t>
      </w:r>
      <w:r>
        <w:rPr>
          <w:rFonts w:ascii="Arial" w:cs="Arial" w:eastAsia="Arial" w:hAnsi="Arial"/>
          <w:sz w:val="18"/>
          <w:szCs w:val="18"/>
          <w:color w:val="auto"/>
        </w:rPr>
        <w:t>(iii) and (iv) as follows:</w:t>
      </w:r>
    </w:p>
    <w:p>
      <w:pPr>
        <w:spacing w:after="0" w:line="162"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16"/>
          <w:szCs w:val="16"/>
          <w:color w:val="auto"/>
        </w:rPr>
        <w:t>“(ii) Subject to the terms and conditions of this Agreement, the Lenders agree, severally and not jointly, during the Term B Draw Period to make term loans to Borrower in an aggregate principal amount of Twenty-Two Million Five Hundred Thousand Dollars ($22,500,000) and</w:t>
      </w:r>
    </w:p>
    <w:p>
      <w:pPr>
        <w:jc w:val="both"/>
        <w:ind w:left="660"/>
        <w:spacing w:after="0" w:line="218" w:lineRule="auto"/>
        <w:rPr>
          <w:sz w:val="20"/>
          <w:szCs w:val="20"/>
          <w:color w:val="auto"/>
        </w:rPr>
      </w:pPr>
      <w:r>
        <w:rPr>
          <w:rFonts w:ascii="Arial" w:cs="Arial" w:eastAsia="Arial" w:hAnsi="Arial"/>
          <w:sz w:val="18"/>
          <w:szCs w:val="18"/>
          <w:color w:val="auto"/>
        </w:rPr>
        <w:t xml:space="preserve">disbursed in a single advance according to each Lender’s Term B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B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B Loans</w:t>
      </w:r>
      <w:r>
        <w:rPr>
          <w:rFonts w:ascii="Arial" w:cs="Arial" w:eastAsia="Arial" w:hAnsi="Arial"/>
          <w:sz w:val="18"/>
          <w:szCs w:val="18"/>
          <w:color w:val="auto"/>
        </w:rPr>
        <w:t>”). After repayment, no Term B Loan may be re-borrowed.</w:t>
      </w:r>
    </w:p>
    <w:p>
      <w:pPr>
        <w:spacing w:after="0" w:line="176" w:lineRule="exact"/>
        <w:rPr>
          <w:sz w:val="20"/>
          <w:szCs w:val="20"/>
          <w:color w:val="auto"/>
        </w:rPr>
      </w:pPr>
    </w:p>
    <w:p>
      <w:pPr>
        <w:jc w:val="both"/>
        <w:ind w:left="660" w:firstLine="644"/>
        <w:spacing w:after="0" w:line="236" w:lineRule="auto"/>
        <w:tabs>
          <w:tab w:leader="none" w:pos="1764"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the Lenders agree, severally and not jointly, during the Term C Draw Period to make term loans to Borrower in an aggregate principal amount of Fifty Million Dollars ($50,000,000) and disbursed in a single advance according to each Lender’s Term C Loan Commitment as set forth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hereto (such term loans are hereinafter referred to singly as a “</w:t>
      </w:r>
      <w:r>
        <w:rPr>
          <w:rFonts w:ascii="Arial" w:cs="Arial" w:eastAsia="Arial" w:hAnsi="Arial"/>
          <w:sz w:val="17"/>
          <w:szCs w:val="17"/>
          <w:b w:val="1"/>
          <w:bCs w:val="1"/>
          <w:color w:val="auto"/>
        </w:rPr>
        <w:t>Term C Loan</w:t>
      </w:r>
      <w:r>
        <w:rPr>
          <w:rFonts w:ascii="Arial" w:cs="Arial" w:eastAsia="Arial" w:hAnsi="Arial"/>
          <w:sz w:val="17"/>
          <w:szCs w:val="17"/>
          <w:color w:val="auto"/>
        </w:rPr>
        <w:t>” and collectively as the “</w:t>
      </w:r>
      <w:r>
        <w:rPr>
          <w:rFonts w:ascii="Arial" w:cs="Arial" w:eastAsia="Arial" w:hAnsi="Arial"/>
          <w:sz w:val="17"/>
          <w:szCs w:val="17"/>
          <w:b w:val="1"/>
          <w:bCs w:val="1"/>
          <w:color w:val="auto"/>
        </w:rPr>
        <w:t>Term C Loans</w:t>
      </w:r>
      <w:r>
        <w:rPr>
          <w:rFonts w:ascii="Arial" w:cs="Arial" w:eastAsia="Arial" w:hAnsi="Arial"/>
          <w:sz w:val="17"/>
          <w:szCs w:val="17"/>
          <w:color w:val="auto"/>
        </w:rPr>
        <w:t>”). After repayment, no Term C Loan may be re-borrowed.</w:t>
      </w:r>
    </w:p>
    <w:p>
      <w:pPr>
        <w:spacing w:after="0" w:line="162" w:lineRule="exact"/>
        <w:rPr>
          <w:rFonts w:ascii="Arial" w:cs="Arial" w:eastAsia="Arial" w:hAnsi="Arial"/>
          <w:sz w:val="17"/>
          <w:szCs w:val="17"/>
          <w:color w:val="auto"/>
        </w:rPr>
      </w:pPr>
    </w:p>
    <w:p>
      <w:pPr>
        <w:jc w:val="both"/>
        <w:ind w:left="660" w:firstLine="644"/>
        <w:spacing w:after="0" w:line="243" w:lineRule="auto"/>
        <w:tabs>
          <w:tab w:leader="none" w:pos="1757"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Borrower may request, and the Lenders shall severally and not jointly make available, in each case, beginning on the Third Amendment Effective Date and continuing through the day immediately preceding the Amortization Date, and conditioned on approval by the Lenders’ investment committee in its sole and unfettered discretion, make term loans to Borrower in an aggregate principal amount of up to Fifty Million Dollars ($50,000,000) and disbursed in a single advance and, if made, according to a commitment schedule to be provided by the Lenders prior to the Funding Date of such term loans (“</w:t>
      </w:r>
      <w:r>
        <w:rPr>
          <w:rFonts w:ascii="Arial" w:cs="Arial" w:eastAsia="Arial" w:hAnsi="Arial"/>
          <w:sz w:val="16"/>
          <w:szCs w:val="16"/>
          <w:b w:val="1"/>
          <w:bCs w:val="1"/>
          <w:color w:val="auto"/>
        </w:rPr>
        <w:t>Term D Loan Commitment</w:t>
      </w:r>
      <w:r>
        <w:rPr>
          <w:rFonts w:ascii="Arial" w:cs="Arial" w:eastAsia="Arial" w:hAnsi="Arial"/>
          <w:sz w:val="16"/>
          <w:szCs w:val="16"/>
          <w:color w:val="auto"/>
        </w:rPr>
        <w:t>”) (and Borrower acknowledges that at all times prior to Lenders providing the Term D Loan Commitment such amount is uncommitted) (such term loans are hereinafter referred to singly as a “</w:t>
      </w:r>
      <w:r>
        <w:rPr>
          <w:rFonts w:ascii="Arial" w:cs="Arial" w:eastAsia="Arial" w:hAnsi="Arial"/>
          <w:sz w:val="16"/>
          <w:szCs w:val="16"/>
          <w:b w:val="1"/>
          <w:bCs w:val="1"/>
          <w:color w:val="auto"/>
        </w:rPr>
        <w:t>Term D Loan</w:t>
      </w:r>
      <w:r>
        <w:rPr>
          <w:rFonts w:ascii="Arial" w:cs="Arial" w:eastAsia="Arial" w:hAnsi="Arial"/>
          <w:sz w:val="16"/>
          <w:szCs w:val="16"/>
          <w:color w:val="auto"/>
        </w:rPr>
        <w:t>” and collectively as the “</w:t>
      </w:r>
      <w:r>
        <w:rPr>
          <w:rFonts w:ascii="Arial" w:cs="Arial" w:eastAsia="Arial" w:hAnsi="Arial"/>
          <w:sz w:val="16"/>
          <w:szCs w:val="16"/>
          <w:b w:val="1"/>
          <w:bCs w:val="1"/>
          <w:color w:val="auto"/>
        </w:rPr>
        <w:t>Term D Loans</w:t>
      </w:r>
      <w:r>
        <w:rPr>
          <w:rFonts w:ascii="Arial" w:cs="Arial" w:eastAsia="Arial" w:hAnsi="Arial"/>
          <w:sz w:val="16"/>
          <w:szCs w:val="16"/>
          <w:color w:val="auto"/>
        </w:rPr>
        <w:t>”; each Term A Loan, Term B Loan, Term C Loan and Term D Loan is hereinafter referred to singly as a “</w:t>
      </w:r>
      <w:r>
        <w:rPr>
          <w:rFonts w:ascii="Arial" w:cs="Arial" w:eastAsia="Arial" w:hAnsi="Arial"/>
          <w:sz w:val="16"/>
          <w:szCs w:val="16"/>
          <w:b w:val="1"/>
          <w:bCs w:val="1"/>
          <w:color w:val="auto"/>
        </w:rPr>
        <w:t>Term Loan</w:t>
      </w:r>
      <w:r>
        <w:rPr>
          <w:rFonts w:ascii="Arial" w:cs="Arial" w:eastAsia="Arial" w:hAnsi="Arial"/>
          <w:sz w:val="16"/>
          <w:szCs w:val="16"/>
          <w:color w:val="auto"/>
        </w:rPr>
        <w:t>” and the Term A Loans, the Term B Loans, Term C Loans and Term D Loans are hereinafter referred to collectively as the “</w:t>
      </w:r>
      <w:r>
        <w:rPr>
          <w:rFonts w:ascii="Arial" w:cs="Arial" w:eastAsia="Arial" w:hAnsi="Arial"/>
          <w:sz w:val="16"/>
          <w:szCs w:val="16"/>
          <w:b w:val="1"/>
          <w:bCs w:val="1"/>
          <w:color w:val="auto"/>
        </w:rPr>
        <w:t>Term Loans</w:t>
      </w:r>
      <w:r>
        <w:rPr>
          <w:rFonts w:ascii="Arial" w:cs="Arial" w:eastAsia="Arial" w:hAnsi="Arial"/>
          <w:sz w:val="16"/>
          <w:szCs w:val="16"/>
          <w:color w:val="auto"/>
        </w:rPr>
        <w:t>”). After repayment, no Term D Loan may be re-borrowed.”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ind w:left="440"/>
        <w:spacing w:after="0"/>
        <w:tabs>
          <w:tab w:leader="none" w:pos="10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 xml:space="preserve">Section 2.2 (Term Loans). </w:t>
      </w:r>
      <w:r>
        <w:rPr>
          <w:rFonts w:ascii="Arial" w:cs="Arial" w:eastAsia="Arial" w:hAnsi="Arial"/>
          <w:sz w:val="16"/>
          <w:szCs w:val="16"/>
          <w:color w:val="auto"/>
        </w:rPr>
        <w:t>Section 2.2(b) of the Loan Agreement is hereby amended and restated to read as follows:</w:t>
      </w:r>
    </w:p>
    <w:p>
      <w:pPr>
        <w:spacing w:after="0" w:line="187" w:lineRule="exact"/>
        <w:rPr>
          <w:sz w:val="20"/>
          <w:szCs w:val="20"/>
          <w:color w:val="auto"/>
        </w:rPr>
      </w:pPr>
    </w:p>
    <w:p>
      <w:pPr>
        <w:ind w:left="1080"/>
        <w:spacing w:after="0"/>
        <w:tabs>
          <w:tab w:leader="none" w:pos="16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u w:val="single" w:color="auto"/>
          <w:color w:val="auto"/>
        </w:rPr>
        <w:t>Repayment</w:t>
      </w:r>
      <w:r>
        <w:rPr>
          <w:rFonts w:ascii="Arial" w:cs="Arial" w:eastAsia="Arial" w:hAnsi="Arial"/>
          <w:sz w:val="18"/>
          <w:szCs w:val="18"/>
          <w:color w:val="auto"/>
        </w:rPr>
        <w:t>. Borrower shall make monthly payments of interest only commencing on the first (1st) Payment Date</w:t>
      </w:r>
    </w:p>
    <w:p>
      <w:pPr>
        <w:jc w:val="both"/>
        <w:ind w:left="440" w:right="380"/>
        <w:spacing w:after="0" w:line="234" w:lineRule="auto"/>
        <w:rPr>
          <w:sz w:val="20"/>
          <w:szCs w:val="20"/>
          <w:color w:val="auto"/>
        </w:rPr>
      </w:pPr>
      <w:r>
        <w:rPr>
          <w:rFonts w:ascii="Arial" w:cs="Arial" w:eastAsia="Arial" w:hAnsi="Arial"/>
          <w:sz w:val="16"/>
          <w:szCs w:val="16"/>
          <w:color w:val="auto"/>
        </w:rPr>
        <w:t>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w:t>
      </w:r>
    </w:p>
    <w:p>
      <w:pPr>
        <w:spacing w:after="0" w:line="2" w:lineRule="exact"/>
        <w:rPr>
          <w:sz w:val="20"/>
          <w:szCs w:val="20"/>
          <w:color w:val="auto"/>
        </w:rPr>
      </w:pPr>
    </w:p>
    <w:p>
      <w:pPr>
        <w:jc w:val="both"/>
        <w:ind w:left="440" w:right="400"/>
        <w:spacing w:after="0" w:line="234" w:lineRule="auto"/>
        <w:rPr>
          <w:sz w:val="20"/>
          <w:szCs w:val="20"/>
          <w:color w:val="auto"/>
        </w:rPr>
      </w:pPr>
      <w:r>
        <w:rPr>
          <w:rFonts w:ascii="Arial" w:cs="Arial" w:eastAsia="Arial" w:hAnsi="Arial"/>
          <w:sz w:val="16"/>
          <w:szCs w:val="16"/>
          <w:color w:val="auto"/>
        </w:rPr>
        <w:t>Payment Date after such Funding Date. Commencing on the Amortization Date, and continuing on the Payment Date of each month thereafter, Borrower shall (i) make monthly payments of interest, to each Lender in accordance with its Pro Rata Share, as calculated by Collateral Agent (which calculations shall be deemed correct absent manifest error) based upon the effective rate of interest applicable to</w:t>
      </w:r>
    </w:p>
    <w:p>
      <w:pPr>
        <w:spacing w:after="0" w:line="2" w:lineRule="exact"/>
        <w:rPr>
          <w:sz w:val="20"/>
          <w:szCs w:val="20"/>
          <w:color w:val="auto"/>
        </w:rPr>
      </w:pPr>
    </w:p>
    <w:p>
      <w:pPr>
        <w:jc w:val="both"/>
        <w:ind w:left="440" w:right="400"/>
        <w:spacing w:after="0" w:line="234" w:lineRule="auto"/>
        <w:rPr>
          <w:sz w:val="20"/>
          <w:szCs w:val="20"/>
          <w:color w:val="auto"/>
        </w:rPr>
      </w:pPr>
      <w:r>
        <w:rPr>
          <w:rFonts w:ascii="Arial" w:cs="Arial" w:eastAsia="Arial" w:hAnsi="Arial"/>
          <w:sz w:val="16"/>
          <w:szCs w:val="16"/>
          <w:color w:val="auto"/>
        </w:rPr>
        <w:t>the Term Loan, as determined in Section 2.3(a) plus (ii) make consecutive equal monthly payments of principal to each Lender in accordance with its Pro Rata Share in accordance with their respective Pro Rata Shares, as calculated by Collateral Agent (which calculations shall be deemed correct absent manifest error) based upon: (A) the respective principal amounts of such Lender’s Term</w:t>
      </w:r>
    </w:p>
    <w:p>
      <w:pPr>
        <w:spacing w:after="0" w:line="2" w:lineRule="exact"/>
        <w:rPr>
          <w:sz w:val="20"/>
          <w:szCs w:val="20"/>
          <w:color w:val="auto"/>
        </w:rPr>
      </w:pPr>
    </w:p>
    <w:p>
      <w:pPr>
        <w:jc w:val="both"/>
        <w:ind w:left="440" w:right="400"/>
        <w:spacing w:after="0" w:line="234" w:lineRule="auto"/>
        <w:rPr>
          <w:sz w:val="20"/>
          <w:szCs w:val="20"/>
          <w:color w:val="auto"/>
        </w:rPr>
      </w:pPr>
      <w:r>
        <w:rPr>
          <w:rFonts w:ascii="Arial" w:cs="Arial" w:eastAsia="Arial" w:hAnsi="Arial"/>
          <w:sz w:val="16"/>
          <w:szCs w:val="16"/>
          <w:color w:val="auto"/>
        </w:rPr>
        <w:t>Loans outstanding, and (B) a repayment schedule equal to (I) if the Amortization Date is April 1, 2024, thirty-six (36) months and (II) if the Amortization Date is January 1, 2027, three (3) months. All unpaid principal and accrued and unpaid interest with respect to each such Term Loan is due and payable in full on the Maturity Date. The Term Loans may only be prepaid in accordance with Sections 2.2(c)</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 2.2(d).”</w:t>
      </w:r>
    </w:p>
    <w:p>
      <w:pPr>
        <w:spacing w:after="0" w:line="165"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 xml:space="preserve">Section 2.3(a) (Interest Rate). </w:t>
      </w:r>
      <w:r>
        <w:rPr>
          <w:rFonts w:ascii="Arial" w:cs="Arial" w:eastAsia="Arial" w:hAnsi="Arial"/>
          <w:sz w:val="16"/>
          <w:szCs w:val="16"/>
          <w:color w:val="auto"/>
        </w:rPr>
        <w:t>Section 2.3(a) of the Loan Agreement is hereby amended and restated to read as follows:</w:t>
      </w:r>
    </w:p>
    <w:p>
      <w:pPr>
        <w:spacing w:after="0" w:line="187" w:lineRule="exact"/>
        <w:rPr>
          <w:sz w:val="20"/>
          <w:szCs w:val="20"/>
          <w:color w:val="auto"/>
        </w:rPr>
      </w:pPr>
    </w:p>
    <w:p>
      <w:pPr>
        <w:jc w:val="center"/>
        <w:ind w:right="-439"/>
        <w:spacing w:after="0"/>
        <w:tabs>
          <w:tab w:leader="none" w:pos="2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2.3(b), (i) with respect to the Term A Loans and the Term B Loans, the principal amount</w:t>
      </w:r>
    </w:p>
    <w:p>
      <w:pPr>
        <w:jc w:val="both"/>
        <w:ind w:left="440" w:right="380"/>
        <w:spacing w:after="0" w:line="234" w:lineRule="auto"/>
        <w:rPr>
          <w:sz w:val="20"/>
          <w:szCs w:val="20"/>
          <w:color w:val="auto"/>
        </w:rPr>
      </w:pPr>
      <w:r>
        <w:rPr>
          <w:rFonts w:ascii="Arial" w:cs="Arial" w:eastAsia="Arial" w:hAnsi="Arial"/>
          <w:sz w:val="16"/>
          <w:szCs w:val="16"/>
          <w:color w:val="auto"/>
        </w:rPr>
        <w:t xml:space="preserve">outstanding under such Term Loans shall accrue interest at a floating per annum rate equal to the Applicable Rate in effect from time to time </w:t>
      </w:r>
      <w:r>
        <w:rPr>
          <w:rFonts w:ascii="Arial" w:cs="Arial" w:eastAsia="Arial" w:hAnsi="Arial"/>
          <w:sz w:val="16"/>
          <w:szCs w:val="16"/>
          <w:i w:val="1"/>
          <w:iCs w:val="1"/>
          <w:color w:val="auto"/>
        </w:rPr>
        <w:t>plus</w:t>
      </w:r>
      <w:r>
        <w:rPr>
          <w:rFonts w:ascii="Arial" w:cs="Arial" w:eastAsia="Arial" w:hAnsi="Arial"/>
          <w:sz w:val="16"/>
          <w:szCs w:val="16"/>
          <w:color w:val="auto"/>
        </w:rPr>
        <w:t xml:space="preserve"> 7.95%, which aggregate interest rate shall be determined by Collateral Agent in accordance with the definition of “Applicable Rate” on the third Business Day prior to the Funding Date of such Term A Loan or Term B Loan, as applicable, and on the date occurring</w:t>
      </w:r>
    </w:p>
    <w:p>
      <w:pPr>
        <w:spacing w:after="0" w:line="2" w:lineRule="exact"/>
        <w:rPr>
          <w:sz w:val="20"/>
          <w:szCs w:val="20"/>
          <w:color w:val="auto"/>
        </w:rPr>
      </w:pPr>
    </w:p>
    <w:p>
      <w:pPr>
        <w:jc w:val="both"/>
        <w:ind w:left="440" w:right="380"/>
        <w:spacing w:after="0" w:line="234" w:lineRule="auto"/>
        <w:rPr>
          <w:sz w:val="20"/>
          <w:szCs w:val="20"/>
          <w:color w:val="auto"/>
        </w:rPr>
      </w:pPr>
      <w:r>
        <w:rPr>
          <w:rFonts w:ascii="Arial" w:cs="Arial" w:eastAsia="Arial" w:hAnsi="Arial"/>
          <w:sz w:val="16"/>
          <w:szCs w:val="16"/>
          <w:color w:val="auto"/>
        </w:rPr>
        <w:t>on the first Business Day of the month prior to each Payment Date occurring thereafter, which interest shall be payable monthly in arrears in accordance with Sections 2.2(b) and 2.3(e), and (ii) with respect to the Term C Loans and the Term D Loans, the principal amount outstanding under such Term Loans shall accrue interest at a floating per annum rate equal to the Applicable Rate in effect from time to</w:t>
      </w:r>
    </w:p>
    <w:p>
      <w:pPr>
        <w:spacing w:after="0" w:line="2" w:lineRule="exact"/>
        <w:rPr>
          <w:sz w:val="20"/>
          <w:szCs w:val="20"/>
          <w:color w:val="auto"/>
        </w:rPr>
      </w:pPr>
    </w:p>
    <w:p>
      <w:pPr>
        <w:jc w:val="both"/>
        <w:ind w:left="440" w:right="380"/>
        <w:spacing w:after="0" w:line="234" w:lineRule="auto"/>
        <w:rPr>
          <w:sz w:val="20"/>
          <w:szCs w:val="20"/>
          <w:color w:val="auto"/>
        </w:rPr>
      </w:pPr>
      <w:r>
        <w:rPr>
          <w:rFonts w:ascii="Arial" w:cs="Arial" w:eastAsia="Arial" w:hAnsi="Arial"/>
          <w:sz w:val="16"/>
          <w:szCs w:val="16"/>
          <w:color w:val="auto"/>
        </w:rPr>
        <w:t xml:space="preserve">time </w:t>
      </w:r>
      <w:r>
        <w:rPr>
          <w:rFonts w:ascii="Arial" w:cs="Arial" w:eastAsia="Arial" w:hAnsi="Arial"/>
          <w:sz w:val="16"/>
          <w:szCs w:val="16"/>
          <w:i w:val="1"/>
          <w:iCs w:val="1"/>
          <w:color w:val="auto"/>
        </w:rPr>
        <w:t>plus</w:t>
      </w:r>
      <w:r>
        <w:rPr>
          <w:rFonts w:ascii="Arial" w:cs="Arial" w:eastAsia="Arial" w:hAnsi="Arial"/>
          <w:sz w:val="16"/>
          <w:szCs w:val="16"/>
          <w:color w:val="auto"/>
        </w:rPr>
        <w:t xml:space="preserve"> 4.25%, which aggregate interest rate shall be determined by Collateral Agent in accordance with the definition of “Applicable Rate” on the third Business Day prior to the Funding Date of such Term C Loan or Term D Loan, as applicable, and on the date occurring on the first Business Day of the month prior to each Payment Date occurring thereafter, which interest shall be payable monthly in arrears</w:t>
      </w:r>
    </w:p>
    <w:p>
      <w:pPr>
        <w:spacing w:after="0" w:line="2" w:lineRule="exact"/>
        <w:rPr>
          <w:sz w:val="20"/>
          <w:szCs w:val="20"/>
          <w:color w:val="auto"/>
        </w:rPr>
      </w:pPr>
    </w:p>
    <w:p>
      <w:pPr>
        <w:jc w:val="both"/>
        <w:ind w:left="440" w:right="400"/>
        <w:spacing w:after="0" w:line="231" w:lineRule="auto"/>
        <w:rPr>
          <w:sz w:val="20"/>
          <w:szCs w:val="20"/>
          <w:color w:val="auto"/>
        </w:rPr>
      </w:pPr>
      <w:r>
        <w:rPr>
          <w:rFonts w:ascii="Arial" w:cs="Arial" w:eastAsia="Arial" w:hAnsi="Arial"/>
          <w:sz w:val="17"/>
          <w:szCs w:val="17"/>
          <w:color w:val="auto"/>
        </w:rPr>
        <w:t>in accordance with Sections 2.2(b) and 2.3(e). Except as set forth in Section 2.2(b), such interest shall accrue on each Term Loan commencing on, and including, the Funding Date of such Term Loan, and shall accrue on the principal amount outstanding under such Term Loan through and including the day on which such Term Loan is paid in full (or any payment is made hereunder).”</w:t>
      </w:r>
    </w:p>
    <w:p>
      <w:pPr>
        <w:spacing w:after="0" w:line="172"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Section 6.6 (Operating Accounts)</w:t>
      </w:r>
      <w:r>
        <w:rPr>
          <w:rFonts w:ascii="Arial" w:cs="Arial" w:eastAsia="Arial" w:hAnsi="Arial"/>
          <w:sz w:val="16"/>
          <w:szCs w:val="16"/>
          <w:color w:val="auto"/>
        </w:rPr>
        <w:t>. Section 6.6(a) and (b) of the Loan Agreement are hereby amended and restated to read as follows:</w:t>
      </w:r>
    </w:p>
    <w:p>
      <w:pPr>
        <w:spacing w:after="0" w:line="189" w:lineRule="exact"/>
        <w:rPr>
          <w:sz w:val="20"/>
          <w:szCs w:val="20"/>
          <w:color w:val="auto"/>
        </w:rPr>
      </w:pPr>
    </w:p>
    <w:p>
      <w:pPr>
        <w:jc w:val="both"/>
        <w:ind w:left="440" w:right="400"/>
        <w:spacing w:after="0" w:line="248" w:lineRule="auto"/>
        <w:rPr>
          <w:sz w:val="20"/>
          <w:szCs w:val="20"/>
          <w:color w:val="auto"/>
        </w:rPr>
      </w:pPr>
      <w:r>
        <w:rPr>
          <w:rFonts w:ascii="Arial" w:cs="Arial" w:eastAsia="Arial" w:hAnsi="Arial"/>
          <w:sz w:val="16"/>
          <w:szCs w:val="16"/>
          <w:color w:val="auto"/>
        </w:rPr>
        <w:t>“(a) Maintain Borrower’s and Guarantors Collateral Accounts with depositary institutions that have agreed to execute Control Agreements in favor of Collateral Agent with respect to such Collateral Accounts. The provisions of the previous sentence shall not apply</w:t>
      </w:r>
    </w:p>
    <w:p>
      <w:pPr>
        <w:jc w:val="both"/>
        <w:ind w:left="440" w:right="380"/>
        <w:spacing w:after="0" w:line="233" w:lineRule="auto"/>
        <w:rPr>
          <w:sz w:val="20"/>
          <w:szCs w:val="20"/>
          <w:color w:val="auto"/>
        </w:rPr>
      </w:pPr>
      <w:r>
        <w:rPr>
          <w:rFonts w:ascii="Arial" w:cs="Arial" w:eastAsia="Arial" w:hAnsi="Arial"/>
          <w:sz w:val="16"/>
          <w:szCs w:val="16"/>
          <w:color w:val="auto"/>
        </w:rPr>
        <w:t>to (i) Deposit Accounts exclusively used for cash collateral for Permitted Liens under clause (j) of the definition thereof, (ii) payroll, payroll taxes and other employee wage and benefit payments to or for the benefit of Borrower’s, or any Guarantor’s, employees in an aggregate amount not to exceed the amount reasonably expected to be due and payable for the next two (2) succeeding pay periods and identified to Collateral Agent by Borrower as such in the Disclosure Schedules, (iii) any deposit accounts at Western Alliance Bank</w:t>
      </w:r>
    </w:p>
    <w:p>
      <w:pPr>
        <w:spacing w:after="0" w:line="1" w:lineRule="exact"/>
        <w:rPr>
          <w:sz w:val="20"/>
          <w:szCs w:val="20"/>
          <w:color w:val="auto"/>
        </w:rPr>
      </w:pPr>
    </w:p>
    <w:p>
      <w:pPr>
        <w:jc w:val="both"/>
        <w:ind w:left="440" w:right="400"/>
        <w:spacing w:after="0" w:line="218" w:lineRule="auto"/>
        <w:rPr>
          <w:sz w:val="20"/>
          <w:szCs w:val="20"/>
          <w:color w:val="auto"/>
        </w:rPr>
      </w:pPr>
      <w:r>
        <w:rPr>
          <w:rFonts w:ascii="Arial" w:cs="Arial" w:eastAsia="Arial" w:hAnsi="Arial"/>
          <w:sz w:val="18"/>
          <w:szCs w:val="18"/>
          <w:color w:val="auto"/>
        </w:rPr>
        <w:t>(provided the accounts at Western Alliance Bank do not have an aggregate balance in excess of One Hundred Thousand Dollars ($100,000) from and after the date that is three (3) Business Days after the Effective Date and such accounts are closed as required by Section 6.12(b)) or (iv) any Permitted Royalty Account.</w:t>
      </w:r>
    </w:p>
    <w:p>
      <w:pPr>
        <w:spacing w:after="0" w:line="176" w:lineRule="exact"/>
        <w:rPr>
          <w:sz w:val="20"/>
          <w:szCs w:val="20"/>
          <w:color w:val="auto"/>
        </w:rPr>
      </w:pPr>
    </w:p>
    <w:p>
      <w:pPr>
        <w:ind w:left="440" w:right="400" w:hanging="4"/>
        <w:spacing w:after="0" w:line="235" w:lineRule="auto"/>
        <w:tabs>
          <w:tab w:leader="none" w:pos="927" w:val="left"/>
        </w:tabs>
        <w:numPr>
          <w:ilvl w:val="0"/>
          <w:numId w:val="7"/>
        </w:numPr>
        <w:rPr>
          <w:rFonts w:ascii="Arial" w:cs="Arial" w:eastAsia="Arial" w:hAnsi="Arial"/>
          <w:sz w:val="18"/>
          <w:szCs w:val="18"/>
          <w:color w:val="auto"/>
        </w:rPr>
      </w:pPr>
      <w:r>
        <w:rPr>
          <w:rFonts w:ascii="Arial" w:cs="Arial" w:eastAsia="Arial" w:hAnsi="Arial"/>
          <w:sz w:val="18"/>
          <w:szCs w:val="18"/>
          <w:color w:val="auto"/>
        </w:rPr>
        <w:t>Borrower shall provide Collateral Agent ten (10) days’ prior written notice before Borrower or any Guarantor establishes any Collateral Account. In addition, for each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540" w:top="1404" w:right="599" w:bottom="1440" w:gutter="0" w:footer="0" w:header="0"/>
        </w:sectPr>
      </w:pPr>
    </w:p>
    <w:bookmarkStart w:id="6" w:name="page7"/>
    <w:bookmarkEnd w:id="6"/>
    <w:p>
      <w:pPr>
        <w:jc w:val="both"/>
        <w:ind w:left="660" w:right="640"/>
        <w:spacing w:after="0" w:line="248" w:lineRule="auto"/>
        <w:rPr>
          <w:sz w:val="20"/>
          <w:szCs w:val="20"/>
          <w:color w:val="auto"/>
        </w:rPr>
      </w:pPr>
      <w:r>
        <w:rPr>
          <w:rFonts w:ascii="Arial" w:cs="Arial" w:eastAsia="Arial" w:hAnsi="Arial"/>
          <w:sz w:val="16"/>
          <w:szCs w:val="16"/>
          <w:color w:val="auto"/>
        </w:rPr>
        <w:t>Account that Borrower or any Guarantor, at any time maintains, Borrower or such Guarantor shall cause the applicable bank or financial institution at or with which such Collateral Account is maintained to execute and deliver a Control Agreement or other appropriate</w:t>
      </w:r>
    </w:p>
    <w:p>
      <w:pPr>
        <w:jc w:val="both"/>
        <w:ind w:left="660" w:right="640"/>
        <w:spacing w:after="0" w:line="234" w:lineRule="auto"/>
        <w:rPr>
          <w:sz w:val="20"/>
          <w:szCs w:val="20"/>
          <w:color w:val="auto"/>
        </w:rPr>
      </w:pPr>
      <w:r>
        <w:rPr>
          <w:rFonts w:ascii="Arial" w:cs="Arial" w:eastAsia="Arial" w:hAnsi="Arial"/>
          <w:sz w:val="16"/>
          <w:szCs w:val="16"/>
          <w:color w:val="auto"/>
        </w:rPr>
        <w:t>instrument with respect to such Collateral Account to perfect Collateral Agent’s Lien in such Collateral Account (held for the ratable benefit of the Secured Parties) in accordance with the terms hereunder prior to the establishment of such Collateral Account. The provisions of the previous sentence shall not apply to (i) Deposit Accounts exclusively used for cash collateral for Permitted Liens under</w:t>
      </w:r>
    </w:p>
    <w:p>
      <w:pPr>
        <w:spacing w:after="0" w:line="2" w:lineRule="exact"/>
        <w:rPr>
          <w:sz w:val="20"/>
          <w:szCs w:val="20"/>
          <w:color w:val="auto"/>
        </w:rPr>
      </w:pPr>
    </w:p>
    <w:p>
      <w:pPr>
        <w:jc w:val="both"/>
        <w:ind w:left="660" w:right="640"/>
        <w:spacing w:after="0" w:line="234" w:lineRule="auto"/>
        <w:rPr>
          <w:sz w:val="20"/>
          <w:szCs w:val="20"/>
          <w:color w:val="auto"/>
        </w:rPr>
      </w:pPr>
      <w:r>
        <w:rPr>
          <w:rFonts w:ascii="Arial" w:cs="Arial" w:eastAsia="Arial" w:hAnsi="Arial"/>
          <w:sz w:val="16"/>
          <w:szCs w:val="16"/>
          <w:color w:val="auto"/>
        </w:rPr>
        <w:t>clause (j) of the definition thereof, (ii) payroll, payroll taxes and other employee wage and benefit payments to or for the benefit of Borrower’s, or any Guarantor’s, employees in an aggregate amount not to exceed the amount reasonably expected to be due and payable for the next two (2) succeeding pay periods and identified to Collateral Agent by Borrower as such in the Disclosure Schedules or</w:t>
      </w:r>
    </w:p>
    <w:p>
      <w:pPr>
        <w:spacing w:after="0" w:line="2" w:lineRule="exact"/>
        <w:rPr>
          <w:sz w:val="20"/>
          <w:szCs w:val="20"/>
          <w:color w:val="auto"/>
        </w:rPr>
      </w:pPr>
    </w:p>
    <w:p>
      <w:pPr>
        <w:jc w:val="both"/>
        <w:ind w:left="660" w:right="660"/>
        <w:spacing w:after="0" w:line="234" w:lineRule="auto"/>
        <w:rPr>
          <w:sz w:val="20"/>
          <w:szCs w:val="20"/>
          <w:color w:val="auto"/>
        </w:rPr>
      </w:pPr>
      <w:r>
        <w:rPr>
          <w:rFonts w:ascii="Arial" w:cs="Arial" w:eastAsia="Arial" w:hAnsi="Arial"/>
          <w:sz w:val="16"/>
          <w:szCs w:val="16"/>
          <w:color w:val="auto"/>
        </w:rPr>
        <w:t>otherwise in writing to the Collateral Agent, (iii) any deposit accounts at Western Alliance Bank (provided the accounts at Western Alliance Bank do not have an aggregate balance in excess of One Hundred Thousand Dollars ($100,000) from and after the date that is three (3) Business Days after the Effective Date and such accounts are closed as required by Section 6.12(b)) or (iv) any Permitted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Royalty Account.”</w:t>
      </w:r>
    </w:p>
    <w:p>
      <w:pPr>
        <w:spacing w:after="0" w:line="165"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 xml:space="preserve">1.6 Schedule 1.1 (Lenders and Commitments). </w:t>
      </w:r>
      <w:r>
        <w:rPr>
          <w:rFonts w:ascii="Arial" w:cs="Arial" w:eastAsia="Arial" w:hAnsi="Arial"/>
          <w:sz w:val="18"/>
          <w:szCs w:val="18"/>
          <w:color w:val="auto"/>
        </w:rPr>
        <w:t>Schedule 1.1 of the Loan Agreement is hereby amended and restated in its entirety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Schedule 1.1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1.7 Exhibit A (Description of Collateral)</w:t>
      </w:r>
      <w:r>
        <w:rPr>
          <w:rFonts w:ascii="Arial" w:cs="Arial" w:eastAsia="Arial" w:hAnsi="Arial"/>
          <w:sz w:val="18"/>
          <w:szCs w:val="18"/>
          <w:color w:val="auto"/>
        </w:rPr>
        <w:t>. Exhibit A of the Loan Agreement is hereby amended by (i) changing clause (e) in the final</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thereof to clause (f) and (ii) inserting new clause (e) immediately following clause (d) thereof, to read as follows: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any Permitted Royalty Account, including any amounts on deposit therein,”</w:t>
      </w:r>
    </w:p>
    <w:p>
      <w:pPr>
        <w:spacing w:after="0" w:line="19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Amendments.</w:t>
      </w:r>
    </w:p>
    <w:p>
      <w:pPr>
        <w:spacing w:after="0" w:line="185"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The amendments set forth in Section 2 above are effective for the purposes set forth herein and shall be limited precisely as written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deemed to (a) be a consent to any amendment, waiver or modification of any other term or condition of any Loan Document, or (b) otherwise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prejudice any right, remedy or obligation which Lenders or Borrower may now have or may have in the future under or in connection with any Loan Document, as amended hereby.</w:t>
      </w:r>
    </w:p>
    <w:p>
      <w:pPr>
        <w:spacing w:after="0" w:line="15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This Amendment shall be construed in connection with and as part of the Loan Documents and all terms, conditions, representations,</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covenants and agreements set forth in the Loan Documents are hereby ratified and confirmed and shall remain in full force and effect.</w:t>
      </w:r>
    </w:p>
    <w:p>
      <w:pPr>
        <w:spacing w:after="0" w:line="126" w:lineRule="exact"/>
        <w:rPr>
          <w:sz w:val="20"/>
          <w:szCs w:val="20"/>
          <w:color w:val="auto"/>
        </w:rPr>
      </w:pPr>
    </w:p>
    <w:p>
      <w:pPr>
        <w:ind w:firstLine="8"/>
        <w:spacing w:after="0" w:line="237" w:lineRule="auto"/>
        <w:tabs>
          <w:tab w:leader="none" w:pos="64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Collateral Agent and the Required Lenders to enter into this Amendment, Borrower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Collateral Agent and the Required Lenders as follows:</w:t>
      </w:r>
    </w:p>
    <w:p>
      <w:pPr>
        <w:spacing w:after="0" w:line="17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color w:val="auto"/>
        </w:rPr>
        <w:t>Immediately after giving effect to this Amendment (a) the representations and warranties contained in the Loan Documents are true,</w:t>
      </w:r>
      <w:r>
        <w:rPr>
          <w:rFonts w:ascii="Arial" w:cs="Arial" w:eastAsia="Arial" w:hAnsi="Arial"/>
          <w:sz w:val="17"/>
          <w:szCs w:val="17"/>
          <w:b w:val="1"/>
          <w:bCs w:val="1"/>
          <w:color w:val="auto"/>
        </w:rPr>
        <w:t xml:space="preserve"> </w:t>
      </w:r>
      <w:r>
        <w:rPr>
          <w:rFonts w:ascii="Arial" w:cs="Arial" w:eastAsia="Arial" w:hAnsi="Arial"/>
          <w:sz w:val="17"/>
          <w:szCs w:val="17"/>
          <w:color w:val="auto"/>
        </w:rPr>
        <w:t>accurate 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172"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Borrower has the power and due authority to execute and deliver this Amendment and to perform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color w:val="auto"/>
        </w:rPr>
        <w:t>The organizational documents of Borrower delivered to Collateral Agent on the Effective Date, and updated pursuant to subsequent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deliveries by or on behalf of the Borrower to the Collateral Agent, remain true, accurate and complete and have not been amended, supplemented or restated and are and continue to be in full force and effect;</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color w:val="auto"/>
        </w:rPr>
        <w:t>The execution and delivery by Borrower of this Amendment and the performance by Borrower of its obligations under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amended by this Amendment, do not contravene (i) any material law or regulation binding on or affecting Borrower, (ii) any material</w:t>
      </w:r>
    </w:p>
    <w:p>
      <w:pPr>
        <w:jc w:val="both"/>
        <w:spacing w:after="0" w:line="226" w:lineRule="auto"/>
        <w:rPr>
          <w:sz w:val="20"/>
          <w:szCs w:val="20"/>
          <w:color w:val="auto"/>
        </w:rPr>
      </w:pPr>
      <w:r>
        <w:rPr>
          <w:rFonts w:ascii="Arial" w:cs="Arial" w:eastAsia="Arial" w:hAnsi="Arial"/>
          <w:sz w:val="18"/>
          <w:szCs w:val="18"/>
          <w:color w:val="auto"/>
        </w:rPr>
        <w:t>contractual restriction with a Person binding on Borrower, (iii) any applicable order, judgment or decree of any court or other governmental or public body or authority, or subdivision thereof, binding on Borrower, or (iv) the organizational documents of Borrower;</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require any order,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8" w:right="339" w:bottom="1440" w:gutter="0" w:footer="0" w:header="0"/>
        </w:sectPr>
      </w:pPr>
    </w:p>
    <w:bookmarkStart w:id="7" w:name="page8"/>
    <w:bookmarkEnd w:id="7"/>
    <w:p>
      <w:pPr>
        <w:jc w:val="both"/>
        <w:ind w:right="20"/>
        <w:spacing w:after="0" w:line="235" w:lineRule="auto"/>
        <w:rPr>
          <w:sz w:val="20"/>
          <w:szCs w:val="20"/>
          <w:color w:val="auto"/>
        </w:rPr>
      </w:pPr>
      <w:r>
        <w:rPr>
          <w:rFonts w:ascii="Arial" w:cs="Arial" w:eastAsia="Arial" w:hAnsi="Arial"/>
          <w:sz w:val="18"/>
          <w:szCs w:val="18"/>
          <w:color w:val="auto"/>
        </w:rPr>
        <w:t>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71"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This Amendment has been duly executed and delivered by Borrower and is the binding obligation of Borrower, enforceable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1" w:lineRule="exact"/>
        <w:rPr>
          <w:sz w:val="20"/>
          <w:szCs w:val="20"/>
          <w:color w:val="auto"/>
        </w:rPr>
      </w:pPr>
    </w:p>
    <w:p>
      <w:pPr>
        <w:jc w:val="both"/>
        <w:ind w:firstLine="8"/>
        <w:spacing w:after="0" w:line="239" w:lineRule="auto"/>
        <w:tabs>
          <w:tab w:leader="none" w:pos="648"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Loan Document. </w:t>
      </w:r>
      <w:r>
        <w:rPr>
          <w:rFonts w:ascii="Arial" w:cs="Arial" w:eastAsia="Arial" w:hAnsi="Arial"/>
          <w:sz w:val="17"/>
          <w:szCs w:val="17"/>
          <w:color w:val="auto"/>
        </w:rPr>
        <w:t>Borrower, Lenders and Collateral Agent agree that this Amendment shall be a Loan Document. Except as expressly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herein, the Loan Agreement and the other Loan Documents shall continue in full force and effect without alteration or amendment. This Amendment and the Loan Documents represent the entire agreement about this subject matter and supersede prior negotiations or agreements.</w:t>
      </w:r>
    </w:p>
    <w:p>
      <w:pPr>
        <w:spacing w:after="0" w:line="172" w:lineRule="exact"/>
        <w:rPr>
          <w:rFonts w:ascii="Arial" w:cs="Arial" w:eastAsia="Arial" w:hAnsi="Arial"/>
          <w:sz w:val="17"/>
          <w:szCs w:val="17"/>
          <w:b w:val="1"/>
          <w:bCs w:val="1"/>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Release by Borrower.</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1.1 FOR GOOD AND VALUABLE CONSIDERATION</w:t>
      </w:r>
      <w:r>
        <w:rPr>
          <w:rFonts w:ascii="Arial" w:cs="Arial" w:eastAsia="Arial" w:hAnsi="Arial"/>
          <w:sz w:val="16"/>
          <w:szCs w:val="16"/>
          <w:color w:val="auto"/>
        </w:rPr>
        <w:t>, Borrower hereby forever relieves, releases, and discharges Collateral Agent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Lender and their respective present or former employees, officers, directors, agents, representatives, attorneys, and each of them, from any and all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Effective Date through and</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including the date of execution of this Amendment solely to the extent such claims arise out of or are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 (collectively “</w:t>
      </w:r>
      <w:r>
        <w:rPr>
          <w:rFonts w:ascii="Arial" w:cs="Arial" w:eastAsia="Arial" w:hAnsi="Arial"/>
          <w:sz w:val="17"/>
          <w:szCs w:val="17"/>
          <w:b w:val="1"/>
          <w:bCs w:val="1"/>
          <w:color w:val="auto"/>
        </w:rPr>
        <w:t>Released Claims</w:t>
      </w:r>
      <w:r>
        <w:rPr>
          <w:rFonts w:ascii="Arial" w:cs="Arial" w:eastAsia="Arial" w:hAnsi="Arial"/>
          <w:sz w:val="17"/>
          <w:szCs w:val="17"/>
          <w:color w:val="auto"/>
        </w:rPr>
        <w:t>”).</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color w:val="auto"/>
        </w:rPr>
        <w:t>By entering into this release, Borrower recognizes that no facts or representations are ever absolutely certain and it may hereafter</w:t>
      </w:r>
      <w:r>
        <w:rPr>
          <w:rFonts w:ascii="Arial" w:cs="Arial" w:eastAsia="Arial" w:hAnsi="Arial"/>
          <w:sz w:val="16"/>
          <w:szCs w:val="16"/>
          <w:b w:val="1"/>
          <w:bCs w:val="1"/>
          <w:color w:val="auto"/>
        </w:rPr>
        <w:t xml:space="preserve"> </w:t>
      </w:r>
      <w:r>
        <w:rPr>
          <w:rFonts w:ascii="Arial" w:cs="Arial" w:eastAsia="Arial" w:hAnsi="Arial"/>
          <w:sz w:val="16"/>
          <w:szCs w:val="16"/>
          <w:color w:val="auto"/>
        </w:rPr>
        <w:t>discover facts in addition to or different from those which it presently knows or believes to be true, but that it is the intention of Borrower hereby to fully, finally and forever settle and release all matters, disputes and differences, known or unknown, suspected or unsuspected in relation to the Released Claims;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Collateral Agent or Lenders with respect to the facts underlying this release or with regard to any of such party’s rights or asserted rights.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color w:val="auto"/>
        </w:rPr>
        <w:t>This release may be pleaded as a full and complete defense and/or as a cross-complaint or counterclaim against any action, suit,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that may be instituted, prosecuted or attempted in breach of this release. Borrower acknowledges that the release contained herein constitutes a</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material inducement to Collateral Agent and the Lenders to enter into this Amendment, and that Collateral Agent and the Lenders would not have done so but for Collateral Agent’s and the Lenders’ expectation that such release is valid and enforceable in all events.</w:t>
      </w:r>
    </w:p>
    <w:p>
      <w:pPr>
        <w:spacing w:after="0" w:line="157" w:lineRule="exact"/>
        <w:rPr>
          <w:sz w:val="20"/>
          <w:szCs w:val="20"/>
          <w:color w:val="auto"/>
        </w:rPr>
      </w:pPr>
    </w:p>
    <w:p>
      <w:pPr>
        <w:jc w:val="both"/>
        <w:ind w:firstLine="8"/>
        <w:spacing w:after="0" w:line="224" w:lineRule="auto"/>
        <w:tabs>
          <w:tab w:leader="none" w:pos="64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Reaffirmation</w:t>
      </w:r>
      <w:r>
        <w:rPr>
          <w:rFonts w:ascii="Arial" w:cs="Arial" w:eastAsia="Arial" w:hAnsi="Arial"/>
          <w:sz w:val="18"/>
          <w:szCs w:val="18"/>
          <w:color w:val="auto"/>
        </w:rPr>
        <w:t>. Borrower hereby confirms the grant of the security interest in the Collateral (as defined in the Loan Agreement) to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confirms and agrees that such security interest shall secure all obligations under the Loan Agreement as amended by this Amendment, and as it may be further amended, restated, amended and restated, supplemented or otherwise modified from time to time and any other obligations identified in the Loan Agreement as being secured thereby.</w:t>
      </w:r>
    </w:p>
    <w:p>
      <w:pPr>
        <w:spacing w:after="0" w:line="172" w:lineRule="exact"/>
        <w:rPr>
          <w:rFonts w:ascii="Arial" w:cs="Arial" w:eastAsia="Arial" w:hAnsi="Arial"/>
          <w:sz w:val="18"/>
          <w:szCs w:val="18"/>
          <w:b w:val="1"/>
          <w:bCs w:val="1"/>
          <w:color w:val="auto"/>
        </w:rPr>
      </w:pPr>
    </w:p>
    <w:p>
      <w:pPr>
        <w:jc w:val="both"/>
        <w:ind w:firstLine="8"/>
        <w:spacing w:after="0" w:line="217" w:lineRule="auto"/>
        <w:tabs>
          <w:tab w:leader="none" w:pos="64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effective as of the date hereof upon (i) the due execution and delivery of this Amendment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hereto, (ii) the due execution and delivery to Collateral Agent and Lenders of a certificate of Borrower in substantially the form as previously provided to Collateral Agent, (iii) the due execution and delivery of the Second Amendment to Fee Letter and First Amendment to Exit Fee Agreement dated the date hereof by each party thereto, and (iv) delivery by Borrower to Collateral Agent of (a) the updated Perfection Certificate, (b) a duly executed legal opinion of counsel dated as of the date hereof, and (c) such other documents, agreements, side letters, certificates and/or schedules as Collateral Agent may reasonably request to effect the purpose to this Amendment.</w:t>
      </w:r>
    </w:p>
    <w:p>
      <w:pPr>
        <w:spacing w:after="0" w:line="159" w:lineRule="exact"/>
        <w:rPr>
          <w:rFonts w:ascii="Arial" w:cs="Arial" w:eastAsia="Arial" w:hAnsi="Arial"/>
          <w:sz w:val="18"/>
          <w:szCs w:val="18"/>
          <w:b w:val="1"/>
          <w:bCs w:val="1"/>
          <w:color w:val="auto"/>
        </w:rPr>
      </w:pPr>
    </w:p>
    <w:p>
      <w:pPr>
        <w:ind w:firstLine="8"/>
        <w:spacing w:after="0" w:line="250" w:lineRule="auto"/>
        <w:tabs>
          <w:tab w:leader="none" w:pos="64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Covenant. </w:t>
      </w:r>
      <w:r>
        <w:rPr>
          <w:rFonts w:ascii="Arial" w:cs="Arial" w:eastAsia="Arial" w:hAnsi="Arial"/>
          <w:sz w:val="18"/>
          <w:szCs w:val="18"/>
          <w:color w:val="auto"/>
        </w:rPr>
        <w:t>Borrower hereby covenants and agrees that it will deliver to Collateral Agent, within ten (10) Business Days of the date hereof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later date that Collateral Agent may agree in its sole discretion), the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8" w:right="339" w:bottom="1440" w:gutter="0" w:footer="0" w:header="0"/>
        </w:sectPr>
      </w:pPr>
    </w:p>
    <w:bookmarkStart w:id="8" w:name="page9"/>
    <w:bookmarkEnd w:id="8"/>
    <w:p>
      <w:pPr>
        <w:jc w:val="both"/>
        <w:spacing w:after="0" w:line="248" w:lineRule="auto"/>
        <w:rPr>
          <w:sz w:val="20"/>
          <w:szCs w:val="20"/>
          <w:color w:val="auto"/>
        </w:rPr>
      </w:pPr>
      <w:r>
        <w:rPr>
          <w:rFonts w:ascii="Arial" w:cs="Arial" w:eastAsia="Arial" w:hAnsi="Arial"/>
          <w:sz w:val="16"/>
          <w:szCs w:val="16"/>
          <w:color w:val="auto"/>
        </w:rPr>
        <w:t>standing certificates of Borrower for each jurisdiction in which it is qualified and licensed to conduct business in any jurisdiction in which the conduct of its businesses or its ownership of property requires that it be so qualified except where the failure to do so could not reasonably be expected to have a</w:t>
      </w:r>
    </w:p>
    <w:p>
      <w:pPr>
        <w:jc w:val="both"/>
        <w:spacing w:after="0" w:line="218" w:lineRule="auto"/>
        <w:rPr>
          <w:sz w:val="20"/>
          <w:szCs w:val="20"/>
          <w:color w:val="auto"/>
        </w:rPr>
      </w:pPr>
      <w:r>
        <w:rPr>
          <w:rFonts w:ascii="Arial" w:cs="Arial" w:eastAsia="Arial" w:hAnsi="Arial"/>
          <w:sz w:val="18"/>
          <w:szCs w:val="18"/>
          <w:color w:val="auto"/>
        </w:rPr>
        <w:t xml:space="preserve">Material Adverse 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failure of Borrower to deliver any such good standing certificates is due solely to delay at the applicable Secretary of State’s (or other equivalent agency) office, such deadline shall automatically be extended by an additional ten (10) Business Days with respect to such good standing certificates.</w:t>
      </w:r>
    </w:p>
    <w:p>
      <w:pPr>
        <w:spacing w:after="0" w:line="172" w:lineRule="exact"/>
        <w:rPr>
          <w:sz w:val="20"/>
          <w:szCs w:val="20"/>
          <w:color w:val="auto"/>
        </w:rPr>
      </w:pPr>
    </w:p>
    <w:p>
      <w:pPr>
        <w:jc w:val="both"/>
        <w:ind w:firstLine="8"/>
        <w:spacing w:after="0" w:line="226" w:lineRule="auto"/>
        <w:tabs>
          <w:tab w:leader="none" w:pos="643"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taken together, shall constitute one and the same instrument. Delivery by electronic transmission (e.g. “.pdf”) of an executed counterpart of this Amendment shall be effective as a manually executed counterpart signature thereof.</w:t>
      </w:r>
    </w:p>
    <w:p>
      <w:pPr>
        <w:spacing w:after="0" w:line="171" w:lineRule="exact"/>
        <w:rPr>
          <w:rFonts w:ascii="Arial" w:cs="Arial" w:eastAsia="Arial" w:hAnsi="Arial"/>
          <w:sz w:val="18"/>
          <w:szCs w:val="18"/>
          <w:b w:val="1"/>
          <w:bCs w:val="1"/>
          <w:color w:val="auto"/>
        </w:rPr>
      </w:pPr>
    </w:p>
    <w:p>
      <w:pPr>
        <w:jc w:val="both"/>
        <w:ind w:firstLine="8"/>
        <w:spacing w:after="0" w:line="230" w:lineRule="auto"/>
        <w:tabs>
          <w:tab w:leader="none" w:pos="633"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Electronic Execution. </w:t>
      </w:r>
      <w:r>
        <w:rPr>
          <w:rFonts w:ascii="Arial" w:cs="Arial" w:eastAsia="Arial" w:hAnsi="Arial"/>
          <w:sz w:val="17"/>
          <w:szCs w:val="17"/>
          <w:color w:val="auto"/>
        </w:rPr>
        <w:t>The words “execution,” “execute”, “signed,” “signature,” and words of like import in or related to any document to be</w:t>
      </w:r>
      <w:r>
        <w:rPr>
          <w:rFonts w:ascii="Arial" w:cs="Arial" w:eastAsia="Arial" w:hAnsi="Arial"/>
          <w:sz w:val="17"/>
          <w:szCs w:val="17"/>
          <w:b w:val="1"/>
          <w:bCs w:val="1"/>
          <w:color w:val="auto"/>
        </w:rPr>
        <w:t xml:space="preserve"> </w:t>
      </w:r>
      <w:r>
        <w:rPr>
          <w:rFonts w:ascii="Arial" w:cs="Arial" w:eastAsia="Arial" w:hAnsi="Arial"/>
          <w:sz w:val="17"/>
          <w:szCs w:val="17"/>
          <w:color w:val="auto"/>
        </w:rPr>
        <w:t>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0" w:lineRule="exact"/>
        <w:rPr>
          <w:rFonts w:ascii="Arial" w:cs="Arial" w:eastAsia="Arial" w:hAnsi="Arial"/>
          <w:sz w:val="17"/>
          <w:szCs w:val="17"/>
          <w:b w:val="1"/>
          <w:bCs w:val="1"/>
          <w:color w:val="auto"/>
        </w:rPr>
      </w:pPr>
    </w:p>
    <w:p>
      <w:pPr>
        <w:jc w:val="both"/>
        <w:ind w:firstLine="8"/>
        <w:spacing w:after="0" w:line="215" w:lineRule="auto"/>
        <w:tabs>
          <w:tab w:leader="none" w:pos="643"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AMENDMENT AND THE RIGHTS AND OBLIGATIONS OF THE PARTIES HEREUNDER SHALL IN ALL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BE GOVERNED BY AND CONSTRUED IN ACCORDANCE WITH, THE INTERNAL LAWS OF THE STATE OF NEW YORK (WITHOUT REGARD TO THE CONFLICT OF LAWS PRINCIPLES THAT WOULD RESULT IN THE APPLICATION OF ANY LAW OTHER THAN THE LAW OF SUCH STATE), INCLUDING ALL MATTERS OF CONSTRUCTION, VALIDITY AND PERFORMANCE, REGARDLESS OF THE LOCATION OF THE COLLATERAL, PROVIDED, HOWEVER,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8" w:right="339" w:bottom="1440" w:gutter="0" w:footer="0" w:header="0"/>
        </w:sectPr>
      </w:pPr>
    </w:p>
    <w:bookmarkStart w:id="9" w:name="page10"/>
    <w:bookmarkEnd w:id="9"/>
    <w:p>
      <w:pPr>
        <w:ind w:firstLine="648"/>
        <w:spacing w:after="0" w:line="23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Third Amendment to Loan and Security Agreement to be executed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set forth above.</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BORROWER:</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ARDELYX, INC.</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-10160</wp:posOffset>
            </wp:positionV>
            <wp:extent cx="695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532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Justin Renz</w:t>
      </w:r>
    </w:p>
    <w:p>
      <w:pPr>
        <w:ind w:left="20"/>
        <w:spacing w:after="0"/>
        <w:rPr>
          <w:sz w:val="20"/>
          <w:szCs w:val="20"/>
          <w:color w:val="auto"/>
        </w:rPr>
      </w:pPr>
      <w:r>
        <w:rPr>
          <w:rFonts w:ascii="Arial" w:cs="Arial" w:eastAsia="Arial" w:hAnsi="Arial"/>
          <w:sz w:val="18"/>
          <w:szCs w:val="18"/>
          <w:color w:val="auto"/>
        </w:rPr>
        <w:t>Title: Chief Financial and Operations Officer</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COLLATERAL AGENT AND LENDER:</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SLR INVESTMENT CORP.</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Anthony J. Storino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Anthony J. Storino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LENDERS: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SCP PRIVATE CREDIT INCOME FUND SPV, LLC</w:t>
      </w:r>
    </w:p>
    <w:p>
      <w:pPr>
        <w:ind w:left="20"/>
        <w:spacing w:after="0" w:line="203" w:lineRule="auto"/>
        <w:rPr>
          <w:sz w:val="20"/>
          <w:szCs w:val="20"/>
          <w:color w:val="auto"/>
        </w:rPr>
      </w:pPr>
      <w:r>
        <w:rPr>
          <w:rFonts w:ascii="Arial" w:cs="Arial" w:eastAsia="Arial" w:hAnsi="Arial"/>
          <w:sz w:val="18"/>
          <w:szCs w:val="18"/>
          <w:color w:val="auto"/>
        </w:rPr>
        <w:t>SCP PRIVATE CREDIT INCOME FUND LP</w:t>
      </w:r>
    </w:p>
    <w:p>
      <w:pPr>
        <w:ind w:left="20"/>
        <w:spacing w:after="0" w:line="203" w:lineRule="auto"/>
        <w:rPr>
          <w:sz w:val="20"/>
          <w:szCs w:val="20"/>
          <w:color w:val="auto"/>
        </w:rPr>
      </w:pPr>
      <w:r>
        <w:rPr>
          <w:rFonts w:ascii="Arial" w:cs="Arial" w:eastAsia="Arial" w:hAnsi="Arial"/>
          <w:sz w:val="18"/>
          <w:szCs w:val="18"/>
          <w:color w:val="auto"/>
        </w:rPr>
        <w:t>SCP PRIVATE CREDIT INCOME BDC SPV LLC</w:t>
      </w:r>
    </w:p>
    <w:p>
      <w:pPr>
        <w:ind w:left="20"/>
        <w:spacing w:after="0" w:line="220" w:lineRule="auto"/>
        <w:rPr>
          <w:sz w:val="20"/>
          <w:szCs w:val="20"/>
          <w:color w:val="auto"/>
        </w:rPr>
      </w:pPr>
      <w:r>
        <w:rPr>
          <w:rFonts w:ascii="Arial" w:cs="Arial" w:eastAsia="Arial" w:hAnsi="Arial"/>
          <w:sz w:val="18"/>
          <w:szCs w:val="18"/>
          <w:color w:val="auto"/>
        </w:rPr>
        <w:t>SCP PRIVATE CREDIT INCOME BDC LLC</w:t>
      </w:r>
    </w:p>
    <w:p>
      <w:pPr>
        <w:ind w:left="20"/>
        <w:spacing w:after="0" w:line="203" w:lineRule="auto"/>
        <w:rPr>
          <w:sz w:val="20"/>
          <w:szCs w:val="20"/>
          <w:color w:val="auto"/>
        </w:rPr>
      </w:pPr>
      <w:r>
        <w:rPr>
          <w:rFonts w:ascii="Arial" w:cs="Arial" w:eastAsia="Arial" w:hAnsi="Arial"/>
          <w:sz w:val="18"/>
          <w:szCs w:val="18"/>
          <w:color w:val="auto"/>
        </w:rPr>
        <w:t>SCP PRIVATE CORPORATE LENDING FUND SPV LLC</w:t>
      </w:r>
    </w:p>
    <w:p>
      <w:pPr>
        <w:ind w:left="20"/>
        <w:spacing w:after="0" w:line="204" w:lineRule="auto"/>
        <w:rPr>
          <w:sz w:val="20"/>
          <w:szCs w:val="20"/>
          <w:color w:val="auto"/>
        </w:rPr>
      </w:pPr>
      <w:r>
        <w:rPr>
          <w:rFonts w:ascii="Arial" w:cs="Arial" w:eastAsia="Arial" w:hAnsi="Arial"/>
          <w:sz w:val="18"/>
          <w:szCs w:val="18"/>
          <w:color w:val="auto"/>
        </w:rPr>
        <w:t>SCP PRIVATE CORPORATE LENDING FUND L.P.</w:t>
      </w:r>
    </w:p>
    <w:p>
      <w:pPr>
        <w:ind w:left="20"/>
        <w:spacing w:after="0" w:line="219" w:lineRule="auto"/>
        <w:rPr>
          <w:sz w:val="20"/>
          <w:szCs w:val="20"/>
          <w:color w:val="auto"/>
        </w:rPr>
      </w:pPr>
      <w:r>
        <w:rPr>
          <w:rFonts w:ascii="Arial" w:cs="Arial" w:eastAsia="Arial" w:hAnsi="Arial"/>
          <w:sz w:val="18"/>
          <w:szCs w:val="18"/>
          <w:color w:val="auto"/>
        </w:rPr>
        <w:t>SCP CAYMAN DEBT MASTER FUND SPV LLC</w:t>
      </w:r>
    </w:p>
    <w:p>
      <w:pPr>
        <w:ind w:left="20"/>
        <w:spacing w:after="0" w:line="203" w:lineRule="auto"/>
        <w:rPr>
          <w:sz w:val="20"/>
          <w:szCs w:val="20"/>
          <w:color w:val="auto"/>
        </w:rPr>
      </w:pPr>
      <w:r>
        <w:rPr>
          <w:rFonts w:ascii="Arial" w:cs="Arial" w:eastAsia="Arial" w:hAnsi="Arial"/>
          <w:sz w:val="18"/>
          <w:szCs w:val="18"/>
          <w:color w:val="auto"/>
        </w:rPr>
        <w:t>SCP CAYMAN DEBT MASTER FUND L.P.</w:t>
      </w:r>
    </w:p>
    <w:p>
      <w:pPr>
        <w:ind w:left="20"/>
        <w:spacing w:after="0" w:line="204" w:lineRule="auto"/>
        <w:rPr>
          <w:sz w:val="20"/>
          <w:szCs w:val="20"/>
          <w:color w:val="auto"/>
        </w:rPr>
      </w:pPr>
      <w:r>
        <w:rPr>
          <w:rFonts w:ascii="Arial" w:cs="Arial" w:eastAsia="Arial" w:hAnsi="Arial"/>
          <w:sz w:val="18"/>
          <w:szCs w:val="18"/>
          <w:color w:val="auto"/>
        </w:rPr>
        <w:t>SLR CP SF DEBT FUND SPV, LLC</w:t>
      </w:r>
    </w:p>
    <w:p>
      <w:pPr>
        <w:ind w:left="20"/>
        <w:spacing w:after="0" w:line="219" w:lineRule="auto"/>
        <w:rPr>
          <w:sz w:val="20"/>
          <w:szCs w:val="20"/>
          <w:color w:val="auto"/>
        </w:rPr>
      </w:pPr>
      <w:r>
        <w:rPr>
          <w:rFonts w:ascii="Arial" w:cs="Arial" w:eastAsia="Arial" w:hAnsi="Arial"/>
          <w:sz w:val="18"/>
          <w:szCs w:val="18"/>
          <w:color w:val="auto"/>
        </w:rPr>
        <w:t>SCP SF DEBT FUND L.P.</w:t>
      </w:r>
    </w:p>
    <w:p>
      <w:pPr>
        <w:ind w:left="20"/>
        <w:spacing w:after="0" w:line="203" w:lineRule="auto"/>
        <w:rPr>
          <w:sz w:val="20"/>
          <w:szCs w:val="20"/>
          <w:color w:val="auto"/>
        </w:rPr>
      </w:pPr>
      <w:r>
        <w:rPr>
          <w:rFonts w:ascii="Arial" w:cs="Arial" w:eastAsia="Arial" w:hAnsi="Arial"/>
          <w:sz w:val="18"/>
          <w:szCs w:val="18"/>
          <w:color w:val="auto"/>
        </w:rPr>
        <w:t>SLR HC FUND SPV, LLC</w:t>
      </w:r>
    </w:p>
    <w:p>
      <w:pPr>
        <w:ind w:left="20"/>
        <w:spacing w:after="0" w:line="204" w:lineRule="auto"/>
        <w:rPr>
          <w:sz w:val="20"/>
          <w:szCs w:val="20"/>
          <w:color w:val="auto"/>
        </w:rPr>
      </w:pPr>
      <w:r>
        <w:rPr>
          <w:rFonts w:ascii="Arial" w:cs="Arial" w:eastAsia="Arial" w:hAnsi="Arial"/>
          <w:sz w:val="18"/>
          <w:szCs w:val="18"/>
          <w:color w:val="auto"/>
        </w:rPr>
        <w:t>SLR HC ONSHORE FUND LP</w:t>
      </w:r>
    </w:p>
    <w:p>
      <w:pPr>
        <w:ind w:left="20"/>
        <w:spacing w:after="0" w:line="219" w:lineRule="auto"/>
        <w:rPr>
          <w:sz w:val="20"/>
          <w:szCs w:val="20"/>
          <w:color w:val="auto"/>
        </w:rPr>
      </w:pPr>
      <w:r>
        <w:rPr>
          <w:rFonts w:ascii="Arial" w:cs="Arial" w:eastAsia="Arial" w:hAnsi="Arial"/>
          <w:sz w:val="18"/>
          <w:szCs w:val="18"/>
          <w:color w:val="auto"/>
        </w:rPr>
        <w:t>SLR HC BDC SPV, LLC</w:t>
      </w:r>
    </w:p>
    <w:p>
      <w:pPr>
        <w:ind w:left="20"/>
        <w:spacing w:after="0" w:line="204" w:lineRule="auto"/>
        <w:rPr>
          <w:sz w:val="20"/>
          <w:szCs w:val="20"/>
          <w:color w:val="auto"/>
        </w:rPr>
      </w:pPr>
      <w:r>
        <w:rPr>
          <w:rFonts w:ascii="Arial" w:cs="Arial" w:eastAsia="Arial" w:hAnsi="Arial"/>
          <w:sz w:val="18"/>
          <w:szCs w:val="18"/>
          <w:color w:val="auto"/>
        </w:rPr>
        <w:t>SLR HC BDC LLC</w:t>
      </w:r>
    </w:p>
    <w:p>
      <w:pPr>
        <w:ind w:left="20"/>
        <w:spacing w:after="0" w:line="203" w:lineRule="auto"/>
        <w:rPr>
          <w:sz w:val="20"/>
          <w:szCs w:val="20"/>
          <w:color w:val="auto"/>
        </w:rPr>
      </w:pPr>
      <w:r>
        <w:rPr>
          <w:rFonts w:ascii="Arial" w:cs="Arial" w:eastAsia="Arial" w:hAnsi="Arial"/>
          <w:sz w:val="18"/>
          <w:szCs w:val="18"/>
          <w:color w:val="auto"/>
        </w:rPr>
        <w:t>SLR 1818 L.P.</w:t>
      </w:r>
    </w:p>
    <w:p>
      <w:pPr>
        <w:ind w:left="20"/>
        <w:spacing w:after="0" w:line="219" w:lineRule="auto"/>
        <w:rPr>
          <w:sz w:val="20"/>
          <w:szCs w:val="20"/>
          <w:color w:val="auto"/>
        </w:rPr>
      </w:pPr>
      <w:r>
        <w:rPr>
          <w:rFonts w:ascii="Arial" w:cs="Arial" w:eastAsia="Arial" w:hAnsi="Arial"/>
          <w:sz w:val="18"/>
          <w:szCs w:val="18"/>
          <w:color w:val="auto"/>
        </w:rPr>
        <w:t>SLR PRIVATE CREDIT FUND II L.P.</w:t>
      </w:r>
    </w:p>
    <w:p>
      <w:pPr>
        <w:ind w:left="20"/>
        <w:spacing w:after="0" w:line="204" w:lineRule="auto"/>
        <w:rPr>
          <w:sz w:val="20"/>
          <w:szCs w:val="20"/>
          <w:color w:val="auto"/>
        </w:rPr>
      </w:pPr>
      <w:r>
        <w:rPr>
          <w:rFonts w:ascii="Arial" w:cs="Arial" w:eastAsia="Arial" w:hAnsi="Arial"/>
          <w:sz w:val="18"/>
          <w:szCs w:val="18"/>
          <w:color w:val="auto"/>
        </w:rPr>
        <w:t>SLR PRIVATE CREDIT BDC II LLC</w:t>
      </w:r>
    </w:p>
    <w:p>
      <w:pPr>
        <w:ind w:left="20"/>
        <w:spacing w:after="0" w:line="203" w:lineRule="auto"/>
        <w:rPr>
          <w:sz w:val="20"/>
          <w:szCs w:val="20"/>
          <w:color w:val="auto"/>
        </w:rPr>
      </w:pPr>
      <w:r>
        <w:rPr>
          <w:rFonts w:ascii="Arial" w:cs="Arial" w:eastAsia="Arial" w:hAnsi="Arial"/>
          <w:sz w:val="18"/>
          <w:szCs w:val="18"/>
          <w:color w:val="auto"/>
        </w:rPr>
        <w:t>SLR PRIVATE CORPORATE LENDING FUND II L.P.</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CRPTF-SLR CREDIT PARTNERSHIP L.P.</w:t>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Anthony J. Storino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-635</wp:posOffset>
            </wp:positionV>
            <wp:extent cx="11169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20"/>
        <w:spacing w:after="0" w:line="203" w:lineRule="auto"/>
        <w:rPr>
          <w:sz w:val="20"/>
          <w:szCs w:val="20"/>
          <w:color w:val="auto"/>
        </w:rPr>
      </w:pPr>
      <w:r>
        <w:rPr>
          <w:rFonts w:ascii="Arial" w:cs="Arial" w:eastAsia="Arial" w:hAnsi="Arial"/>
          <w:sz w:val="18"/>
          <w:szCs w:val="18"/>
          <w:color w:val="auto"/>
        </w:rPr>
        <w:t>Name: Anthony J. Storino</w:t>
      </w:r>
    </w:p>
    <w:p>
      <w:pPr>
        <w:ind w:left="2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Signature Page to Third Amendment to Loan and Security Agreement</w:t>
      </w:r>
      <w:r>
        <w:rPr>
          <w:rFonts w:ascii="Arial" w:cs="Arial" w:eastAsia="Arial" w:hAnsi="Arial"/>
          <w:sz w:val="15"/>
          <w:szCs w:val="15"/>
          <w:b w:val="1"/>
          <w:bCs w:val="1"/>
          <w:color w:val="auto"/>
        </w:rPr>
        <w:t>]</w:t>
      </w:r>
    </w:p>
    <w:p>
      <w:pPr>
        <w:sectPr>
          <w:pgSz w:w="11900" w:h="16838" w:orient="portrait"/>
          <w:cols w:equalWidth="0" w:num="1">
            <w:col w:w="11240"/>
          </w:cols>
          <w:pgMar w:left="320" w:top="1404" w:right="339" w:bottom="1440" w:gutter="0" w:footer="0" w:header="0"/>
          <w:type w:val="continuous"/>
        </w:sectPr>
      </w:pPr>
    </w:p>
    <w:bookmarkStart w:id="10" w:name="page11"/>
    <w:bookmarkEnd w:id="10"/>
    <w:p>
      <w:pPr>
        <w:jc w:val="center"/>
        <w:ind w:right="-399"/>
        <w:spacing w:after="0"/>
        <w:rPr>
          <w:sz w:val="20"/>
          <w:szCs w:val="20"/>
          <w:color w:val="auto"/>
        </w:rPr>
      </w:pPr>
      <w:r>
        <w:rPr>
          <w:rFonts w:ascii="Arial" w:cs="Arial" w:eastAsia="Arial" w:hAnsi="Arial"/>
          <w:sz w:val="18"/>
          <w:szCs w:val="18"/>
          <w:b w:val="1"/>
          <w:bCs w:val="1"/>
          <w:u w:val="single" w:color="auto"/>
          <w:color w:val="auto"/>
        </w:rPr>
        <w:t>Exhibit A</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SCHEDULE 1.1</w:t>
      </w:r>
    </w:p>
    <w:p>
      <w:pPr>
        <w:spacing w:after="0" w:line="18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6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Term A Loans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060" w:type="dxa"/>
            <w:vAlign w:val="bottom"/>
            <w:tcBorders>
              <w:top w:val="single" w:sz="8" w:color="auto"/>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Lender</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Term A Loan Commitment</w:t>
            </w:r>
          </w:p>
        </w:tc>
        <w:tc>
          <w:tcPr>
            <w:tcW w:w="3640" w:type="dxa"/>
            <w:vAlign w:val="bottom"/>
            <w:tcBorders>
              <w:top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Commitment Percentage</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INVESTMENT CORP.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$9,475,251.16</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34.46%</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6"/>
              </w:rPr>
              <w:t>SCP PRIVATE CREDIT INCOME FUND SPV,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$4,449,548.38</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16.18%</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SCP PRIVATE CREDIT INCOME BDC SPV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$3,319,342.73</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12.07%</w:t>
            </w:r>
          </w:p>
        </w:tc>
        <w:tc>
          <w:tcPr>
            <w:tcW w:w="0" w:type="dxa"/>
            <w:vAlign w:val="bottom"/>
          </w:tcPr>
          <w:p>
            <w:pPr>
              <w:spacing w:after="0"/>
              <w:rPr>
                <w:sz w:val="1"/>
                <w:szCs w:val="1"/>
                <w:color w:val="auto"/>
              </w:rPr>
            </w:pPr>
          </w:p>
        </w:tc>
      </w:tr>
      <w:tr>
        <w:trPr>
          <w:trHeight w:val="169"/>
        </w:trPr>
        <w:tc>
          <w:tcPr>
            <w:tcW w:w="406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w w:val="94"/>
              </w:rPr>
              <w:t>SCP PRIVATE CORPORATE LENDING FUND SPV</w:t>
            </w:r>
          </w:p>
        </w:tc>
        <w:tc>
          <w:tcPr>
            <w:tcW w:w="3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$3,024,807.06</w:t>
            </w: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11.00%</w:t>
            </w:r>
          </w:p>
        </w:tc>
        <w:tc>
          <w:tcPr>
            <w:tcW w:w="0" w:type="dxa"/>
            <w:vAlign w:val="bottom"/>
          </w:tcPr>
          <w:p>
            <w:pPr>
              <w:spacing w:after="0"/>
              <w:rPr>
                <w:sz w:val="1"/>
                <w:szCs w:val="1"/>
                <w:color w:val="auto"/>
              </w:rPr>
            </w:pPr>
          </w:p>
        </w:tc>
      </w:tr>
      <w:tr>
        <w:trPr>
          <w:trHeight w:val="148"/>
        </w:trPr>
        <w:tc>
          <w:tcPr>
            <w:tcW w:w="40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LLC</w:t>
            </w:r>
          </w:p>
        </w:tc>
        <w:tc>
          <w:tcPr>
            <w:tcW w:w="316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0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160" w:type="dxa"/>
            <w:vAlign w:val="bottom"/>
            <w:tcBorders>
              <w:bottom w:val="single" w:sz="8" w:color="auto"/>
              <w:right w:val="single" w:sz="8" w:color="auto"/>
            </w:tcBorders>
          </w:tcPr>
          <w:p>
            <w:pPr>
              <w:spacing w:after="0"/>
              <w:rPr>
                <w:sz w:val="7"/>
                <w:szCs w:val="7"/>
                <w:color w:val="auto"/>
              </w:rPr>
            </w:pPr>
          </w:p>
        </w:tc>
        <w:tc>
          <w:tcPr>
            <w:tcW w:w="3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SCP CAYMAN DEBT MASTER FUND SPV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$1,297,190.99</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4.72%</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CP SF DEBT FUND SPV,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$1,038,567.36</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3.78%</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HC FUND SPV,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$4,044,074.37</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14.71%</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HC BDC SPV,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$851,217.95</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3.10%</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TOTAL</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$27,500,000.00</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100.00%</w:t>
            </w:r>
          </w:p>
        </w:tc>
        <w:tc>
          <w:tcPr>
            <w:tcW w:w="0" w:type="dxa"/>
            <w:vAlign w:val="bottom"/>
          </w:tcPr>
          <w:p>
            <w:pPr>
              <w:spacing w:after="0"/>
              <w:rPr>
                <w:sz w:val="1"/>
                <w:szCs w:val="1"/>
                <w:color w:val="auto"/>
              </w:rPr>
            </w:pPr>
          </w:p>
        </w:tc>
      </w:tr>
      <w:tr>
        <w:trPr>
          <w:trHeight w:val="480"/>
        </w:trPr>
        <w:tc>
          <w:tcPr>
            <w:tcW w:w="406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1"/>
              </w:rPr>
              <w:t>Term B Loans</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6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Lender</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Term B Loan Commitment</w:t>
            </w:r>
          </w:p>
        </w:tc>
        <w:tc>
          <w:tcPr>
            <w:tcW w:w="364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Commitment Percentage</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INVESTMENT CORP.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$7,752,478.23</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34.46%</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SCP PRIVATE CREDIT INCOME FUND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$3,640,539.58</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16.18%</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SCP PRIVATE CREDIT INCOME BDC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$2,715,825.87</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12.07%</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4"/>
              </w:rPr>
              <w:t>SCP PRIVATE CORPORATE LENDING FUND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$2,474,842.14</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11.00%</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SCP CAYMAN DEBT MASTER FUND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$1,061,338.08</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4.72%</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SCP SF DEBT FUND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$849,736.93</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3.78%</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HC ONSHORE FUND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$3,308,788.12</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14.71%</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HC BDC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$696,451.05</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3.10%</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TOTAL</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$22,500,000.00</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100.00%</w:t>
            </w:r>
          </w:p>
        </w:tc>
        <w:tc>
          <w:tcPr>
            <w:tcW w:w="0" w:type="dxa"/>
            <w:vAlign w:val="bottom"/>
          </w:tcPr>
          <w:p>
            <w:pPr>
              <w:spacing w:after="0"/>
              <w:rPr>
                <w:sz w:val="1"/>
                <w:szCs w:val="1"/>
                <w:color w:val="auto"/>
              </w:rPr>
            </w:pPr>
          </w:p>
        </w:tc>
      </w:tr>
    </w:tbl>
    <w:p>
      <w:pPr>
        <w:sectPr>
          <w:pgSz w:w="11900" w:h="16838" w:orient="portrait"/>
          <w:cols w:equalWidth="0" w:num="1">
            <w:col w:w="10840"/>
          </w:cols>
          <w:pgMar w:left="320" w:top="1255" w:right="739" w:bottom="1440" w:gutter="0" w:footer="0" w:header="0"/>
        </w:sectPr>
      </w:pPr>
    </w:p>
    <w:bookmarkStart w:id="11" w:name="page12"/>
    <w:bookmarkEnd w:id="11"/>
    <w:p>
      <w:pPr>
        <w:spacing w:after="0" w:line="1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Term C Loans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060" w:type="dxa"/>
            <w:vAlign w:val="bottom"/>
            <w:tcBorders>
              <w:top w:val="single" w:sz="8" w:color="auto"/>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Lender</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Term C Loan Commitment</w:t>
            </w:r>
          </w:p>
        </w:tc>
        <w:tc>
          <w:tcPr>
            <w:tcW w:w="3640" w:type="dxa"/>
            <w:vAlign w:val="bottom"/>
            <w:tcBorders>
              <w:top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Commitment Percentage</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INVESTMENT CORP.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$15,874,439.36</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31.75%</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4"/>
              </w:rPr>
              <w:t>SCP PRIVATE CORPORATE LENDING FUND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$8,059,559.23</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16.12%</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HC ONSHORE FUND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$7,081,161.26</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14.16%</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HC BDC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$1,345,156.00</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2.69%</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1818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$6,168,352.10</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12.34%</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PRIVATE CREDIT FUND II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$3,434,372.33</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6.87%</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PRIVATE CREDIT BDC II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$750,433.17</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0" w:type="dxa"/>
            <w:vAlign w:val="bottom"/>
          </w:tcPr>
          <w:p>
            <w:pPr>
              <w:spacing w:after="0"/>
              <w:rPr>
                <w:sz w:val="1"/>
                <w:szCs w:val="1"/>
                <w:color w:val="auto"/>
              </w:rPr>
            </w:pPr>
          </w:p>
        </w:tc>
      </w:tr>
      <w:tr>
        <w:trPr>
          <w:trHeight w:val="182"/>
        </w:trPr>
        <w:tc>
          <w:tcPr>
            <w:tcW w:w="4060" w:type="dxa"/>
            <w:vAlign w:val="bottom"/>
            <w:tcBorders>
              <w:left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SLR PRIVATE CORPORATE LENDING FUND II</w:t>
            </w:r>
          </w:p>
        </w:tc>
        <w:tc>
          <w:tcPr>
            <w:tcW w:w="3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$3,585,515.29</w:t>
            </w: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7.17%</w:t>
            </w:r>
          </w:p>
        </w:tc>
        <w:tc>
          <w:tcPr>
            <w:tcW w:w="0" w:type="dxa"/>
            <w:vAlign w:val="bottom"/>
          </w:tcPr>
          <w:p>
            <w:pPr>
              <w:spacing w:after="0"/>
              <w:rPr>
                <w:sz w:val="1"/>
                <w:szCs w:val="1"/>
                <w:color w:val="auto"/>
              </w:rPr>
            </w:pPr>
          </w:p>
        </w:tc>
      </w:tr>
      <w:tr>
        <w:trPr>
          <w:trHeight w:val="136"/>
        </w:trPr>
        <w:tc>
          <w:tcPr>
            <w:tcW w:w="40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L.P.</w:t>
            </w:r>
          </w:p>
        </w:tc>
        <w:tc>
          <w:tcPr>
            <w:tcW w:w="3160" w:type="dxa"/>
            <w:vAlign w:val="bottom"/>
            <w:tcBorders>
              <w:right w:val="single" w:sz="8" w:color="auto"/>
            </w:tcBorders>
            <w:vMerge w:val="continue"/>
          </w:tcPr>
          <w:p>
            <w:pPr>
              <w:spacing w:after="0"/>
              <w:rPr>
                <w:sz w:val="11"/>
                <w:szCs w:val="11"/>
                <w:color w:val="auto"/>
              </w:rPr>
            </w:pPr>
          </w:p>
        </w:tc>
        <w:tc>
          <w:tcPr>
            <w:tcW w:w="36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3160" w:type="dxa"/>
            <w:vAlign w:val="bottom"/>
            <w:tcBorders>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TOTAL</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$50,000,000.00</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100.00%</w:t>
            </w:r>
          </w:p>
        </w:tc>
        <w:tc>
          <w:tcPr>
            <w:tcW w:w="0" w:type="dxa"/>
            <w:vAlign w:val="bottom"/>
          </w:tcPr>
          <w:p>
            <w:pPr>
              <w:spacing w:after="0"/>
              <w:rPr>
                <w:sz w:val="1"/>
                <w:szCs w:val="1"/>
                <w:color w:val="auto"/>
              </w:rPr>
            </w:pPr>
          </w:p>
        </w:tc>
      </w:tr>
      <w:tr>
        <w:trPr>
          <w:trHeight w:val="493"/>
        </w:trPr>
        <w:tc>
          <w:tcPr>
            <w:tcW w:w="406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89"/>
              </w:rPr>
              <w:t>Aggregate Commitments</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Lender</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Term Loan Commitment</w:t>
            </w:r>
          </w:p>
        </w:tc>
        <w:tc>
          <w:tcPr>
            <w:tcW w:w="364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Commitment Percentage</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INVESTMENT CORP.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$33,102,168.75</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33.10%</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6"/>
              </w:rPr>
              <w:t>SCP PRIVATE CREDIT INCOME FUND SPV,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$4,449,548.38</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4.45%</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SCP PRIVATE CREDIT INCOME FUND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$3,640,539.58</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3.64%</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SCP PRIVATE CREDIT INCOME BDC SPV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$3,319,342.73</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3.32%</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SCP PRIVATE CREDIT INCOME BDC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$2,715,825.87</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2.72%</w:t>
            </w:r>
          </w:p>
        </w:tc>
        <w:tc>
          <w:tcPr>
            <w:tcW w:w="0" w:type="dxa"/>
            <w:vAlign w:val="bottom"/>
          </w:tcPr>
          <w:p>
            <w:pPr>
              <w:spacing w:after="0"/>
              <w:rPr>
                <w:sz w:val="1"/>
                <w:szCs w:val="1"/>
                <w:color w:val="auto"/>
              </w:rPr>
            </w:pPr>
          </w:p>
        </w:tc>
      </w:tr>
      <w:tr>
        <w:trPr>
          <w:trHeight w:val="169"/>
        </w:trPr>
        <w:tc>
          <w:tcPr>
            <w:tcW w:w="406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w w:val="94"/>
              </w:rPr>
              <w:t>SCP PRIVATE CORPORATE LENDING FUND SPV</w:t>
            </w:r>
          </w:p>
        </w:tc>
        <w:tc>
          <w:tcPr>
            <w:tcW w:w="3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$3,024,807.06</w:t>
            </w: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3.02%</w:t>
            </w:r>
          </w:p>
        </w:tc>
        <w:tc>
          <w:tcPr>
            <w:tcW w:w="0" w:type="dxa"/>
            <w:vAlign w:val="bottom"/>
          </w:tcPr>
          <w:p>
            <w:pPr>
              <w:spacing w:after="0"/>
              <w:rPr>
                <w:sz w:val="1"/>
                <w:szCs w:val="1"/>
                <w:color w:val="auto"/>
              </w:rPr>
            </w:pPr>
          </w:p>
        </w:tc>
      </w:tr>
      <w:tr>
        <w:trPr>
          <w:trHeight w:val="148"/>
        </w:trPr>
        <w:tc>
          <w:tcPr>
            <w:tcW w:w="40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LLC</w:t>
            </w:r>
          </w:p>
        </w:tc>
        <w:tc>
          <w:tcPr>
            <w:tcW w:w="316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0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160" w:type="dxa"/>
            <w:vAlign w:val="bottom"/>
            <w:tcBorders>
              <w:bottom w:val="single" w:sz="8" w:color="auto"/>
              <w:right w:val="single" w:sz="8" w:color="auto"/>
            </w:tcBorders>
          </w:tcPr>
          <w:p>
            <w:pPr>
              <w:spacing w:after="0"/>
              <w:rPr>
                <w:sz w:val="7"/>
                <w:szCs w:val="7"/>
                <w:color w:val="auto"/>
              </w:rPr>
            </w:pPr>
          </w:p>
        </w:tc>
        <w:tc>
          <w:tcPr>
            <w:tcW w:w="3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4"/>
              </w:rPr>
              <w:t>SCP PRIVATE CORPORATE LENDING FUND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$10,534,401.37</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10.53%</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SCP CAYMAN DEBT MASTER FUND SPV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$1,297,190.99</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1.30%</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SCP CAYMAN DEBT MASTER FUND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$1,061,338.08</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1.06%</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CP SF DEBT FUND SPV,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$1,038,567.36</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1.04%</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SCP SF DEBT FUND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$849,736.93</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0.85%</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HC FUND SPV,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$4,044,074.37</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4.04%</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HC ONSHORE FUND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$10,389,949.38</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10.39%</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HC BDC SPV,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$851,217.95</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0.85%</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HC BDC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$2,041,607.05</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2.04%</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1818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$6,168,352.10</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6.17%</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PRIVATE CREDIT FUND II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$3,434,372.33</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3.43%</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SLR PRIVATE CREDIT BDC II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$750,433.17</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0.75%</w:t>
            </w:r>
          </w:p>
        </w:tc>
        <w:tc>
          <w:tcPr>
            <w:tcW w:w="0" w:type="dxa"/>
            <w:vAlign w:val="bottom"/>
          </w:tcPr>
          <w:p>
            <w:pPr>
              <w:spacing w:after="0"/>
              <w:rPr>
                <w:sz w:val="1"/>
                <w:szCs w:val="1"/>
                <w:color w:val="auto"/>
              </w:rPr>
            </w:pPr>
          </w:p>
        </w:tc>
      </w:tr>
      <w:tr>
        <w:trPr>
          <w:trHeight w:val="169"/>
        </w:trPr>
        <w:tc>
          <w:tcPr>
            <w:tcW w:w="406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SLR PRIVATE CORPORATE LENDING FUND II</w:t>
            </w:r>
          </w:p>
        </w:tc>
        <w:tc>
          <w:tcPr>
            <w:tcW w:w="3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$3,585,515.29</w:t>
            </w: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3.59%</w:t>
            </w:r>
          </w:p>
        </w:tc>
        <w:tc>
          <w:tcPr>
            <w:tcW w:w="0" w:type="dxa"/>
            <w:vAlign w:val="bottom"/>
          </w:tcPr>
          <w:p>
            <w:pPr>
              <w:spacing w:after="0"/>
              <w:rPr>
                <w:sz w:val="1"/>
                <w:szCs w:val="1"/>
                <w:color w:val="auto"/>
              </w:rPr>
            </w:pPr>
          </w:p>
        </w:tc>
      </w:tr>
      <w:tr>
        <w:trPr>
          <w:trHeight w:val="149"/>
        </w:trPr>
        <w:tc>
          <w:tcPr>
            <w:tcW w:w="40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L.P.</w:t>
            </w:r>
          </w:p>
        </w:tc>
        <w:tc>
          <w:tcPr>
            <w:tcW w:w="316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0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160" w:type="dxa"/>
            <w:vAlign w:val="bottom"/>
            <w:tcBorders>
              <w:bottom w:val="single" w:sz="8" w:color="auto"/>
              <w:right w:val="single" w:sz="8" w:color="auto"/>
            </w:tcBorders>
          </w:tcPr>
          <w:p>
            <w:pPr>
              <w:spacing w:after="0"/>
              <w:rPr>
                <w:sz w:val="7"/>
                <w:szCs w:val="7"/>
                <w:color w:val="auto"/>
              </w:rPr>
            </w:pPr>
          </w:p>
        </w:tc>
        <w:tc>
          <w:tcPr>
            <w:tcW w:w="3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CRPTF-SLR CREDIT PARTNERSHIP L.P.</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$3,701,011.26</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3.70%</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TOTAL</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$100,000,000.00</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100.00%</w:t>
            </w:r>
          </w:p>
        </w:tc>
        <w:tc>
          <w:tcPr>
            <w:tcW w:w="0" w:type="dxa"/>
            <w:vAlign w:val="bottom"/>
          </w:tcPr>
          <w:p>
            <w:pPr>
              <w:spacing w:after="0"/>
              <w:rPr>
                <w:sz w:val="1"/>
                <w:szCs w:val="1"/>
                <w:color w:val="auto"/>
              </w:rPr>
            </w:pPr>
          </w:p>
        </w:tc>
      </w:tr>
    </w:tbl>
    <w:p>
      <w:pPr>
        <w:sectPr>
          <w:pgSz w:w="11900" w:h="16838" w:orient="portrait"/>
          <w:cols w:equalWidth="0" w:num="1">
            <w:col w:w="10840"/>
          </w:cols>
          <w:pgMar w:left="320" w:top="1440" w:right="739" w:bottom="1440" w:gutter="0" w:footer="0" w:header="0"/>
        </w:sectPr>
      </w:pPr>
    </w:p>
    <w:bookmarkStart w:id="12" w:name="page13"/>
    <w:bookmarkEnd w:id="12"/>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D Loans (Uncommitted)*</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060" w:type="dxa"/>
            <w:vAlign w:val="bottom"/>
            <w:tcBorders>
              <w:top w:val="single" w:sz="8" w:color="auto"/>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Lender</w:t>
            </w:r>
          </w:p>
        </w:tc>
        <w:tc>
          <w:tcPr>
            <w:tcW w:w="3160" w:type="dxa"/>
            <w:vAlign w:val="bottom"/>
            <w:tcBorders>
              <w:top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Term D Loans</w:t>
            </w:r>
          </w:p>
        </w:tc>
        <w:tc>
          <w:tcPr>
            <w:tcW w:w="3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23"/>
        </w:trPr>
        <w:tc>
          <w:tcPr>
            <w:tcW w:w="4060" w:type="dxa"/>
            <w:vAlign w:val="bottom"/>
            <w:tcBorders>
              <w:left w:val="single" w:sz="8" w:color="auto"/>
              <w:bottom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TOTAL</w:t>
            </w:r>
          </w:p>
        </w:tc>
        <w:tc>
          <w:tcPr>
            <w:tcW w:w="3160" w:type="dxa"/>
            <w:vAlign w:val="bottom"/>
            <w:tcBorders>
              <w:bottom w:val="single" w:sz="8" w:color="auto"/>
              <w:right w:val="single" w:sz="8" w:color="auto"/>
            </w:tcBorders>
          </w:tcPr>
          <w:p>
            <w:pPr>
              <w:ind w:left="1000"/>
              <w:spacing w:after="0"/>
              <w:rPr>
                <w:sz w:val="20"/>
                <w:szCs w:val="20"/>
                <w:color w:val="auto"/>
              </w:rPr>
            </w:pPr>
            <w:r>
              <w:rPr>
                <w:rFonts w:ascii="Arial" w:cs="Arial" w:eastAsia="Arial" w:hAnsi="Arial"/>
                <w:sz w:val="18"/>
                <w:szCs w:val="18"/>
                <w:b w:val="1"/>
                <w:bCs w:val="1"/>
                <w:color w:val="auto"/>
              </w:rPr>
              <w:t>$50,000,000.00</w:t>
            </w:r>
          </w:p>
        </w:tc>
        <w:tc>
          <w:tcPr>
            <w:tcW w:w="3640" w:type="dxa"/>
            <w:vAlign w:val="bottom"/>
            <w:tcBorders>
              <w:bottom w:val="single" w:sz="8" w:color="auto"/>
              <w:right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100%</w:t>
            </w:r>
          </w:p>
        </w:tc>
      </w:tr>
    </w:tbl>
    <w:p>
      <w:pPr>
        <w:spacing w:after="0" w:line="306"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Funding of the Term D Loans is subject to approval by Lenders’ investment committee in its sole and unfettered discretion. For avoidance of doubt,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D Loans” indicated here are uncommitted amounts.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upperLetter"/>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Roman"/>
      <w:start w:val="2"/>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lowerRoman"/>
      <w:start w:val="3"/>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4"/>
    </w:lvl>
  </w:abstractNum>
  <w:abstractNum w:abstractNumId="9">
    <w:nsid w:val="1F16E9E8"/>
    <w:multiLevelType w:val="hybridMultilevel"/>
    <w:lvl w:ilvl="0">
      <w:lvlJc w:val="left"/>
      <w:lvlText w:val="%1."/>
      <w:numFmt w:val="decimal"/>
      <w:start w:val="5"/>
    </w:lvl>
  </w:abstractNum>
  <w:abstractNum w:abstractNumId="10">
    <w:nsid w:val="1190CDE7"/>
    <w:multiLevelType w:val="hybridMultilevel"/>
    <w:lvl w:ilvl="0">
      <w:lvlJc w:val="left"/>
      <w:lvlText w:val="%1."/>
      <w:numFmt w:val="decimal"/>
      <w:start w:val="7"/>
    </w:lvl>
  </w:abstractNum>
  <w:abstractNum w:abstractNumId="11">
    <w:nsid w:val="66EF438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2023-10-18T15:23:41Z</dcterms:created>
  <dcterms:modified xsi:type="dcterms:W3CDTF">2023-10-18T15:23:41Z</dcterms:modified>
</cp:coreProperties>
</file>