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369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3698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BASKETT FOREST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Arial" w:cs="Arial" w:eastAsia="Arial" w:hAnsi="Arial"/>
                <w:sz w:val="17"/>
                <w:szCs w:val="17"/>
                <w:color w:val="0000FF"/>
              </w:rPr>
              <w:t>12/09/2021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9"/>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jc w:val="center"/>
              <w:ind w:left="42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12/09/2021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397,124</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1.5129</w:t>
            </w:r>
            <w:r>
              <w:rPr>
                <w:rFonts w:ascii="Arial" w:cs="Arial" w:eastAsia="Arial" w:hAnsi="Arial"/>
                <w:sz w:val="22"/>
                <w:szCs w:val="22"/>
                <w:color w:val="008000"/>
                <w:w w:val="88"/>
                <w:vertAlign w:val="superscript"/>
              </w:rPr>
              <w:t>(1)</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7,689,277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12/09/2021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127,826</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1.5129</w:t>
            </w:r>
            <w:r>
              <w:rPr>
                <w:rFonts w:ascii="Arial" w:cs="Arial" w:eastAsia="Arial" w:hAnsi="Arial"/>
                <w:sz w:val="22"/>
                <w:szCs w:val="22"/>
                <w:color w:val="008000"/>
                <w:w w:val="88"/>
                <w:vertAlign w:val="superscript"/>
              </w:rPr>
              <w:t>(1)</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2,476,756</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3</w:t>
            </w:r>
            <w:r>
              <w:rPr>
                <w:rFonts w:ascii="Arial" w:cs="Arial" w:eastAsia="Arial" w:hAnsi="Arial"/>
                <w:sz w:val="22"/>
                <w:szCs w:val="22"/>
                <w:color w:val="008000"/>
                <w:w w:val="99"/>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12/09/2021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144,533</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1.5129</w:t>
            </w:r>
            <w:r>
              <w:rPr>
                <w:rFonts w:ascii="Arial" w:cs="Arial" w:eastAsia="Arial" w:hAnsi="Arial"/>
                <w:sz w:val="22"/>
                <w:szCs w:val="22"/>
                <w:color w:val="008000"/>
                <w:w w:val="88"/>
                <w:vertAlign w:val="superscript"/>
              </w:rPr>
              <w:t>(1)</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2,798,066</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12/14/2021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593,612</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1.2441</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7,095,665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12/14/2021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191,074</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1.2441</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2,285,682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3</w:t>
            </w:r>
            <w:r>
              <w:rPr>
                <w:rFonts w:ascii="Arial" w:cs="Arial" w:eastAsia="Arial" w:hAnsi="Arial"/>
                <w:sz w:val="22"/>
                <w:szCs w:val="22"/>
                <w:color w:val="008000"/>
                <w:w w:val="99"/>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12/14/2021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216,049</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1.2441</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2,582,017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12/15/2021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888,185</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1.1431</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6,207,480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12/15/2021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323,167</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1.1431</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2,258,850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 4</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$1.50 to $1.58,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5" w:lineRule="exact"/>
        <w:rPr>
          <w:rFonts w:ascii="Arial" w:cs="Arial" w:eastAsia="Arial" w:hAnsi="Arial"/>
          <w:sz w:val="13"/>
          <w:szCs w:val="13"/>
          <w:color w:val="008000"/>
        </w:rPr>
      </w:pPr>
    </w:p>
    <w:p>
      <w:pPr>
        <w:jc w:val="both"/>
        <w:ind w:left="40" w:right="18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which is the sole general partner of NEA Partners 12, Limited Partnership ("NEA Partners 12"). NEA Partners 12 is the sole general partner of New Enterprise Associates 12, Limited Partnership ("NEA 12"), which is the direct beneficial owner of the securities. The Reporting Person disclaims beneficial ownership, within the meaning of Section</w:t>
      </w:r>
    </w:p>
    <w:p>
      <w:pPr>
        <w:ind w:left="220" w:hanging="173"/>
        <w:spacing w:after="0"/>
        <w:tabs>
          <w:tab w:leader="none" w:pos="2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of the Securities Exchange Act of 1934, as amended, or otherwise of such portion of the NEA 12 securities in which the Reporting Person has no pecuniary interest.</w:t>
      </w:r>
    </w:p>
    <w:p>
      <w:pPr>
        <w:spacing w:after="0" w:line="4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L.P. ("NEA 15"), the direct beneficial owner of the securities. The Reporting Person disclaims beneficial ownership within the meaning of Section 16 of the Securities Exchange Act of 1934, as amended, or otherwise of such portion of the NEA 15 securities in which the Reporting Person has no pecuniary interest.</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15 Opportunity Fund, L.P. ("NEA 15-OF"), the direct beneficial owner of the securities. The Reporting Person disclaims beneficial ownership within the meaning of Section 16 of the Securities Exchange Act of 1934, as amended, or otherwise of such portion of the NEA 15-OF securities in which the Reporting Person has no pecuniary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6"/>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763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2021-12-27T16:41:37Z</dcterms:created>
  <dcterms:modified xsi:type="dcterms:W3CDTF">2021-12-27T16:41:37Z</dcterms:modified>
</cp:coreProperties>
</file>