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780" w:type="dxa"/>
            <w:vAlign w:val="bottom"/>
          </w:tcPr>
          <w:p>
            <w:pPr>
              <w:jc w:val="center"/>
              <w:ind w:left="882"/>
              <w:spacing w:after="0"/>
              <w:rPr>
                <w:sz w:val="20"/>
                <w:szCs w:val="20"/>
                <w:color w:val="auto"/>
              </w:rPr>
            </w:pPr>
            <w:r>
              <w:rPr>
                <w:rFonts w:ascii="Arial" w:cs="Arial" w:eastAsia="Arial" w:hAnsi="Arial"/>
                <w:sz w:val="18"/>
                <w:szCs w:val="18"/>
                <w:b w:val="1"/>
                <w:bCs w:val="1"/>
                <w:color w:val="auto"/>
                <w:w w:val="93"/>
              </w:rPr>
              <w:t>Delaware</w:t>
            </w:r>
          </w:p>
        </w:tc>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8"/>
        </w:trPr>
        <w:tc>
          <w:tcPr>
            <w:tcW w:w="2780" w:type="dxa"/>
            <w:vAlign w:val="bottom"/>
          </w:tcPr>
          <w:p>
            <w:pPr>
              <w:jc w:val="center"/>
              <w:ind w:left="9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ind w:left="882"/>
              <w:spacing w:after="0"/>
              <w:rPr>
                <w:sz w:val="20"/>
                <w:szCs w:val="20"/>
                <w:color w:val="auto"/>
              </w:rPr>
            </w:pPr>
            <w:r>
              <w:rPr>
                <w:rFonts w:ascii="Arial" w:cs="Arial" w:eastAsia="Arial" w:hAnsi="Arial"/>
                <w:sz w:val="14"/>
                <w:szCs w:val="14"/>
                <w:b w:val="1"/>
                <w:bCs w:val="1"/>
                <w:color w:val="auto"/>
                <w:w w:val="94"/>
              </w:rPr>
              <w:t>of incorporation)</w:t>
            </w:r>
          </w:p>
        </w:tc>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408"/>
        </w:trPr>
        <w:tc>
          <w:tcPr>
            <w:tcW w:w="278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24"/>
                <w:szCs w:val="24"/>
                <w:color w:val="auto"/>
              </w:rPr>
            </w:pPr>
          </w:p>
        </w:tc>
      </w:tr>
      <w:tr>
        <w:trPr>
          <w:trHeight w:val="186"/>
        </w:trPr>
        <w:tc>
          <w:tcPr>
            <w:tcW w:w="2780" w:type="dxa"/>
            <w:vAlign w:val="bottom"/>
          </w:tcPr>
          <w:p>
            <w:pPr>
              <w:spacing w:after="0"/>
              <w:rPr>
                <w:sz w:val="16"/>
                <w:szCs w:val="16"/>
                <w:color w:val="auto"/>
              </w:rPr>
            </w:pPr>
          </w:p>
        </w:tc>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76"/>
        </w:trPr>
        <w:tc>
          <w:tcPr>
            <w:tcW w:w="278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780" w:type="dxa"/>
            <w:vAlign w:val="bottom"/>
            <w:tcBorders>
              <w:bottom w:val="single" w:sz="8" w:color="auto"/>
            </w:tcBorders>
          </w:tcPr>
          <w:p>
            <w:pPr>
              <w:spacing w:after="0"/>
              <w:rPr>
                <w:sz w:val="16"/>
                <w:szCs w:val="16"/>
                <w:color w:val="auto"/>
              </w:rPr>
            </w:pPr>
          </w:p>
        </w:tc>
        <w:tc>
          <w:tcPr>
            <w:tcW w:w="57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6"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99"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4" w:lineRule="exact"/>
        <w:rPr>
          <w:sz w:val="24"/>
          <w:szCs w:val="24"/>
          <w:color w:val="auto"/>
        </w:rPr>
      </w:pPr>
    </w:p>
    <w:p>
      <w:pPr>
        <w:ind w:right="58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On October 31, 2023, Ardelyx, Inc. (the “Company”) announced its financial results for the quarter ended September 30, 2023. The full text of the press release issued in connection with the announcement is furnished as Exhibit 99.1 to this Current Report on Form 8-K.</w:t>
      </w:r>
    </w:p>
    <w:p>
      <w:pPr>
        <w:spacing w:after="0" w:line="76"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4"/>
                <w:szCs w:val="14"/>
                <w:color w:val="auto"/>
              </w:rPr>
            </w:pPr>
          </w:p>
        </w:tc>
        <w:tc>
          <w:tcPr>
            <w:tcW w:w="10000" w:type="dxa"/>
            <w:vAlign w:val="bottom"/>
            <w:gridSpan w:val="3"/>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82"/>
        </w:trPr>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rPr>
              <w:t>No.</w:t>
            </w:r>
          </w:p>
        </w:tc>
        <w:tc>
          <w:tcPr>
            <w:tcW w:w="20" w:type="dxa"/>
            <w:vAlign w:val="bottom"/>
          </w:tcPr>
          <w:p>
            <w:pPr>
              <w:spacing w:after="0"/>
              <w:rPr>
                <w:sz w:val="15"/>
                <w:szCs w:val="15"/>
                <w:color w:val="auto"/>
              </w:rPr>
            </w:pPr>
          </w:p>
        </w:tc>
        <w:tc>
          <w:tcPr>
            <w:tcW w:w="10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Press release of Ardelyx, Inc.</w:t>
            </w:r>
          </w:p>
        </w:tc>
        <w:tc>
          <w:tcPr>
            <w:tcW w:w="7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06"/>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October 31, 2023</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and Operations Officer</w:t>
      </w:r>
    </w:p>
    <w:p>
      <w:pPr>
        <w:sectPr>
          <w:pgSz w:w="11900" w:h="16838" w:orient="portrait"/>
          <w:cols w:equalWidth="0" w:num="1">
            <w:col w:w="11220"/>
          </w:cols>
          <w:pgMar w:left="320" w:top="114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2985770</wp:posOffset>
            </wp:positionH>
            <wp:positionV relativeFrom="page">
              <wp:posOffset>88900</wp:posOffset>
            </wp:positionV>
            <wp:extent cx="157734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Reports Third Quarter 2023 Financial Results and Updates 2023 U.S. IBSRELA</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Net Sales Revenue Guidance</w:t>
      </w:r>
    </w:p>
    <w:p>
      <w:pPr>
        <w:spacing w:after="0" w:line="19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Continued successful launch of IBSRELA, with Q3 net sales revenue of $22.3 million; Company currently expects 2023 full year IBSRELA U.S. net sales revenue to be $76 to $78 million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XPHOZAH</w:t>
      </w:r>
      <w:r>
        <w:rPr>
          <w:rFonts w:ascii="Arial" w:cs="Arial" w:eastAsia="Arial" w:hAnsi="Arial"/>
          <w:sz w:val="23"/>
          <w:szCs w:val="23"/>
          <w:b w:val="1"/>
          <w:bCs w:val="1"/>
          <w:color w:val="auto"/>
          <w:vertAlign w:val="superscript"/>
        </w:rPr>
        <w:t>®</w:t>
      </w:r>
      <w:r>
        <w:rPr>
          <w:rFonts w:ascii="Arial" w:cs="Arial" w:eastAsia="Arial" w:hAnsi="Arial"/>
          <w:sz w:val="18"/>
          <w:szCs w:val="18"/>
          <w:i w:val="1"/>
          <w:iCs w:val="1"/>
          <w:color w:val="auto"/>
        </w:rPr>
        <w:t xml:space="preserve"> launch underway following October 17, 2023 FDA approval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ends Q3 with $165.1 million in cash, cash equivalents and short-term investments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scheduled for 8:00 AM Eastern Time</w:t>
      </w:r>
    </w:p>
    <w:p>
      <w:pPr>
        <w:spacing w:after="0" w:line="200" w:lineRule="exact"/>
        <w:rPr>
          <w:sz w:val="20"/>
          <w:szCs w:val="20"/>
          <w:color w:val="auto"/>
        </w:rPr>
      </w:pPr>
    </w:p>
    <w:p>
      <w:pPr>
        <w:spacing w:after="0" w:line="345" w:lineRule="exact"/>
        <w:rPr>
          <w:sz w:val="20"/>
          <w:szCs w:val="20"/>
          <w:color w:val="auto"/>
        </w:rPr>
      </w:pPr>
    </w:p>
    <w:p>
      <w:pPr>
        <w:ind w:right="160"/>
        <w:spacing w:after="0" w:line="375" w:lineRule="auto"/>
        <w:rPr>
          <w:sz w:val="20"/>
          <w:szCs w:val="20"/>
          <w:color w:val="auto"/>
        </w:rPr>
      </w:pPr>
      <w:r>
        <w:rPr>
          <w:rFonts w:ascii="Arial" w:cs="Arial" w:eastAsia="Arial" w:hAnsi="Arial"/>
          <w:sz w:val="18"/>
          <w:szCs w:val="18"/>
          <w:b w:val="1"/>
          <w:bCs w:val="1"/>
          <w:color w:val="auto"/>
        </w:rPr>
        <w:t xml:space="preserve">WALTHAM, Mass., October 31, 2023 </w:t>
      </w:r>
      <w:r>
        <w:rPr>
          <w:rFonts w:ascii="Arial" w:cs="Arial" w:eastAsia="Arial" w:hAnsi="Arial"/>
          <w:sz w:val="18"/>
          <w:szCs w:val="18"/>
          <w:color w:val="auto"/>
        </w:rPr>
        <w:t>- Ardelyx, Inc. (Nasdaq: ARDX), a biopharmaceutical company founded with a mission to discover, develop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innovative, first-in-class medicines that meet significant unmet medical needs, today reported financial results for the third quarter ended September 30, 2023 and provided a business update.</w:t>
      </w:r>
    </w:p>
    <w:p>
      <w:pPr>
        <w:spacing w:after="0" w:line="208" w:lineRule="exact"/>
        <w:rPr>
          <w:sz w:val="20"/>
          <w:szCs w:val="20"/>
          <w:color w:val="auto"/>
        </w:rPr>
      </w:pPr>
    </w:p>
    <w:p>
      <w:pPr>
        <w:ind w:right="120"/>
        <w:spacing w:after="0" w:line="420" w:lineRule="auto"/>
        <w:rPr>
          <w:sz w:val="20"/>
          <w:szCs w:val="20"/>
          <w:color w:val="auto"/>
        </w:rPr>
      </w:pPr>
      <w:r>
        <w:rPr>
          <w:rFonts w:ascii="Arial" w:cs="Arial" w:eastAsia="Arial" w:hAnsi="Arial"/>
          <w:sz w:val="16"/>
          <w:szCs w:val="16"/>
          <w:color w:val="auto"/>
        </w:rPr>
        <w:t>“Ardelyx is effectively advancing on all fronts with clear focus, evidenced by the continued strong performance of IBSRELA as well as the approval and commercial launch of XPHOZAH,” said Mike Raab, president and chief executive officer. “Demonstrating consistent, quarter-over-quarter growth of IBSRELA prescriptions during the third quarter, we achieved a 22 percent increase in net sales revenue. We continue to see an increase in new and repeat writers, as well as new and refill prescriptions increasing from established writers at a steady, meaningful trajectory. We have raised our full year U.S. net sales revenue guidance for IBSRELA, reflecting the important benefit this product is offering to patients. In addition, on October 17, we received our long sought after FDA approval of XPHOZAH. Our team is in the field, and launch is underway. We anticipate having product in channel in early November.”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IBSRELA</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(tenapanor) growth continued with $22.3 million in U.S. net sales revenue in Q3 2023</w:t>
      </w:r>
    </w:p>
    <w:p>
      <w:pPr>
        <w:spacing w:after="0" w:line="266" w:lineRule="exact"/>
        <w:rPr>
          <w:sz w:val="20"/>
          <w:szCs w:val="20"/>
          <w:color w:val="auto"/>
        </w:rPr>
      </w:pPr>
    </w:p>
    <w:p>
      <w:pPr>
        <w:ind w:right="220"/>
        <w:spacing w:after="0" w:line="465" w:lineRule="auto"/>
        <w:rPr>
          <w:sz w:val="20"/>
          <w:szCs w:val="20"/>
          <w:color w:val="auto"/>
        </w:rPr>
      </w:pPr>
      <w:r>
        <w:rPr>
          <w:rFonts w:ascii="Arial" w:cs="Arial" w:eastAsia="Arial" w:hAnsi="Arial"/>
          <w:sz w:val="16"/>
          <w:szCs w:val="16"/>
          <w:color w:val="auto"/>
        </w:rPr>
        <w:t>Revenue for Ardelyx’s first commercialized product, IBSRELA, continued a persistent growth pattern. Driven by increased demand for IBSRELA, the company reported net sales revenue of $22.3 million in the third quarter, 22 percent quarter-over-quarter growth compared to the second quarter of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XPHOZAH</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(tenapanor) received FDA approval on Oct. 17, 2023</w:t>
      </w:r>
    </w:p>
    <w:p>
      <w:pPr>
        <w:spacing w:after="0" w:line="255" w:lineRule="exact"/>
        <w:rPr>
          <w:sz w:val="20"/>
          <w:szCs w:val="20"/>
          <w:color w:val="auto"/>
        </w:rPr>
      </w:pPr>
    </w:p>
    <w:p>
      <w:pPr>
        <w:ind w:right="20"/>
        <w:spacing w:after="0" w:line="401" w:lineRule="auto"/>
        <w:rPr>
          <w:sz w:val="20"/>
          <w:szCs w:val="20"/>
          <w:color w:val="auto"/>
        </w:rPr>
      </w:pPr>
      <w:r>
        <w:rPr>
          <w:rFonts w:ascii="Arial" w:cs="Arial" w:eastAsia="Arial" w:hAnsi="Arial"/>
          <w:sz w:val="17"/>
          <w:szCs w:val="17"/>
          <w:color w:val="auto"/>
        </w:rPr>
        <w:t>On October 17, 2023, Ardelyx announced that the U.S. Food and Drug Administration (FDA) approved XPHOZAH to reduce serum phosphorus in adults with chronic kidney disease (CKD) on dialysis as add-on therapy in patients who have an inadequate response to phosphate binders or who are intolerant of any dose of phosphate binder therapy. Following approval, the company began commercial launch activities as well as final supply and distribution activities. The company currently expects to have XPHOZAH available in early November.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Corporate Developments</w:t>
      </w:r>
    </w:p>
    <w:p>
      <w:pPr>
        <w:spacing w:after="0" w:line="297" w:lineRule="exact"/>
        <w:rPr>
          <w:sz w:val="20"/>
          <w:szCs w:val="20"/>
          <w:color w:val="auto"/>
        </w:rPr>
      </w:pPr>
    </w:p>
    <w:p>
      <w:pPr>
        <w:ind w:left="340" w:right="20" w:hanging="332"/>
        <w:spacing w:after="0" w:line="431" w:lineRule="auto"/>
        <w:tabs>
          <w:tab w:leader="none" w:pos="335"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October 17, the company announced that it amended its February 2022 loan agreement with investment affiliates managed by SLR Capital Partners (SLR). The amendment includes access to an additional $50 million in committed debt financing, and at Ardelyx’s election and subject to SLR credit approval, may be further increased by an additional $50 million. The interest-only period for existing and new tranches funded under the instrument has been extended to December 31, 2026, following the company’s decision to draw the second tranche of $22.5 million in October.</w:t>
      </w:r>
    </w:p>
    <w:p>
      <w:pPr>
        <w:sectPr>
          <w:pgSz w:w="11900" w:h="16838" w:orient="portrait"/>
          <w:cols w:equalWidth="0" w:num="1">
            <w:col w:w="11240"/>
          </w:cols>
          <w:pgMar w:left="320" w:top="1066" w:right="339" w:bottom="1440" w:gutter="0" w:footer="0" w:header="0"/>
        </w:sectPr>
      </w:pPr>
    </w:p>
    <w:bookmarkStart w:id="4" w:name="page5"/>
    <w:bookmarkEnd w:id="4"/>
    <w:p>
      <w:pPr>
        <w:ind w:left="340" w:hanging="332"/>
        <w:spacing w:after="0" w:line="36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the company announced that its collaboration partner in Japan, Kyowa Kirin Co., Ltd. (TSE: 4151, Kyowa Kirin), received approval from the Japanese Ministry of Health, Labour and Welfare for the New Drug Application (NDA) for tenapanor for the improvement of hyperphosphatemia in adult patients with CKD on dialysis. As a result of the approval, in October, Ardelyx received an aggregate of $30 million from Kyowa Kirin in milestone payments and payments under the 2022 amendment to the license agreement between Ardelyx and Kyowa Kirin as well as a $5 million payment under the terms of its agreement with HealthCare Royalty Partners.</w:t>
      </w:r>
    </w:p>
    <w:p>
      <w:pPr>
        <w:jc w:val="both"/>
        <w:ind w:left="340" w:right="20" w:hanging="332"/>
        <w:spacing w:after="0" w:line="36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late-October, Ardelyx’s partner in China, Shanghai Fosun Pharmaceutical Industrial Development Co. Ltd. (Fosun Pharma), received approval from the Hong Kong Department of Health for the marketing application for IBSRELA for the treatment of irritable bowel syndrome (IBS-C) in adults. The company also earned a $3.0 milestone payment from Fosun Pharma following the U.S. FDA approval of XPHOZAH, which is expected to be received in the fourth quarter.</w:t>
      </w:r>
    </w:p>
    <w:p>
      <w:pPr>
        <w:spacing w:after="0" w:line="3" w:lineRule="exact"/>
        <w:rPr>
          <w:rFonts w:ascii="Arial" w:cs="Arial" w:eastAsia="Arial" w:hAnsi="Arial"/>
          <w:sz w:val="18"/>
          <w:szCs w:val="18"/>
          <w:color w:val="auto"/>
        </w:rPr>
      </w:pPr>
    </w:p>
    <w:p>
      <w:pPr>
        <w:ind w:left="340" w:right="800" w:hanging="332"/>
        <w:spacing w:after="0" w:line="36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Ardelyx announced the publication of results from its T3MPO-3 long-term open-label safety trial of IBSRELA for IBS-C in the Journal of Neurogastroenterology and Motility (JNM). The paper, titled “Long-term safety of tenapanor in patients with irritable bowel syndrome with constipation in the T3MPO-3 study,” can be accessible at the online edition of the publication here.</w:t>
      </w:r>
    </w:p>
    <w:p>
      <w:pPr>
        <w:ind w:left="340" w:right="540" w:hanging="332"/>
        <w:spacing w:after="0" w:line="389"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Ardelyx presented two posters covering additional positive clinical observations of IBSRELA at the 2023 North American Society for Pediatric Gastroenterology, Hepatology and Nutrition Annual Meeting, which took place in San Diego, California from October 4-7, 2023.</w:t>
      </w:r>
    </w:p>
    <w:p>
      <w:pPr>
        <w:ind w:left="340" w:right="80" w:hanging="332"/>
        <w:spacing w:after="0" w:line="389"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had a significant presence at the 2023 Annual Scientific Meeting for the American College of Gastroenterology (ACG 2023) in Vancouver, Canada from October 20-25, 2023. The company presented two posters and an oral presentation covering additional positive observations of IBSRELA. One poster, “Tenapanor Can Improve Abdominal Symptoms Independent of Changes in Bowel Movement Frequency in Adult Patients with IBS-C” authored by Darren Brenner, M.D., Anthony Lembo, M.D., Yang Yang, Ph.D. and David Rosenbaum, Ph.D., received a President’s Award distinction for high quality, novel, unique and interesting research. The company also sponsored a Product Theater titled “Discover a Different Mechanism of Action to Treat Adults with IBS-C: A Case Based Discussion,” where Kavita Kongara, M.D. Director of Motility services at Northside Hospital in Atlanta, Ga. and Kimberley Orleck, PA-C, MPH, RD, director of APPs at the Atlanta Gastroenterology Associates, United Digestive led a discussion on important clinical considerations in managing adult patients with IBS-C.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Financial Results</w:t>
      </w:r>
    </w:p>
    <w:p>
      <w:pPr>
        <w:spacing w:after="0" w:line="306" w:lineRule="exact"/>
        <w:rPr>
          <w:sz w:val="20"/>
          <w:szCs w:val="20"/>
          <w:color w:val="auto"/>
        </w:rPr>
      </w:pPr>
    </w:p>
    <w:p>
      <w:pPr>
        <w:ind w:left="340" w:right="40" w:hanging="332"/>
        <w:spacing w:after="0" w:line="391" w:lineRule="auto"/>
        <w:tabs>
          <w:tab w:leader="none" w:pos="259"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Cash Position: </w:t>
      </w:r>
      <w:r>
        <w:rPr>
          <w:rFonts w:ascii="Arial" w:cs="Arial" w:eastAsia="Arial" w:hAnsi="Arial"/>
          <w:sz w:val="17"/>
          <w:szCs w:val="17"/>
          <w:color w:val="auto"/>
        </w:rPr>
        <w:t>As of September 30, 2023, the company had total cash, cash equivalents and short-term investments of $165.1 million,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total cash, cash equivalents and short-term investments of $123.9 million as of December 31, 2022. During the quarter ended September 30, 2023, the company received gross proceeds of $58.4 million for the sale of 13.8 million shares of the company’s common stock under the company’s sales agreement with Jefferies LLC deemed to be “at-the-market offerings.” Subsequent to September 30, in October 2023, the company received $30.0 million from Kyowa Kirin, $5.0 million from Healthcare Royalty Partners and drew $22.5 million from SLR Capital. The company also currently expects a $3 million milestone payment from Fosun Pharma following the U.S. approval of XPHOZAH. As of October 30, 2023, Ardelyx’s total cash, cash equivalents and short-term investments was approximately $218.1 million (unaudited).</w:t>
      </w:r>
    </w:p>
    <w:p>
      <w:pPr>
        <w:sectPr>
          <w:pgSz w:w="11900" w:h="16838" w:orient="portrait"/>
          <w:cols w:equalWidth="0" w:num="1">
            <w:col w:w="11220"/>
          </w:cols>
          <w:pgMar w:left="320" w:top="949" w:right="359" w:bottom="1440" w:gutter="0" w:footer="0" w:header="0"/>
        </w:sectPr>
      </w:pPr>
    </w:p>
    <w:bookmarkStart w:id="5" w:name="page6"/>
    <w:bookmarkEnd w:id="5"/>
    <w:p>
      <w:pPr>
        <w:ind w:left="340" w:hanging="332"/>
        <w:spacing w:after="0" w:line="410" w:lineRule="auto"/>
        <w:tabs>
          <w:tab w:leader="none" w:pos="259"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Total revenues for the quarter ended September 30, 2023 were $56.4 million, compared to $5.0 million in total revenues in the third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of 2022, reflecting increased IBSRELA sales, product supply and licensing revenues. U.S. net product sales for IBSRELA were $22.3 million, compared to $4.9 million during the same period of 2022. Licensing revenue was $32.0 million in the quarter, reflecting $30 million milestone and license agreement amendment payments from Kyowa Kirin following the approval of tenapanor for hyperphosphatemia in Japan, as well as a</w:t>
      </w:r>
    </w:p>
    <w:p>
      <w:pPr>
        <w:spacing w:after="0" w:line="2" w:lineRule="exact"/>
        <w:rPr>
          <w:rFonts w:ascii="Arial" w:cs="Arial" w:eastAsia="Arial" w:hAnsi="Arial"/>
          <w:sz w:val="16"/>
          <w:szCs w:val="16"/>
          <w:color w:val="auto"/>
        </w:rPr>
      </w:pPr>
    </w:p>
    <w:p>
      <w:pPr>
        <w:ind w:left="340" w:right="260"/>
        <w:spacing w:after="0" w:line="357" w:lineRule="auto"/>
        <w:rPr>
          <w:rFonts w:ascii="Arial" w:cs="Arial" w:eastAsia="Arial" w:hAnsi="Arial"/>
          <w:sz w:val="16"/>
          <w:szCs w:val="16"/>
          <w:color w:val="auto"/>
        </w:rPr>
      </w:pPr>
      <w:r>
        <w:rPr>
          <w:rFonts w:ascii="Arial" w:cs="Arial" w:eastAsia="Arial" w:hAnsi="Arial"/>
          <w:sz w:val="18"/>
          <w:szCs w:val="18"/>
          <w:color w:val="auto"/>
        </w:rPr>
        <w:t>$2.0 million milestone payment from Fosun Pharma following the acceptance of the NDA for tenapanor for hyperphosphatemia in China. Product supply revenue was $2.1 million, compared to product supply revenue of $92,000 in the same quarter of 2022.</w:t>
      </w:r>
    </w:p>
    <w:p>
      <w:pPr>
        <w:spacing w:after="0" w:line="1" w:lineRule="exact"/>
        <w:rPr>
          <w:rFonts w:ascii="Arial" w:cs="Arial" w:eastAsia="Arial" w:hAnsi="Arial"/>
          <w:sz w:val="16"/>
          <w:szCs w:val="16"/>
          <w:color w:val="auto"/>
        </w:rPr>
      </w:pPr>
    </w:p>
    <w:p>
      <w:pPr>
        <w:ind w:left="340" w:right="200" w:hanging="332"/>
        <w:spacing w:after="0" w:line="365"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R&amp;D Expenses</w:t>
      </w:r>
      <w:r>
        <w:rPr>
          <w:rFonts w:ascii="Arial" w:cs="Arial" w:eastAsia="Arial" w:hAnsi="Arial"/>
          <w:sz w:val="18"/>
          <w:szCs w:val="18"/>
          <w:color w:val="auto"/>
        </w:rPr>
        <w:t>: Research and development expenses were $8.6 million for the quarter ended September 30, 2023, compared to $7.5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September 30, 2022. R&amp;D expenses increased over the prior year primarily as a result clinical trial and pharmacovigilance activities related to IBSRELA.</w:t>
      </w: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SG&amp;A Expenses: </w:t>
      </w:r>
      <w:r>
        <w:rPr>
          <w:rFonts w:ascii="Arial" w:cs="Arial" w:eastAsia="Arial" w:hAnsi="Arial"/>
          <w:sz w:val="17"/>
          <w:szCs w:val="17"/>
          <w:color w:val="auto"/>
        </w:rPr>
        <w:t>Selling, general and administrative expenses were $32.7 million for the quarter ended September 30, 2023, an increase of</w:t>
      </w:r>
    </w:p>
    <w:p>
      <w:pPr>
        <w:spacing w:after="0" w:line="119" w:lineRule="exact"/>
        <w:rPr>
          <w:sz w:val="20"/>
          <w:szCs w:val="20"/>
          <w:color w:val="auto"/>
        </w:rPr>
      </w:pPr>
    </w:p>
    <w:p>
      <w:pPr>
        <w:ind w:left="340" w:right="100"/>
        <w:spacing w:after="0" w:line="465" w:lineRule="auto"/>
        <w:rPr>
          <w:sz w:val="20"/>
          <w:szCs w:val="20"/>
          <w:color w:val="auto"/>
        </w:rPr>
      </w:pPr>
      <w:r>
        <w:rPr>
          <w:rFonts w:ascii="Arial" w:cs="Arial" w:eastAsia="Arial" w:hAnsi="Arial"/>
          <w:sz w:val="16"/>
          <w:szCs w:val="16"/>
          <w:color w:val="auto"/>
        </w:rPr>
        <w:t>$14.0 million compared to $18.7 million for the quarter ended September 30, 2022. The increase in selling, general and administrative expenses was primarily due to increased costs associated with the ongoing commercialization of IBSRELA and commercial activities to prepare for the launch of</w:t>
      </w:r>
    </w:p>
    <w:p>
      <w:pPr>
        <w:spacing w:after="0" w:line="228" w:lineRule="exact"/>
        <w:rPr>
          <w:sz w:val="20"/>
          <w:szCs w:val="20"/>
          <w:color w:val="auto"/>
        </w:rPr>
      </w:pPr>
    </w:p>
    <w:p>
      <w:pPr>
        <w:ind w:left="340" w:right="20" w:hanging="332"/>
        <w:spacing w:after="0" w:line="391"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Net Income (Loss): </w:t>
      </w:r>
      <w:r>
        <w:rPr>
          <w:rFonts w:ascii="Arial" w:cs="Arial" w:eastAsia="Arial" w:hAnsi="Arial"/>
          <w:sz w:val="18"/>
          <w:szCs w:val="18"/>
          <w:color w:val="auto"/>
        </w:rPr>
        <w:t>Net income for the quarter ended September 30, 2023 was $6.6 million, or $0.03 per share, compared to net loss of $22.9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or $(0.14) per share, for the quarter ended September 30,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Ardelyx currently expects full-year 2023 U.S. net product revenue for IBSRELA to be between $76.0 and $78.0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host a conference call today, October 31, 2023, at 8:00 AM ET to discuss these results. To participate in the conference call, please dial</w:t>
      </w:r>
    </w:p>
    <w:p>
      <w:pPr>
        <w:spacing w:after="0" w:line="127" w:lineRule="exact"/>
        <w:rPr>
          <w:sz w:val="20"/>
          <w:szCs w:val="20"/>
          <w:color w:val="auto"/>
        </w:rPr>
      </w:pPr>
    </w:p>
    <w:p>
      <w:pPr>
        <w:ind w:right="360" w:firstLine="8"/>
        <w:spacing w:after="0" w:line="465" w:lineRule="auto"/>
        <w:tabs>
          <w:tab w:leader="none" w:pos="435" w:val="left"/>
        </w:tabs>
        <w:numPr>
          <w:ilvl w:val="0"/>
          <w:numId w:val="7"/>
        </w:numPr>
        <w:rPr>
          <w:rFonts w:ascii="Arial" w:cs="Arial" w:eastAsia="Arial" w:hAnsi="Arial"/>
          <w:sz w:val="16"/>
          <w:szCs w:val="16"/>
          <w:color w:val="auto"/>
        </w:rPr>
      </w:pPr>
      <w:r>
        <w:rPr>
          <w:rFonts w:ascii="Arial" w:cs="Arial" w:eastAsia="Arial" w:hAnsi="Arial"/>
          <w:sz w:val="16"/>
          <w:szCs w:val="16"/>
          <w:color w:val="auto"/>
        </w:rPr>
        <w:t>481-2838 (domestic) or (412) 317-1858 (international) and ask to be joined into the Ardelyx call. A webcast of the call can also be accessed by visiting the Investor page of the company's website, www.ardelyx.com, and will be available on the website for 30 days following the call.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 (IBSRELA)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40575" cy="1139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13982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WARNING: RISK OF SERIOUS DEHYDRATION IN PEDIATRIC PATIENTS</w:t>
      </w:r>
    </w:p>
    <w:p>
      <w:pPr>
        <w:spacing w:after="0" w:line="364" w:lineRule="exact"/>
        <w:rPr>
          <w:sz w:val="20"/>
          <w:szCs w:val="20"/>
          <w:color w:val="auto"/>
        </w:rPr>
      </w:pPr>
    </w:p>
    <w:p>
      <w:pPr>
        <w:jc w:val="both"/>
        <w:ind w:left="40" w:right="620"/>
        <w:spacing w:after="0" w:line="373" w:lineRule="auto"/>
        <w:rPr>
          <w:sz w:val="20"/>
          <w:szCs w:val="20"/>
          <w:color w:val="auto"/>
        </w:rPr>
      </w:pPr>
      <w:r>
        <w:rPr>
          <w:rFonts w:ascii="Arial" w:cs="Arial" w:eastAsia="Arial" w:hAnsi="Arial"/>
          <w:sz w:val="18"/>
          <w:szCs w:val="18"/>
          <w:color w:val="auto"/>
        </w:rPr>
        <w:t>IBSRELA is contraindicated in patients less than 6 years of age; in nonclinical studies in young juvenile rats administration of tenapanor caused deaths presumed to be due to dehydration. Avoid use of IBSRELA in patients 6 years to less than 12 years of age. The safety and effectiveness of IBSRELA have not been established in patients less than 18 years of age.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CONTRAINDICATIONS</w:t>
      </w:r>
    </w:p>
    <w:p>
      <w:pPr>
        <w:spacing w:after="0" w:line="108"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IBSRELA is contraindicated in patients less than 6 years of age due to the risk of serious dehydration.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IBSRELA is contraindicated in patients with known or suspected mechanical gastrointestinal obstruction.</w:t>
      </w:r>
    </w:p>
    <w:p>
      <w:pPr>
        <w:sectPr>
          <w:pgSz w:w="11900" w:h="16838" w:orient="portrait"/>
          <w:cols w:equalWidth="0" w:num="1">
            <w:col w:w="11120"/>
          </w:cols>
          <w:pgMar w:left="320" w:top="112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WARNINGS AND PRECAUTIONS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Serious Dehydration in Pediatric Patients</w:t>
      </w:r>
    </w:p>
    <w:p>
      <w:pPr>
        <w:spacing w:after="0" w:line="108" w:lineRule="exact"/>
        <w:rPr>
          <w:sz w:val="20"/>
          <w:szCs w:val="20"/>
          <w:color w:val="auto"/>
        </w:rPr>
      </w:pPr>
    </w:p>
    <w:p>
      <w:pPr>
        <w:jc w:val="both"/>
        <w:ind w:left="340" w:right="100" w:hanging="332"/>
        <w:spacing w:after="0" w:line="363"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spacing w:after="0" w:line="3" w:lineRule="exact"/>
        <w:rPr>
          <w:rFonts w:ascii="Arial" w:cs="Arial" w:eastAsia="Arial" w:hAnsi="Arial"/>
          <w:sz w:val="18"/>
          <w:szCs w:val="18"/>
          <w:color w:val="auto"/>
        </w:rPr>
      </w:pPr>
    </w:p>
    <w:p>
      <w:pPr>
        <w:ind w:left="340" w:hanging="332"/>
        <w:spacing w:after="0" w:line="38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Diarrhea</w:t>
      </w:r>
    </w:p>
    <w:p>
      <w:pPr>
        <w:spacing w:after="0" w:line="108" w:lineRule="exact"/>
        <w:rPr>
          <w:sz w:val="20"/>
          <w:szCs w:val="20"/>
          <w:color w:val="auto"/>
        </w:rPr>
      </w:pPr>
    </w:p>
    <w:p>
      <w:pPr>
        <w:ind w:right="360"/>
        <w:spacing w:after="0" w:line="387" w:lineRule="auto"/>
        <w:rPr>
          <w:sz w:val="20"/>
          <w:szCs w:val="20"/>
          <w:color w:val="auto"/>
        </w:rPr>
      </w:pPr>
      <w:r>
        <w:rPr>
          <w:rFonts w:ascii="Arial" w:cs="Arial" w:eastAsia="Arial" w:hAnsi="Arial"/>
          <w:sz w:val="18"/>
          <w:szCs w:val="18"/>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MOST COMMON ADVERSE REACTIONS</w:t>
      </w:r>
    </w:p>
    <w:p>
      <w:pPr>
        <w:spacing w:after="0" w:line="108" w:lineRule="exact"/>
        <w:rPr>
          <w:sz w:val="20"/>
          <w:szCs w:val="20"/>
          <w:color w:val="auto"/>
        </w:rPr>
      </w:pPr>
    </w:p>
    <w:p>
      <w:pPr>
        <w:ind w:right="660"/>
        <w:spacing w:after="0" w:line="402" w:lineRule="auto"/>
        <w:rPr>
          <w:sz w:val="20"/>
          <w:szCs w:val="20"/>
          <w:color w:val="auto"/>
        </w:rPr>
      </w:pPr>
      <w:r>
        <w:rPr>
          <w:rFonts w:ascii="Arial" w:cs="Arial" w:eastAsia="Arial" w:hAnsi="Arial"/>
          <w:sz w:val="18"/>
          <w:szCs w:val="18"/>
          <w:color w:val="auto"/>
        </w:rPr>
        <w:t>The most common adverse reactions in IBSRELA-treated patients (incidence ≥2% and greater than placebo) were: diarrhea (16% vs 4% placebo), abdominal distension (3% vs &lt;1%), flatulence (3% vs 1%) and dizziness (2% vs &lt;1%).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IBSRELA (tenapanor) is indicated for the treatment of Irritable Bowel Syndrome with Constipation (IBS-C) in adults.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see full Prescribing Information, including Boxed Warning, for additional risk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SAFETY INFORMATION (XPHOZAH)</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CONTRAINDICATIONS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XPHOZAH is contraindicated in:</w:t>
      </w:r>
    </w:p>
    <w:p>
      <w:pPr>
        <w:spacing w:after="0" w:line="10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Pediatric patients under 6 years of age</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with known or suspected mechanical gastrointestinal obstruction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WARNINGS AND PRECAUTIONS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Diarrhea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Patients may experience severe diarrhea. Treatment with XPHOZAH should be discontinued in patients who develop severe diarrhea.</w:t>
      </w:r>
    </w:p>
    <w:p>
      <w:pPr>
        <w:sectPr>
          <w:pgSz w:w="11900" w:h="16838" w:orient="portrait"/>
          <w:cols w:equalWidth="0" w:num="1">
            <w:col w:w="11200"/>
          </w:cols>
          <w:pgMar w:left="320" w:top="945"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MOST COMMON ADVERSE REACTIONS</w:t>
      </w:r>
    </w:p>
    <w:p>
      <w:pPr>
        <w:spacing w:after="0" w:line="121" w:lineRule="exact"/>
        <w:rPr>
          <w:sz w:val="20"/>
          <w:szCs w:val="20"/>
          <w:color w:val="auto"/>
        </w:rPr>
      </w:pPr>
    </w:p>
    <w:p>
      <w:pPr>
        <w:ind w:right="40"/>
        <w:spacing w:after="0" w:line="369" w:lineRule="auto"/>
        <w:rPr>
          <w:sz w:val="20"/>
          <w:szCs w:val="20"/>
          <w:color w:val="auto"/>
        </w:rPr>
      </w:pPr>
      <w:r>
        <w:rPr>
          <w:rFonts w:ascii="Arial" w:cs="Arial" w:eastAsia="Arial" w:hAnsi="Arial"/>
          <w:sz w:val="18"/>
          <w:szCs w:val="18"/>
          <w:color w:val="auto"/>
        </w:rPr>
        <w:t>Diarrhea, which occurred in 43-53% of patients, was the only adverse reaction reported in at least 5% of XPHOZAH-treated patients with CKD on dialysis across trials. The majority of diarrhea events in the XPHOZAH-treated patients were reported to be mild-to-moderate in severity and resolved over time, or with dose reduction. Diarrhea was typically reported soon after initiation but could occur at any time during treatment with XPHOZAH. Severe diarrhea was reported in 5% of XPHOZAH-treated patients in these trials.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INDICATION</w:t>
      </w:r>
    </w:p>
    <w:p>
      <w:pPr>
        <w:spacing w:after="0" w:line="108" w:lineRule="exact"/>
        <w:rPr>
          <w:sz w:val="20"/>
          <w:szCs w:val="20"/>
          <w:color w:val="auto"/>
        </w:rPr>
      </w:pPr>
    </w:p>
    <w:p>
      <w:pPr>
        <w:ind w:right="40"/>
        <w:spacing w:after="0" w:line="440" w:lineRule="auto"/>
        <w:rPr>
          <w:sz w:val="20"/>
          <w:szCs w:val="20"/>
          <w:color w:val="auto"/>
        </w:rPr>
      </w:pPr>
      <w:r>
        <w:rPr>
          <w:rFonts w:ascii="Arial" w:cs="Arial" w:eastAsia="Arial" w:hAnsi="Arial"/>
          <w:sz w:val="17"/>
          <w:szCs w:val="17"/>
          <w:color w:val="auto"/>
        </w:rPr>
        <w:t>XPHOZAH (tenapanor), 30 mg BID, is indicated to reduce serum phosphorus in adults with chronic kidney disease (CKD) on dialysis as add-on therapy in patients who have an inadequate response to phosphate binders or who are intolerant of any dose of phosphate binder therapy.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safety information, please see full Prescribing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Ardelyx, Inc.</w:t>
      </w:r>
    </w:p>
    <w:p>
      <w:pPr>
        <w:spacing w:after="0" w:line="337" w:lineRule="exact"/>
        <w:rPr>
          <w:sz w:val="20"/>
          <w:szCs w:val="20"/>
          <w:color w:val="auto"/>
        </w:rPr>
      </w:pPr>
    </w:p>
    <w:p>
      <w:pPr>
        <w:spacing w:after="0" w:line="331" w:lineRule="auto"/>
        <w:rPr>
          <w:sz w:val="20"/>
          <w:szCs w:val="20"/>
          <w:color w:val="auto"/>
        </w:rPr>
      </w:pPr>
      <w:r>
        <w:rPr>
          <w:rFonts w:ascii="Arial" w:cs="Arial" w:eastAsia="Arial" w:hAnsi="Arial"/>
          <w:sz w:val="18"/>
          <w:szCs w:val="18"/>
          <w:color w:val="auto"/>
        </w:rPr>
        <w:t>Ardelyx was founded with a mission to discover, develop and commercialize innovative, first-in-class medicines that meet significant unmet medical needs. Ardelyx has two commercial products approved in the United States, IBSRELA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and XPHOZAH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as well as early stage pipeline candidates. Ardelyx has agreements for the development and commercialization of tenapanor outside of the U.S. Kyowa Kirin has received approval for PHOZEVEL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for hyperphosphatemia in Japan. A New Drug Application for tenapanor for hyperphosphatemia has been submitted in China with Fosun Pharma. Knight Therapeutics commercializes IBSRELA in Canada. For more information, please visit https://ardelyx.com/ and connect with us on X (formerly known as Twitter), LinkedIn and Facebook.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310" w:lineRule="exact"/>
        <w:rPr>
          <w:sz w:val="20"/>
          <w:szCs w:val="20"/>
          <w:color w:val="auto"/>
        </w:rPr>
      </w:pPr>
    </w:p>
    <w:p>
      <w:pPr>
        <w:ind w:right="40"/>
        <w:spacing w:after="0" w:line="414" w:lineRule="auto"/>
        <w:rPr>
          <w:sz w:val="20"/>
          <w:szCs w:val="20"/>
          <w:color w:val="auto"/>
        </w:rPr>
      </w:pPr>
      <w:r>
        <w:rPr>
          <w:rFonts w:ascii="Arial" w:cs="Arial" w:eastAsia="Arial" w:hAnsi="Arial"/>
          <w:sz w:val="16"/>
          <w:szCs w:val="16"/>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expectation regarding opportunities for continued IBSRELA adoption, Ardelyx’s current expectation of timing for the commercial launch of XPHOZAH; the timing and receipt of the milestone payment from Fosun Pharma that was earned upon the U.S. FDA approval of XPHOZAH; and projected net product revenue for IBSRELA for full year 2023.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uncertainties associated with the development of, regulatory process for, and commercialization of drugs in the U.S. and internationally.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October 31, 2023, and its future current and periodic reports to be filed with the Securities and Exchange Commission.</w:t>
      </w:r>
    </w:p>
    <w:p>
      <w:pPr>
        <w:sectPr>
          <w:pgSz w:w="11900" w:h="16838" w:orient="portrait"/>
          <w:cols w:equalWidth="0" w:num="1">
            <w:col w:w="11240"/>
          </w:cols>
          <w:pgMar w:left="320" w:top="112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Investor and Media Contacts: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Caitlin Lowie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clowie@ardelyx.com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Kimia Keshtbod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kkeshtbod@ardelyx.com</w:t>
      </w:r>
    </w:p>
    <w:p>
      <w:pPr>
        <w:sectPr>
          <w:pgSz w:w="11900" w:h="16838" w:orient="portrait"/>
          <w:cols w:equalWidth="0" w:num="1">
            <w:col w:w="10139"/>
          </w:cols>
          <w:pgMar w:left="320" w:top="891" w:right="1440" w:bottom="1440" w:gutter="0" w:footer="0" w:header="0"/>
        </w:sectPr>
      </w:pPr>
    </w:p>
    <w:bookmarkStart w:id="9" w:name="page10"/>
    <w:bookmarkEnd w:id="9"/>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Ardelyx,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December 31, 2022</w:t>
            </w:r>
          </w:p>
        </w:tc>
      </w:tr>
      <w:tr>
        <w:trPr>
          <w:trHeight w:val="26"/>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88"/>
        </w:trPr>
        <w:tc>
          <w:tcPr>
            <w:tcW w:w="73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(1)</w:t>
            </w:r>
          </w:p>
        </w:tc>
      </w:tr>
      <w:tr>
        <w:trPr>
          <w:trHeight w:val="23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33,767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96,140</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w:t>
            </w: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43,263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7,733</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commercial manufacturing</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13,567</w:t>
            </w: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Inventory, current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8,524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3,282</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non-current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25,064</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Right-of-use assets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w:t>
            </w:r>
          </w:p>
        </w:tc>
      </w:tr>
      <w:tr>
        <w:trPr>
          <w:trHeight w:val="230"/>
        </w:trPr>
        <w:tc>
          <w:tcPr>
            <w:tcW w:w="7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and other assets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5,993</w:t>
            </w:r>
          </w:p>
        </w:tc>
      </w:tr>
      <w:tr>
        <w:trPr>
          <w:trHeight w:val="248"/>
        </w:trPr>
        <w:tc>
          <w:tcPr>
            <w:tcW w:w="7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190,066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10,859</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3,894</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26,711</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14,362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13,236</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Operating lease liability, net of current portion</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5,855</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Deferred royalty obligation related to the sale of future royalties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14,113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11,254</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98,329</w:t>
            </w:r>
          </w:p>
        </w:tc>
      </w:tr>
      <w:tr>
        <w:trPr>
          <w:trHeight w:val="223"/>
        </w:trPr>
        <w:tc>
          <w:tcPr>
            <w:tcW w:w="736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190,066</w:t>
            </w: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(1) Derived from the audited financial statements included in the Company’s Annual Report on Form 10-K for the year ended December 31, 2022.</w:t>
      </w:r>
    </w:p>
    <w:p>
      <w:pPr>
        <w:sectPr>
          <w:pgSz w:w="11900" w:h="16838" w:orient="portrait"/>
          <w:cols w:equalWidth="0" w:num="1">
            <w:col w:w="11060"/>
          </w:cols>
          <w:pgMar w:left="320" w:top="1431" w:right="519" w:bottom="1440" w:gutter="0" w:footer="0" w:header="0"/>
        </w:sectPr>
      </w:pPr>
    </w:p>
    <w:bookmarkStart w:id="10" w:name="page11"/>
    <w:bookmarkEnd w:id="10"/>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6268720</wp:posOffset>
            </wp:positionH>
            <wp:positionV relativeFrom="page">
              <wp:posOffset>200660</wp:posOffset>
            </wp:positionV>
            <wp:extent cx="1071245" cy="334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01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Arial" w:cs="Arial" w:eastAsia="Arial" w:hAnsi="Arial"/>
                <w:sz w:val="18"/>
                <w:szCs w:val="18"/>
                <w:color w:val="auto"/>
              </w:rPr>
              <w:t>Product sales,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22,285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51,949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6,899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supply revenue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Licensing revenue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Cost of goods sold: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cost of revenue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cost of goods sold</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26,059</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56,868</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82,927</w:t>
            </w:r>
          </w:p>
        </w:tc>
        <w:tc>
          <w:tcPr>
            <w:tcW w:w="0" w:type="dxa"/>
            <w:vAlign w:val="bottom"/>
          </w:tcPr>
          <w:p>
            <w:pPr>
              <w:spacing w:after="0"/>
              <w:rPr>
                <w:sz w:val="1"/>
                <w:szCs w:val="1"/>
                <w:color w:val="auto"/>
              </w:rPr>
            </w:pPr>
          </w:p>
        </w:tc>
      </w:tr>
      <w:tr>
        <w:trPr>
          <w:trHeight w:val="223"/>
        </w:trPr>
        <w:tc>
          <w:tcPr>
            <w:tcW w:w="4320" w:type="dxa"/>
            <w:vAlign w:val="bottom"/>
          </w:tcPr>
          <w:p>
            <w:pPr>
              <w:ind w:left="120"/>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(35,290)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(75,902)</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175"/>
        </w:trPr>
        <w:tc>
          <w:tcPr>
            <w:tcW w:w="4320" w:type="dxa"/>
            <w:vAlign w:val="bottom"/>
          </w:tcPr>
          <w:p>
            <w:pPr>
              <w:ind w:left="120"/>
              <w:spacing w:after="0" w:line="176" w:lineRule="exact"/>
              <w:rPr>
                <w:sz w:val="20"/>
                <w:szCs w:val="20"/>
                <w:color w:val="auto"/>
              </w:rPr>
            </w:pPr>
            <w:r>
              <w:rPr>
                <w:rFonts w:ascii="Arial" w:cs="Arial" w:eastAsia="Arial" w:hAnsi="Arial"/>
                <w:sz w:val="18"/>
                <w:szCs w:val="18"/>
                <w:color w:val="auto"/>
                <w:w w:val="96"/>
              </w:rPr>
              <w:t>Non-cash interest expense related to the sale of future</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Arial" w:cs="Arial" w:eastAsia="Arial" w:hAnsi="Arial"/>
                <w:sz w:val="18"/>
                <w:szCs w:val="18"/>
                <w:color w:val="auto"/>
              </w:rPr>
              <w:t>royalties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Income (loss) before provision for income taxes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(37,051)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(77,894)</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6,629</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(77,902)</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Net income (loss) per share of common stock - basic</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3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and diluted</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w w:val="90"/>
              </w:rPr>
              <w:t>Shares used in computing net income (loss) per share -</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222,782,229</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165,104,789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214,976,555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w w:val="99"/>
              </w:rPr>
              <w:t>147,319,818</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basic</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Shares used in computing net income (loss) per share -</w:t>
            </w:r>
          </w:p>
        </w:tc>
        <w:tc>
          <w:tcPr>
            <w:tcW w:w="14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227,894,335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165,104,789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214,976,555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147,319,818</w:t>
            </w:r>
          </w:p>
        </w:tc>
        <w:tc>
          <w:tcPr>
            <w:tcW w:w="0" w:type="dxa"/>
            <w:vAlign w:val="bottom"/>
          </w:tcPr>
          <w:p>
            <w:pPr>
              <w:spacing w:after="0"/>
              <w:rPr>
                <w:sz w:val="1"/>
                <w:szCs w:val="1"/>
                <w:color w:val="auto"/>
              </w:rPr>
            </w:pPr>
          </w:p>
        </w:tc>
      </w:tr>
      <w:tr>
        <w:trPr>
          <w:trHeight w:val="23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w:t>
            </w: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580"/>
      </w:cols>
      <w:pgMar w:left="660" w:top="14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84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2023-10-31T06:05:45Z</dcterms:created>
  <dcterms:modified xsi:type="dcterms:W3CDTF">2023-10-31T06:05:45Z</dcterms:modified>
</cp:coreProperties>
</file>