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276860</wp:posOffset>
            </wp:positionV>
            <wp:extent cx="51435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 cy="514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8"/>
        </w:trPr>
        <w:tc>
          <w:tcPr>
            <w:tcW w:w="2800" w:type="dxa"/>
            <w:vAlign w:val="bottom"/>
          </w:tcPr>
          <w:p>
            <w:pPr>
              <w:jc w:val="center"/>
              <w:ind w:left="88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74"/>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0"/>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94"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90" w:lineRule="exact"/>
        <w:rPr>
          <w:sz w:val="24"/>
          <w:szCs w:val="24"/>
          <w:color w:val="auto"/>
        </w:rPr>
      </w:pPr>
    </w:p>
    <w:p>
      <w:pPr>
        <w:ind w:right="580"/>
        <w:spacing w:after="0" w:line="298"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August 4, 2025, Ardelyx, Inc. (the “Company”) announced its financial results for the quarter ended June 30, 2025. The full text of the press release issued in connection with the announcement is furnished as Exhibit 99.1 to this Current Report on Form 8-K.</w:t>
      </w:r>
    </w:p>
    <w:p>
      <w:pPr>
        <w:spacing w:after="0" w:line="1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information furnished under this Item 2.02 shall not be considered “filed” under the Securities Exchange Act of 1934, as amended, nor shall it be incorporated by reference into any future filing under the Securities Act of 1933, as amended, or under the Securities Exchange Act of 1934, as amended, unless the Company expressly sets forth in such future filing that such information is to be considered “filed” or incorporated by reference therein.</w:t>
      </w:r>
    </w:p>
    <w:p>
      <w:pPr>
        <w:spacing w:after="0" w:line="118"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On August 4, 2025, the Company announced that Justin Renz, the Company’s Chief Financial and Operations Officer, will transition out of the role of Chief Financial and Operations Officer upon the earlier of (i) December 31, 2025 or (ii) the date that is thirty (30) calendar days following the start date of the Company’s new Chief Financial Officer (the “Separation Date”).</w:t>
      </w:r>
    </w:p>
    <w:p>
      <w:pPr>
        <w:spacing w:after="0" w:line="122"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7"/>
          <w:szCs w:val="17"/>
          <w:color w:val="auto"/>
        </w:rPr>
        <w:t>In connection with the transition, Mr. Renz and the Company entered into a transition agreement, dated August 1, 2025 (the “Transition Agreement”). Pursuant to the Transition Agreement, if Mr. Renz remains employed through the Separation Date and he complies with his obligations to the Company through the Separation Date and executes a release of claims, Mr. Renz will be entitled to receive the severance benefits described in the Amended and Restated Change in Control Severance Agreement effective as of April 29, 2025 between Mr. Renz and the Company (the “Severance Agreement”); and</w:t>
      </w:r>
    </w:p>
    <w:p>
      <w:pPr>
        <w:spacing w:after="0" w:line="3" w:lineRule="exact"/>
        <w:rPr>
          <w:sz w:val="20"/>
          <w:szCs w:val="20"/>
          <w:color w:val="auto"/>
        </w:rPr>
      </w:pPr>
    </w:p>
    <w:p>
      <w:pPr>
        <w:ind w:right="60" w:firstLine="8"/>
        <w:spacing w:after="0" w:line="260" w:lineRule="auto"/>
        <w:tabs>
          <w:tab w:leader="none" w:pos="26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vested stock option, held by Mr. Renz shall remain exercisable through the earliest of (a) the twelve-month anniversary of the Separation Date, (b) the date of a change in control of the Company or (c) the original expiration date of the stock option.</w:t>
      </w:r>
    </w:p>
    <w:p>
      <w:pPr>
        <w:spacing w:after="0" w:line="1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Mr. Renz will continue to earn the same salary and will continue to participate in all of the various fringe benefits and perquisites that he currently enjoys, on the same basis as such benefits and perquisites are currently provided, through the Separation Date. Mr. Renz shall also receive a corporate bonus for 2025 with the amount of such bonus determined in accordance with the Company’s standard bonus calculations for all other Company executives, and with the individual performance component for such calculation set at one hundred percent (100%).</w:t>
      </w:r>
    </w:p>
    <w:p>
      <w:pPr>
        <w:spacing w:after="0" w:line="12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On August 1, 2025, the Board of Directors (the “Board”) of the Company approved and adopted the Company’s Second Amended and Restated Bylaws (as amended and restated, the “Bylaws”), effective immediately.</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Among other things, the amendment and restatement of the Bylaws update certain procedural and disclosure requirements related to director nominations or other business proposals by shareholders, including: (i) requiring that a Company stockholder be a record owner before submitting a proposal or director nomination; (ii) clarifying that a Company stockholder cannot nominate a greater number of director candidates for a meeting than the number of directors standing for election at such meeting; and (iii) requiring that a Company stockholder must solicit the holders of shares representing at least 67% of shares entitled to vote to align with the requirements of Rule 14a-19.</w:t>
      </w:r>
    </w:p>
    <w:p>
      <w:pPr>
        <w:spacing w:after="0" w:line="12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The amendments also: (i) update language related to quorum for both Board and stockholder meetings; (ii) remove the requirements related to producing stockholder lists to align with the requirements of the Delaware General Corporation Law and market practice; (iii) add a forum selection provision; and (iv) incorporate various other technical, clarifying and conforming changes.</w:t>
      </w:r>
    </w:p>
    <w:p>
      <w:pPr>
        <w:spacing w:after="0" w:line="12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foregoing summary of the Bylaws is qualified in all respects by reference to the text of the Bylaws, a copy of which is filed as Exhibit 3.1 to this Current Report on Form 8-K and is incorporated herein by reference.</w:t>
      </w:r>
    </w:p>
    <w:p>
      <w:pPr>
        <w:spacing w:after="0" w:line="104"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Exhibit No.</w:t>
            </w:r>
          </w:p>
        </w:tc>
        <w:tc>
          <w:tcPr>
            <w:tcW w:w="20" w:type="dxa"/>
            <w:vAlign w:val="bottom"/>
          </w:tcPr>
          <w:p>
            <w:pPr>
              <w:spacing w:after="0"/>
              <w:rPr>
                <w:sz w:val="16"/>
                <w:szCs w:val="16"/>
                <w:color w:val="auto"/>
              </w:rPr>
            </w:pPr>
          </w:p>
        </w:tc>
        <w:tc>
          <w:tcPr>
            <w:tcW w:w="100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3"/>
        </w:trPr>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r>
      <w:tr>
        <w:trPr>
          <w:trHeight w:val="196"/>
        </w:trPr>
        <w:tc>
          <w:tcPr>
            <w:tcW w:w="9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Second Amended and Restated Bylaws.</w:t>
            </w:r>
          </w:p>
        </w:tc>
        <w:tc>
          <w:tcPr>
            <w:tcW w:w="7120" w:type="dxa"/>
            <w:vAlign w:val="bottom"/>
            <w:gridSpan w:val="2"/>
          </w:tcPr>
          <w:p>
            <w:pPr>
              <w:spacing w:after="0"/>
              <w:rPr>
                <w:sz w:val="17"/>
                <w:szCs w:val="17"/>
                <w:color w:val="auto"/>
              </w:rPr>
            </w:pPr>
          </w:p>
        </w:tc>
      </w:tr>
      <w:tr>
        <w:trPr>
          <w:trHeight w:val="250"/>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1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Ardelyx, Inc.</w:t>
            </w:r>
          </w:p>
        </w:tc>
        <w:tc>
          <w:tcPr>
            <w:tcW w:w="7880" w:type="dxa"/>
            <w:vAlign w:val="bottom"/>
            <w:gridSpan w:val="3"/>
          </w:tcPr>
          <w:p>
            <w:pPr>
              <w:spacing w:after="0"/>
              <w:rPr>
                <w:sz w:val="21"/>
                <w:szCs w:val="21"/>
                <w:color w:val="auto"/>
              </w:rPr>
            </w:pPr>
          </w:p>
        </w:tc>
      </w:tr>
      <w:tr>
        <w:trPr>
          <w:trHeight w:val="27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82"/>
        </w:trPr>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70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4"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Date: August 4, 2025</w:t>
      </w:r>
      <w:r>
        <w:rPr>
          <w:sz w:val="20"/>
          <w:szCs w:val="20"/>
          <w:color w:val="auto"/>
        </w:rPr>
        <w:tab/>
      </w:r>
      <w:r>
        <w:rPr>
          <w:rFonts w:ascii="Times New Roman" w:cs="Times New Roman" w:eastAsia="Times New Roman" w:hAnsi="Times New Roman"/>
          <w:sz w:val="17"/>
          <w:szCs w:val="17"/>
          <w:b w:val="1"/>
          <w:bCs w:val="1"/>
          <w:color w:val="auto"/>
        </w:rPr>
        <w:t>ARDELYX, INC.</w:t>
      </w:r>
    </w:p>
    <w:p>
      <w:pPr>
        <w:spacing w:after="0" w:line="243" w:lineRule="exact"/>
        <w:rPr>
          <w:sz w:val="20"/>
          <w:szCs w:val="20"/>
          <w:color w:val="auto"/>
        </w:rPr>
      </w:pPr>
    </w:p>
    <w:tbl>
      <w:tblPr>
        <w:tblLayout w:type="fixed"/>
        <w:tblInd w:w="606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Elizabeth Grammer</w:t>
            </w:r>
          </w:p>
        </w:tc>
      </w:tr>
      <w:tr>
        <w:trPr>
          <w:trHeight w:val="218"/>
        </w:trPr>
        <w:tc>
          <w:tcPr>
            <w:tcW w:w="640" w:type="dxa"/>
            <w:vAlign w:val="bottom"/>
          </w:tcPr>
          <w:p>
            <w:pPr>
              <w:spacing w:after="0"/>
              <w:rPr>
                <w:sz w:val="18"/>
                <w:szCs w:val="18"/>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Elizabeth Grammer</w:t>
            </w:r>
          </w:p>
        </w:tc>
      </w:tr>
      <w:tr>
        <w:trPr>
          <w:trHeight w:val="234"/>
        </w:trPr>
        <w:tc>
          <w:tcPr>
            <w:tcW w:w="64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and Administrative Officer</w:t>
            </w:r>
          </w:p>
        </w:tc>
      </w:tr>
    </w:tbl>
    <w:p>
      <w:pPr>
        <w:sectPr>
          <w:pgSz w:w="11900" w:h="16838" w:orient="portrait"/>
          <w:cols w:equalWidth="0" w:num="1">
            <w:col w:w="11240"/>
          </w:cols>
          <w:pgMar w:left="320" w:top="114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9"/>
          <w:szCs w:val="19"/>
          <w:b w:val="1"/>
          <w:bCs w:val="1"/>
          <w:color w:val="auto"/>
        </w:rPr>
        <w:t>SECOND AMENDED AND RESTATED</w:t>
      </w:r>
    </w:p>
    <w:p>
      <w:pPr>
        <w:spacing w:after="0" w:line="24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BYLAWS OF</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ARDELYX, INC.</w:t>
      </w:r>
    </w:p>
    <w:p>
      <w:pPr>
        <w:spacing w:after="0" w:line="22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(a Delaware corporation)</w:t>
      </w:r>
    </w:p>
    <w:p>
      <w:pPr>
        <w:sectPr>
          <w:pgSz w:w="11900" w:h="16838" w:orient="portrait"/>
          <w:cols w:equalWidth="0" w:num="1">
            <w:col w:w="10120"/>
          </w:cols>
          <w:pgMar w:left="1440" w:top="100" w:right="339" w:bottom="1440" w:gutter="0" w:footer="0" w:header="0"/>
        </w:sectPr>
      </w:pPr>
    </w:p>
    <w:bookmarkStart w:id="4" w:name="page5"/>
    <w:bookmarkEnd w:id="4"/>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335" w:lineRule="exact"/>
        <w:rPr>
          <w:sz w:val="20"/>
          <w:szCs w:val="20"/>
          <w:color w:val="auto"/>
        </w:rPr>
      </w:pPr>
    </w:p>
    <w:tbl>
      <w:tblPr>
        <w:tblLayout w:type="fixed"/>
        <w:tblInd w:w="200" w:type="dxa"/>
        <w:tblCellMar>
          <w:top w:w="0" w:type="dxa"/>
          <w:left w:w="0" w:type="dxa"/>
          <w:bottom w:w="0" w:type="dxa"/>
          <w:right w:w="0" w:type="dxa"/>
        </w:tblCellMar>
      </w:tblPr>
      <w:tr>
        <w:trPr>
          <w:trHeight w:val="212"/>
        </w:trPr>
        <w:tc>
          <w:tcPr>
            <w:tcW w:w="6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8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275"/>
        </w:trPr>
        <w:tc>
          <w:tcPr>
            <w:tcW w:w="7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 - CORPORATE OFFICES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63"/>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1.1</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REGISTERED OFFICE</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8"/>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1.2</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OTHER OFFICES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65"/>
        </w:trPr>
        <w:tc>
          <w:tcPr>
            <w:tcW w:w="76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ARTICLE II - MEETINGS OF STOCKHOLDERS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63"/>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2.1</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PLACE OF MEETINGS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7"/>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2.2</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ANNUAL MEETING</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6"/>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2.3</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SPECIAL MEETING</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25"/>
        </w:trPr>
        <w:tc>
          <w:tcPr>
            <w:tcW w:w="680" w:type="dxa"/>
            <w:vAlign w:val="bottom"/>
          </w:tcPr>
          <w:p>
            <w:pPr>
              <w:ind w:left="40"/>
              <w:spacing w:after="0" w:line="226" w:lineRule="exact"/>
              <w:rPr>
                <w:sz w:val="20"/>
                <w:szCs w:val="20"/>
                <w:color w:val="auto"/>
              </w:rPr>
            </w:pPr>
            <w:r>
              <w:rPr>
                <w:rFonts w:ascii="Times New Roman" w:cs="Times New Roman" w:eastAsia="Times New Roman" w:hAnsi="Times New Roman"/>
                <w:sz w:val="20"/>
                <w:szCs w:val="20"/>
                <w:color w:val="auto"/>
              </w:rPr>
              <w:t>2.4</w:t>
            </w:r>
          </w:p>
        </w:tc>
        <w:tc>
          <w:tcPr>
            <w:tcW w:w="6920" w:type="dxa"/>
            <w:vAlign w:val="bottom"/>
          </w:tcPr>
          <w:p>
            <w:pPr>
              <w:ind w:left="300"/>
              <w:spacing w:after="0" w:line="226" w:lineRule="exact"/>
              <w:rPr>
                <w:sz w:val="20"/>
                <w:szCs w:val="20"/>
                <w:color w:val="auto"/>
              </w:rPr>
            </w:pPr>
            <w:r>
              <w:rPr>
                <w:rFonts w:ascii="Times New Roman" w:cs="Times New Roman" w:eastAsia="Times New Roman" w:hAnsi="Times New Roman"/>
                <w:sz w:val="20"/>
                <w:szCs w:val="20"/>
                <w:color w:val="auto"/>
              </w:rPr>
              <w:t>ADVANCE NOTICE PROCEDURES FOR BUSINESS BROUGHT BEFORE A</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47"/>
        </w:trPr>
        <w:tc>
          <w:tcPr>
            <w:tcW w:w="680" w:type="dxa"/>
            <w:vAlign w:val="bottom"/>
          </w:tcPr>
          <w:p>
            <w:pPr>
              <w:spacing w:after="0"/>
              <w:rPr>
                <w:sz w:val="21"/>
                <w:szCs w:val="21"/>
                <w:color w:val="auto"/>
              </w:rPr>
            </w:pP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MEETING</w:t>
            </w: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2.5</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ADVANCE NOTICE PROCEDURES FOR NOMINATIONS OF DIRECTORS.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57"/>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2.6</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NOTICE OF STOCKHOLDERS’ MEETINGS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57"/>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2.7</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QUORUM</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7"/>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2.8</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ADJOURNED MEETING; NOTICE</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6"/>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2.9</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CONDUCT OF BUSINESS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6"/>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2.10</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VOTING</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57"/>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2.11</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9"/>
              </w:rPr>
              <w:t>STOCKHOLDER ACTION BY WRITTEN CONSENT WITHOUT A MEETING</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198"/>
        </w:trPr>
        <w:tc>
          <w:tcPr>
            <w:tcW w:w="680" w:type="dxa"/>
            <w:vAlign w:val="bottom"/>
          </w:tcPr>
          <w:p>
            <w:pPr>
              <w:ind w:left="40"/>
              <w:spacing w:after="0" w:line="198" w:lineRule="exact"/>
              <w:rPr>
                <w:sz w:val="20"/>
                <w:szCs w:val="20"/>
                <w:color w:val="auto"/>
              </w:rPr>
            </w:pPr>
            <w:r>
              <w:rPr>
                <w:rFonts w:ascii="Times New Roman" w:cs="Times New Roman" w:eastAsia="Times New Roman" w:hAnsi="Times New Roman"/>
                <w:sz w:val="20"/>
                <w:szCs w:val="20"/>
                <w:color w:val="auto"/>
              </w:rPr>
              <w:t>2.12</w:t>
            </w:r>
          </w:p>
        </w:tc>
        <w:tc>
          <w:tcPr>
            <w:tcW w:w="6920" w:type="dxa"/>
            <w:vAlign w:val="bottom"/>
          </w:tcPr>
          <w:p>
            <w:pPr>
              <w:ind w:left="300"/>
              <w:spacing w:after="0" w:line="198" w:lineRule="exact"/>
              <w:rPr>
                <w:sz w:val="20"/>
                <w:szCs w:val="20"/>
                <w:color w:val="auto"/>
              </w:rPr>
            </w:pPr>
            <w:r>
              <w:rPr>
                <w:rFonts w:ascii="Times New Roman" w:cs="Times New Roman" w:eastAsia="Times New Roman" w:hAnsi="Times New Roman"/>
                <w:sz w:val="20"/>
                <w:szCs w:val="20"/>
                <w:color w:val="auto"/>
              </w:rPr>
              <w:t>RECORD DATE FOR STOCKHOLDER NOTICE; VOTING; GIVING</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47"/>
        </w:trPr>
        <w:tc>
          <w:tcPr>
            <w:tcW w:w="680" w:type="dxa"/>
            <w:vAlign w:val="bottom"/>
          </w:tcPr>
          <w:p>
            <w:pPr>
              <w:spacing w:after="0"/>
              <w:rPr>
                <w:sz w:val="21"/>
                <w:szCs w:val="21"/>
                <w:color w:val="auto"/>
              </w:rPr>
            </w:pP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CONSENTS</w:t>
            </w: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2.13</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PROXIES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57"/>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2.14</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LIST OF STOCKHOLDERS ENTITLED TO VOTE</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56"/>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2.15</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INSPECTORS OF ELECTION</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58"/>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2.16</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DELIVERY TO THE CORPORATION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365"/>
        </w:trPr>
        <w:tc>
          <w:tcPr>
            <w:tcW w:w="76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ARTICLE III - DIRECTORS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363"/>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POWERS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7"/>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3.2</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NUMBER OF DIRECTORS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7"/>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3.3</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ELECTION, QUALIFICATION AND TERM OF OFFICE OF DIRECTORS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6"/>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3.4</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RESIGNATION AND VACANCIES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7"/>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3.5</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PLACE OF MEETINGS; MEETINGS BY TELEPHONE</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6"/>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3.6</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REGULAR MEETINGS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7"/>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3.7</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SPECIAL MEETINGS; NOTICE</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56"/>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3.8</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QUORUM</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57"/>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3.9</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BOARD ACTION BY WRITTEN CONSENT WITHOUT A MEETING</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56"/>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3.10</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FEES AND COMPENSATION OF DIRECTORS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58"/>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3.11</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REMOVAL OF DIRECTORS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364"/>
        </w:trPr>
        <w:tc>
          <w:tcPr>
            <w:tcW w:w="76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ARTICLE IV - COMMITTEES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363"/>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4.1</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COMMITTEES OF DIRECTORS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56"/>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4.2</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COMMITTEE MINUTES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58"/>
        </w:trPr>
        <w:tc>
          <w:tcPr>
            <w:tcW w:w="6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4.3</w:t>
            </w:r>
          </w:p>
        </w:tc>
        <w:tc>
          <w:tcPr>
            <w:tcW w:w="692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MEETINGS AND ACTION OF COMMITTEES</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bl>
    <w:p>
      <w:pPr>
        <w:sectPr>
          <w:pgSz w:w="11900" w:h="16838" w:orient="portrait"/>
          <w:cols w:equalWidth="0" w:num="1">
            <w:col w:w="9019"/>
          </w:cols>
          <w:pgMar w:left="1440" w:top="1440" w:right="1440" w:bottom="1440" w:gutter="0" w:footer="0" w:header="0"/>
        </w:sectPr>
      </w:pPr>
    </w:p>
    <w:bookmarkStart w:id="5" w:name="page6"/>
    <w:bookmarkEnd w:id="5"/>
    <w:p>
      <w:pPr>
        <w:spacing w:after="0" w:line="14" w:lineRule="exact"/>
        <w:rPr>
          <w:sz w:val="20"/>
          <w:szCs w:val="20"/>
          <w:color w:val="auto"/>
        </w:rPr>
      </w:pPr>
    </w:p>
    <w:tbl>
      <w:tblPr>
        <w:tblLayout w:type="fixed"/>
        <w:tblInd w:w="240" w:type="dxa"/>
        <w:tblCellMar>
          <w:top w:w="0" w:type="dxa"/>
          <w:left w:w="0" w:type="dxa"/>
          <w:bottom w:w="0" w:type="dxa"/>
          <w:right w:w="0" w:type="dxa"/>
        </w:tblCellMar>
      </w:tblPr>
      <w:tr>
        <w:trPr>
          <w:trHeight w:val="258"/>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 OFFICERS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36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5.1</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OFFICERS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5.2</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APPOINTMENT OF OFFICERS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6"/>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5.3</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SUBORDINATE OFFICERS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5.4</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REMOVAL AND RESIGNATION OF OFFICERS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5.5</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VACANCIES IN OFFICES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5.6</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REPRESENTATION OF SHARES OF OTHER CORPORATIONS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5.7</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AUTHORITY AND DUTIES OF OFFICERS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64"/>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 RECORDS AND REPORTS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473"/>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 GENERAL MATTERS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36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7.1</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EXECUTION OF CORPORATE CONTRACTS AND INSTRUMENTS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7.2</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STOCK CERTIFICATES; PARTLY PAID SHARES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7.3</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SPECIAL DESIGNATION ON CERTIFICATES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7.4</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LOST CERTIFICATES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r>
      <w:tr>
        <w:trPr>
          <w:trHeight w:val="256"/>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7.5</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UNCERTIFICATED SHARES</w:t>
            </w:r>
          </w:p>
        </w:tc>
        <w:tc>
          <w:tcPr>
            <w:tcW w:w="560" w:type="dxa"/>
            <w:vAlign w:val="bottom"/>
          </w:tcPr>
          <w:p>
            <w:pPr>
              <w:spacing w:after="0"/>
              <w:rPr>
                <w:sz w:val="22"/>
                <w:szCs w:val="22"/>
                <w:color w:val="auto"/>
              </w:rPr>
            </w:pP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7.6</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CONSTRUCTION; 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7.7</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DIVIDENDS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6"/>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7.8</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FISCAL YEAR</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7.9</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SEAL</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7.10</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TRANSFER OF STOCK</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6"/>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7.11</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STOCK TRANSFER AGREEMENTS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7.12</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REGISTERED STOCKHOLDERS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7.13</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WAIVER OF NOTICE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65"/>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 DELIVERY OF NOTICE; NOTICE BY ELECTRONIC TRANSMISSION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65"/>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 INDEMNIFICATION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63"/>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9.1</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INDEMNIFICATION OF DIRECTORS AND OFFICERS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9.2</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INDEMNIFICATION OF OTHERS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9.3</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PREPAYMENT OF EXPENSES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6"/>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9.4</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DETERMINATION; CLAIM</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9.5</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NON-EXCLUSIVITY OF RIGHTS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6"/>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9.6</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INSURANCE</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7"/>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9.7</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OTHER INDEMNIFICATION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56"/>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9.8</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CONTINUATION OF INDEMNIFICATION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8"/>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9.9</w:t>
            </w:r>
          </w:p>
        </w:tc>
        <w:tc>
          <w:tcPr>
            <w:tcW w:w="714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AMENDMENT OR REPEAL</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363"/>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 AMENDMENTS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6"/>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 – FORUM SELECTION</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58"/>
        </w:trPr>
        <w:tc>
          <w:tcPr>
            <w:tcW w:w="77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XII - DEFINITIONS</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bl>
    <w:p>
      <w:pPr>
        <w:sectPr>
          <w:pgSz w:w="11900" w:h="16838" w:orient="portrait"/>
          <w:cols w:equalWidth="0" w:num="1">
            <w:col w:w="9019"/>
          </w:cols>
          <w:pgMar w:left="1440" w:top="1440" w:right="1440" w:bottom="1440" w:gutter="0" w:footer="0" w:header="0"/>
        </w:sectPr>
      </w:pPr>
    </w:p>
    <w:bookmarkStart w:id="6" w:name="page7"/>
    <w:bookmarkEnd w:id="6"/>
    <w:p>
      <w:pPr>
        <w:ind w:left="3900"/>
        <w:spacing w:after="0"/>
        <w:rPr>
          <w:sz w:val="20"/>
          <w:szCs w:val="20"/>
          <w:color w:val="auto"/>
        </w:rPr>
      </w:pPr>
      <w:r>
        <w:rPr>
          <w:rFonts w:ascii="Times New Roman" w:cs="Times New Roman" w:eastAsia="Times New Roman" w:hAnsi="Times New Roman"/>
          <w:sz w:val="20"/>
          <w:szCs w:val="20"/>
          <w:b w:val="1"/>
          <w:bCs w:val="1"/>
          <w:color w:val="auto"/>
        </w:rPr>
        <w:t>SECOND AMENDED AND RESTATED</w:t>
      </w:r>
    </w:p>
    <w:p>
      <w:pPr>
        <w:spacing w:after="0" w:line="3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0"/>
          <w:szCs w:val="20"/>
          <w:b w:val="1"/>
          <w:bCs w:val="1"/>
          <w:color w:val="auto"/>
        </w:rPr>
        <w:t>BYLAWS OF</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ARDELYX,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 - CORPORATE OFFICES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 REGISTERED OFFICE.</w:t>
      </w:r>
    </w:p>
    <w:p>
      <w:pPr>
        <w:spacing w:after="0" w:line="229"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The registered office of Ardelyx, Inc. (the “</w:t>
      </w:r>
      <w:r>
        <w:rPr>
          <w:rFonts w:ascii="Times New Roman" w:cs="Times New Roman" w:eastAsia="Times New Roman" w:hAnsi="Times New Roman"/>
          <w:sz w:val="20"/>
          <w:szCs w:val="20"/>
          <w:u w:val="single" w:color="auto"/>
          <w:color w:val="auto"/>
        </w:rPr>
        <w:t>Corporation</w:t>
      </w:r>
      <w:r>
        <w:rPr>
          <w:rFonts w:ascii="Times New Roman" w:cs="Times New Roman" w:eastAsia="Times New Roman" w:hAnsi="Times New Roman"/>
          <w:sz w:val="20"/>
          <w:szCs w:val="20"/>
          <w:color w:val="auto"/>
        </w:rPr>
        <w:t>”) shall be fixed in the Corporation’s certificate of incorporation, as the same may be amended from time to time (the “</w:t>
      </w:r>
      <w:r>
        <w:rPr>
          <w:rFonts w:ascii="Times New Roman" w:cs="Times New Roman" w:eastAsia="Times New Roman" w:hAnsi="Times New Roman"/>
          <w:sz w:val="20"/>
          <w:szCs w:val="20"/>
          <w:u w:val="single" w:color="auto"/>
          <w:color w:val="auto"/>
        </w:rPr>
        <w:t>certificate of incorporation</w:t>
      </w:r>
      <w:r>
        <w:rPr>
          <w:rFonts w:ascii="Times New Roman" w:cs="Times New Roman" w:eastAsia="Times New Roman" w:hAnsi="Times New Roman"/>
          <w:sz w:val="20"/>
          <w:szCs w:val="20"/>
          <w:color w:val="auto"/>
        </w:rPr>
        <w: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 OTHER OFFICES.</w:t>
      </w:r>
    </w:p>
    <w:p>
      <w:pPr>
        <w:spacing w:after="0" w:line="229"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color w:val="auto"/>
        </w:rPr>
        <w:t>The Corporation’s board of directors (the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may at any time establish other offices at any place or places where the Corporation is qualified to do business.</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II - MEETINGS OF STOCKHOLDERS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 PLACE OF MEETINGS.</w:t>
      </w:r>
    </w:p>
    <w:p>
      <w:pPr>
        <w:spacing w:after="0" w:line="21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Meetings of stockholders shall be held at any place, within or outside the State of Delaware, designated by the Board. The Board may, in its sole discretion, determine that a meeting of stockholders shall not be held at any place, but may instead be held solely by means of remote communication as authorized by Section 211(a)(2) of the General Corporation Law of the State of Delaware (the “</w:t>
      </w:r>
      <w:r>
        <w:rPr>
          <w:rFonts w:ascii="Times New Roman" w:cs="Times New Roman" w:eastAsia="Times New Roman" w:hAnsi="Times New Roman"/>
          <w:sz w:val="20"/>
          <w:szCs w:val="20"/>
          <w:u w:val="single" w:color="auto"/>
          <w:color w:val="auto"/>
        </w:rPr>
        <w:t>DGCL</w:t>
      </w:r>
      <w:r>
        <w:rPr>
          <w:rFonts w:ascii="Times New Roman" w:cs="Times New Roman" w:eastAsia="Times New Roman" w:hAnsi="Times New Roman"/>
          <w:sz w:val="20"/>
          <w:szCs w:val="20"/>
          <w:color w:val="auto"/>
        </w:rPr>
        <w:t>”). In the absence of any such designation or determination, stockholders’ meetings shall be held at the Corporation’s principal executive office.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 ANNUAL MEETING.</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The Board shall designate the date and time of the annual meeting. At the annual meeting, directors shall be elected and other proper business properly brought before the meeting in accordance with Section 2.4 of these bylaws may be transacted. The Board may postpone, reschedule or cancel any previously scheduled annual meeting of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 SPECIAL MEETING.</w:t>
      </w:r>
    </w:p>
    <w:p>
      <w:pPr>
        <w:spacing w:after="0" w:line="216" w:lineRule="exact"/>
        <w:rPr>
          <w:sz w:val="20"/>
          <w:szCs w:val="20"/>
          <w:color w:val="auto"/>
        </w:rPr>
      </w:pPr>
    </w:p>
    <w:p>
      <w:pPr>
        <w:ind w:right="1000"/>
        <w:spacing w:after="0" w:line="283" w:lineRule="auto"/>
        <w:rPr>
          <w:sz w:val="20"/>
          <w:szCs w:val="20"/>
          <w:color w:val="auto"/>
        </w:rPr>
      </w:pPr>
      <w:r>
        <w:rPr>
          <w:rFonts w:ascii="Times New Roman" w:cs="Times New Roman" w:eastAsia="Times New Roman" w:hAnsi="Times New Roman"/>
          <w:sz w:val="20"/>
          <w:szCs w:val="20"/>
          <w:color w:val="auto"/>
        </w:rPr>
        <w:t>Special meetings of the stockholders may be called only by such persons and only in such manner as set forth in the certificate of incorporation.</w:t>
      </w:r>
    </w:p>
    <w:p>
      <w:pPr>
        <w:spacing w:after="0" w:line="160"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No business may be transacted at any special meeting of stockholders other than the business specified in the notice for such meeting. The Board may postpone, reschedule or cancel any previously scheduled special meeting of stockholders.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2.4 ADVANCE NOTICE PROCEDURES FOR BUSINESS BROUGHT BEFORE A MEETING.</w:t>
      </w:r>
    </w:p>
    <w:p>
      <w:pPr>
        <w:spacing w:after="0" w:line="216" w:lineRule="exact"/>
        <w:rPr>
          <w:sz w:val="20"/>
          <w:szCs w:val="20"/>
          <w:color w:val="auto"/>
        </w:rPr>
      </w:pPr>
    </w:p>
    <w:p>
      <w:pPr>
        <w:ind w:right="180" w:firstLine="8"/>
        <w:spacing w:after="0" w:line="253" w:lineRule="auto"/>
        <w:tabs>
          <w:tab w:leader="none" w:pos="23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 annual meeting of the stockholders, only such business shall be conducted as shall have been properly brought before the meeting. To be properly brought before an annual meeting, business must be (a) specified in a notice of meeting given by or at the direction of the Board, (b) if not specified in a notice of meeting, otherwise brought before the meeting by or at the direction of the Board, or (c) otherwise properly brought before the meeting by a stockholder present in person who (A)(1) was a record owner of shares of the Corporation both at the time of giving the notice provided for in this Section 2.4 and at the time of the meeting, (2) is entitled to vote at the meeting and (3) has complied with this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09" w:right="339" w:bottom="1440" w:gutter="0" w:footer="0" w:header="0"/>
        </w:sectPr>
      </w:pPr>
    </w:p>
    <w:bookmarkStart w:id="7" w:name="page8"/>
    <w:bookmarkEnd w:id="7"/>
    <w:p>
      <w:pPr>
        <w:spacing w:after="0" w:line="189"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Section 2.4 in all applicable respects, or (B) properly made such proposal in accordance with Rule 14a-8 under the Securities Exchange Act of 1934, as amended, and the rules and regulations promulgated thereunder (as so amended and inclusive of such rules and regulations, the “</w:t>
      </w:r>
      <w:r>
        <w:rPr>
          <w:rFonts w:ascii="Times New Roman" w:cs="Times New Roman" w:eastAsia="Times New Roman" w:hAnsi="Times New Roman"/>
          <w:sz w:val="20"/>
          <w:szCs w:val="20"/>
          <w:u w:val="single" w:color="auto"/>
          <w:color w:val="auto"/>
        </w:rPr>
        <w:t>Exchange Act</w:t>
      </w:r>
      <w:r>
        <w:rPr>
          <w:rFonts w:ascii="Times New Roman" w:cs="Times New Roman" w:eastAsia="Times New Roman" w:hAnsi="Times New Roman"/>
          <w:sz w:val="20"/>
          <w:szCs w:val="20"/>
          <w:color w:val="auto"/>
        </w:rPr>
        <w:t>”). The foregoing clause (c) shall be the exclusive means for a stockholder to propose business to be brought before an annual meeting of the stockholders. The only matters that may be brought before a special meeting are the matters specified in the notice of meeting given by or at the direction of the person calling the meeting pursuant to Section 2.6 of these bylaws, and stockholders shall not be permitted to propose business to be brought before a special meeting of the stockholders. For purposes of this Section 2.4, “present in person” shall mean that the stockholder proposing that the business be brought before the annual meeting of the Corporation, or a qualified representative of such proposing stockholder, appear at such annual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Stockholders seeking to nominate persons for election to the Board must comply with Section 2.5 of these bylaws, and this Section 2.4 shall not be applicable to nominations except as expressly provided in Section 2.5 of these bylaws.</w:t>
      </w:r>
    </w:p>
    <w:p>
      <w:pPr>
        <w:spacing w:after="0" w:line="193" w:lineRule="exact"/>
        <w:rPr>
          <w:sz w:val="20"/>
          <w:szCs w:val="20"/>
          <w:color w:val="auto"/>
        </w:rPr>
      </w:pPr>
    </w:p>
    <w:p>
      <w:pPr>
        <w:ind w:right="20" w:firstLine="8"/>
        <w:spacing w:after="0" w:line="250" w:lineRule="auto"/>
        <w:tabs>
          <w:tab w:leader="none" w:pos="291"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Without qualification, for business to be properly brought before an annual meeting by a stockholder, the stockholder must (a) provide Timely Notice (as defined below) thereof in writing and in proper form to the Secretary of the Corporation and (b) provide any updates or supplements to such notice at the times and in the forms required by this Section 2.4. To be timely, a stockholder’s notice must be delivered to, or mailed and received at, the principal executive offices of the Corporation not less than ninety (90) days nor more than one hundred twenty (120) days prior to the one-year anniversary of the preceding year’s annual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if the date of the annual meeting is more than thirty (30) days before or more than sixty (60) days after such anniversary date, notice by the stockholder to be timely must be so delivered, or mailed and received, not more than the hundred twentieth (120th) day prior to such annual meeting, and not later than the ninetieth (90th) day prior to such annual meeting or, if later, the tenth (10th) day following the day on which public disclosure of the date of such annual meeting was first made by the Corporation (such notice within such time periods, “</w:t>
      </w:r>
      <w:r>
        <w:rPr>
          <w:rFonts w:ascii="Times New Roman" w:cs="Times New Roman" w:eastAsia="Times New Roman" w:hAnsi="Times New Roman"/>
          <w:sz w:val="20"/>
          <w:szCs w:val="20"/>
          <w:u w:val="single" w:color="auto"/>
          <w:color w:val="auto"/>
        </w:rPr>
        <w:t>Timely Notice</w:t>
      </w:r>
      <w:r>
        <w:rPr>
          <w:rFonts w:ascii="Times New Roman" w:cs="Times New Roman" w:eastAsia="Times New Roman" w:hAnsi="Times New Roman"/>
          <w:sz w:val="20"/>
          <w:szCs w:val="20"/>
          <w:color w:val="auto"/>
        </w:rPr>
        <w:t>”). In no event shall any adjournment or postponement of an annual meeting or the announcement thereof commence a new time period for the giving of Timely Notice as described above.</w:t>
      </w:r>
    </w:p>
    <w:p>
      <w:pPr>
        <w:spacing w:after="0" w:line="186"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in proper form for purposes of this Section 2.4, a stockholder’s notice to the Secretary shall set forth:</w:t>
      </w:r>
    </w:p>
    <w:p>
      <w:pPr>
        <w:spacing w:after="0" w:line="229" w:lineRule="exact"/>
        <w:rPr>
          <w:sz w:val="20"/>
          <w:szCs w:val="20"/>
          <w:color w:val="auto"/>
        </w:rPr>
      </w:pPr>
    </w:p>
    <w:p>
      <w:pPr>
        <w:ind w:firstLine="8"/>
        <w:spacing w:after="0" w:line="251" w:lineRule="auto"/>
        <w:tabs>
          <w:tab w:leader="none" w:pos="269"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Proposing Person (as defined below), (A) the name and address of such Proposing Person (including, if applicable, the name and address that appear on the Corporation’s books and records), (B) the class or series and number of shares of the Corporation that are, directly or indirectly, owned of record or beneficially owned (within the meaning of Rule 13d-3 under the Exchange Act) by such Proposing Person, except that such Proposing Person shall in all events be deemed to beneficially own any shares of any class or series of the Corporation as to which such Proposing Person has a right to acquire beneficial ownership at any time in the future, (C) the date or dates such shares were acquired, (D) the investment intent of such acquisition and (E) any pledge by such Proposing Person with respect to any of such shares (the disclosures to be made pursuant to the foregoing clauses (A) through (E) are referred to as “</w:t>
      </w:r>
      <w:r>
        <w:rPr>
          <w:rFonts w:ascii="Times New Roman" w:cs="Times New Roman" w:eastAsia="Times New Roman" w:hAnsi="Times New Roman"/>
          <w:sz w:val="20"/>
          <w:szCs w:val="20"/>
          <w:u w:val="single" w:color="auto"/>
          <w:color w:val="auto"/>
        </w:rPr>
        <w:t>Stockholder Information</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jc w:val="both"/>
        <w:ind w:right="100" w:firstLine="8"/>
        <w:spacing w:after="0" w:line="261" w:lineRule="auto"/>
        <w:tabs>
          <w:tab w:leader="none" w:pos="2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Proposing Person, (A) the material terms and conditions of any “derivative security” (as such term is defined in Rule 16a-1(c) under the Exchange Act) that constitutes a “call equivalent position” (as such term is defined in Rule 16a-1(b) under the Exchange Act) or a “put equivalent</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8" w:name="page9"/>
    <w:bookmarkEnd w:id="8"/>
    <w:p>
      <w:pPr>
        <w:spacing w:after="0" w:line="189"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position” (as such term is defined in Rule 16a-1(h) under the Exchange Act) or other derivative or synthetic arrangement in respect of any class or series of shares of the Corporation (“</w:t>
      </w:r>
      <w:r>
        <w:rPr>
          <w:rFonts w:ascii="Times New Roman" w:cs="Times New Roman" w:eastAsia="Times New Roman" w:hAnsi="Times New Roman"/>
          <w:sz w:val="20"/>
          <w:szCs w:val="20"/>
          <w:u w:val="single" w:color="auto"/>
          <w:color w:val="auto"/>
        </w:rPr>
        <w:t>Synthetic Equity Position</w:t>
      </w:r>
      <w:r>
        <w:rPr>
          <w:rFonts w:ascii="Times New Roman" w:cs="Times New Roman" w:eastAsia="Times New Roman" w:hAnsi="Times New Roman"/>
          <w:sz w:val="20"/>
          <w:szCs w:val="20"/>
          <w:color w:val="auto"/>
        </w:rPr>
        <w:t xml:space="preserve">”) that is, directly or indirectly, held or maintained by, held for the benefit of, or involving such Proposing Person, including, without limitation, (1) any option, warrant, convertible security, stock appreciation right, future or similar right with an exercise or conversion privilege or a settlement payment or mechanism at a price related to any class or series of shares of the Corporation or with a value derived in whole or in part from the value of any class or series of shares of the Corporation, (2) any derivative or synthetic arrangement having the characteristics of a long position or a short position in any class or series of shares of the Corporation, including, without limitation, a stock loan transaction, a stock borrow transaction, or a share repurchase transaction or (3) any contract, derivative, swap or other transaction or series of transactions designed to (x) produce economic benefits and risks that correspond substantially to the ownership of any class or series of shares of the Corporation, (y) mitigate any loss relating to, reduce the economic risk (of ownership or otherwise) of, or manage the risk of share price decrease in, any class or series of shares of the Corporation, or (z) increase or decrease the voting power in respect of any class or series of shares of the Corporation of such Proposing Person, including, without limitation,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thereof may have entered into transactions that hedge or mitigate the economic effect of such instrument, contract or right, or any other direct or indirect opportunity to profit or share in any profit derived from any increase or decrease in the price or value of any class or series of shares of the Corporation;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for the purposes of the definition of “Synthetic Equity Position,” the term “derivative security” shall also include any security or instrument that would not otherwise constitute a “derivative security” as a result of any feature that would make any conversion, exercise or similar right or privilege of such security or instrument becoming determinable only at some future date or upon the happening of a future occurrence, in which case the determination of the amount of securities into which such security or instrument would be convertible or exercisable shall be made assuming that such security or instrument is immediately convertible or exercisable at the time of such determination;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any Proposing Person satisfying the requirements of Rule 13d-1(b)(1) under the Exchange Act (other than a Proposing Person that so satisfies Rule 13d-1(b)(1) under the Exchange Act solely by reason of Rule 13d-1(b)(1)(ii)(E)) shall not be required to disclose any Synthetic Equity Position that is directly or indirectly, held or maintained by, held for the benefit of, or involving such Proposing Person as a hedge with respect to a bona fide derivatives trade or position of such Proposing Person arising in the ordinary course of such Proposing Person’s business as a derivatives dealer, (B) any rights to dividends on the shares of any class or series of shares of the Corporation owned beneficially by such Proposing Person that are separated or separable from the underlying shares of the Corporation, (C) any material pending or threatened legal proceeding in which such Proposing Person is a party or material participant involving the Corporation or any of its officers or directors, or any affiliate of the Corporation, (D) any other material relationship between such Proposing Person, on the one hand, and the Corporation, any affiliate of the Corporation, on the other hand, (E) any direct or indirect material interest in any material contract or agreement of such Proposing Person with the Corporation, any affiliate of the Corporation (including, in any such case, any employment agreement, collective bargaining agreement or consulting agreement), (F) any proportionate interest in shares of the Corporation or a Synthetic Equity Position held, directly or indirectly, by a general or limited partnership, limited liability company or similar entity in which any such Proposing Person (1) is a general partner or, directly or indirectly, beneficially owns an interest in a general partner of such general or limited partnership or (2) is the manager, managing member or, directly or indirectly, beneficially owns an interest in the manager or managing member of such limited liability company or similar entity; (G) a representation that such Proposing Person intends or is part of a group which intends to deliver a proxy statement or form of proxy to holders of at least the percentage of the Corporation’s outstanding capital stock required to approve or</w:t>
      </w: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20"/>
          </w:cols>
          <w:pgMar w:left="320" w:top="1440" w:right="359" w:bottom="1440" w:gutter="0" w:footer="0" w:header="0"/>
        </w:sectPr>
      </w:pPr>
    </w:p>
    <w:bookmarkStart w:id="9" w:name="page10"/>
    <w:bookmarkEnd w:id="9"/>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adopt the proposal or otherwise solicit proxies from stockholders in support of such proposal and (H) any other information relating to such</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Proposing Person that would be required to be disclosed in a proxy statement or other filing required to be made in connection with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solicitations of proxies or consents by such Proposing Person in support of the business proposed to be brought before the meeting pursuant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Section 14(a) of the Exchange Act (the disclosures to be made pursuant to the foregoing clauses (A) through (I) are referred to as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Disclosable Interests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Disclosable Interests shall not include any such disclosures with respect to the ordinary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course business activities of any broker, dealer, commercial bank, trust company or other nominee who is a Proposing Person solely as 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result of being the stockholder directed to prepare and submit the notice required by these bylaws on behalf of a beneficial owner; and</w:t>
      </w:r>
    </w:p>
    <w:p>
      <w:pPr>
        <w:spacing w:after="0" w:line="200" w:lineRule="exact"/>
        <w:rPr>
          <w:sz w:val="20"/>
          <w:szCs w:val="20"/>
          <w:color w:val="auto"/>
        </w:rPr>
      </w:pPr>
    </w:p>
    <w:p>
      <w:pPr>
        <w:ind w:right="40" w:firstLine="8"/>
        <w:spacing w:after="0" w:line="263" w:lineRule="auto"/>
        <w:tabs>
          <w:tab w:leader="none" w:pos="269"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As to each item of business that the stockholder proposes to bring before the annual meeting, (A) a brief description of the business desired to be brought before the annual meeting, the reasons for conducting such business at the annual meeting and any material interest in such business of each Proposing Person, (B) the text of the proposal or business (including the text of any resolutions proposed for consideration and in the event that such business includes a proposal to amend these bylaws, the language of the proposed amendment), (C) a reasonably detailed description of all agreements, arrangements and understandings between or among any of the Proposing Persons or between or among any Proposing Person and any other person or entity (including their names) in connection with the proposal of such business by such stockholder and (D) any other information relating to such item of business that would be required to be disclosed in a proxy statement or other filing required to be made in connection with solicitations of proxies in support of the business proposed to be brought before the meeting pursuant to Section 14(a) of the Exchange Act;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however</w:t>
      </w:r>
      <w:r>
        <w:rPr>
          <w:rFonts w:ascii="Times New Roman" w:cs="Times New Roman" w:eastAsia="Times New Roman" w:hAnsi="Times New Roman"/>
          <w:sz w:val="19"/>
          <w:szCs w:val="19"/>
          <w:color w:val="auto"/>
        </w:rPr>
        <w:t>, that the disclosures required by this paragraph</w:t>
      </w:r>
    </w:p>
    <w:p>
      <w:pPr>
        <w:spacing w:after="0" w:line="7" w:lineRule="exact"/>
        <w:rPr>
          <w:rFonts w:ascii="Times New Roman" w:cs="Times New Roman" w:eastAsia="Times New Roman" w:hAnsi="Times New Roman"/>
          <w:sz w:val="19"/>
          <w:szCs w:val="19"/>
          <w:color w:val="auto"/>
        </w:rPr>
      </w:pPr>
    </w:p>
    <w:p>
      <w:pPr>
        <w:jc w:val="both"/>
        <w:ind w:right="60" w:firstLine="8"/>
        <w:spacing w:after="0" w:line="253" w:lineRule="auto"/>
        <w:tabs>
          <w:tab w:leader="none" w:pos="269"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include any disclosures with respect to any broker, dealer, commercial bank, trust company or other nominee who is a Proposing Person solely as a result of being the stockholder directed to prepare and submit the notice required by these bylaws on behalf of a beneficial owner.</w:t>
      </w:r>
    </w:p>
    <w:p>
      <w:pPr>
        <w:spacing w:after="0" w:line="175" w:lineRule="exact"/>
        <w:rPr>
          <w:sz w:val="20"/>
          <w:szCs w:val="20"/>
          <w:color w:val="auto"/>
        </w:rPr>
      </w:pPr>
    </w:p>
    <w:p>
      <w:pPr>
        <w:ind w:right="100" w:firstLine="8"/>
        <w:spacing w:after="0" w:line="283" w:lineRule="auto"/>
        <w:tabs>
          <w:tab w:leader="none" w:pos="33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request that the Proposing Person furnish such additional information as may be reasonably required by the Board. Such Proposing Person shall provide such additional information within ten (10) days after it has been requested by the Board.</w:t>
      </w:r>
    </w:p>
    <w:p>
      <w:pPr>
        <w:spacing w:after="0" w:line="146" w:lineRule="exact"/>
        <w:rPr>
          <w:rFonts w:ascii="Times New Roman" w:cs="Times New Roman" w:eastAsia="Times New Roman" w:hAnsi="Times New Roman"/>
          <w:sz w:val="20"/>
          <w:szCs w:val="20"/>
          <w:color w:val="auto"/>
        </w:rPr>
      </w:pPr>
    </w:p>
    <w:p>
      <w:pPr>
        <w:ind w:firstLine="8"/>
        <w:spacing w:after="0" w:line="258" w:lineRule="auto"/>
        <w:tabs>
          <w:tab w:leader="none" w:pos="2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2.4, the term “</w:t>
      </w:r>
      <w:r>
        <w:rPr>
          <w:rFonts w:ascii="Times New Roman" w:cs="Times New Roman" w:eastAsia="Times New Roman" w:hAnsi="Times New Roman"/>
          <w:sz w:val="20"/>
          <w:szCs w:val="20"/>
          <w:u w:val="single" w:color="auto"/>
          <w:color w:val="auto"/>
        </w:rPr>
        <w:t>Proposing Person</w:t>
      </w:r>
      <w:r>
        <w:rPr>
          <w:rFonts w:ascii="Times New Roman" w:cs="Times New Roman" w:eastAsia="Times New Roman" w:hAnsi="Times New Roman"/>
          <w:sz w:val="20"/>
          <w:szCs w:val="20"/>
          <w:color w:val="auto"/>
        </w:rPr>
        <w:t>” shall mean (a) the stockholder providing the notice of business proposed to be brought before an annual meeting, (b) the beneficial owner or beneficial owners, if different, on whose behalf the notice of the business proposed to be brought before the annual meeting is made and (c) any participant (as defined in paragraphs (a)(ii)-(vi) of Instruction 3 to Item 4 of Schedule 14A) with such stockholder in such solicitation.</w:t>
      </w:r>
    </w:p>
    <w:p>
      <w:pPr>
        <w:spacing w:after="0" w:line="185" w:lineRule="exact"/>
        <w:rPr>
          <w:rFonts w:ascii="Times New Roman" w:cs="Times New Roman" w:eastAsia="Times New Roman" w:hAnsi="Times New Roman"/>
          <w:sz w:val="20"/>
          <w:szCs w:val="20"/>
          <w:color w:val="auto"/>
        </w:rPr>
      </w:pPr>
    </w:p>
    <w:p>
      <w:pPr>
        <w:ind w:right="20" w:firstLine="8"/>
        <w:spacing w:after="0" w:line="250" w:lineRule="auto"/>
        <w:tabs>
          <w:tab w:leader="none" w:pos="33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Proposing Person shall update and supplement its notice to the Corporation of its intent to propose business at an annual meeting, if necessary, so that the information provided or required to be provided in such notice pursuant to this Section 2.4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w:t>
      </w: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0" w:name="page11"/>
    <w:bookmarkEnd w:id="10"/>
    <w:p>
      <w:pPr>
        <w:spacing w:after="0" w:line="18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0"/>
          <w:szCs w:val="20"/>
          <w:color w:val="auto"/>
        </w:rPr>
        <w:t>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matters, business or resolutions proposed to be brought before a meeting of the stockholders.</w:t>
      </w:r>
    </w:p>
    <w:p>
      <w:pPr>
        <w:spacing w:after="0" w:line="172" w:lineRule="exact"/>
        <w:rPr>
          <w:sz w:val="20"/>
          <w:szCs w:val="20"/>
          <w:color w:val="auto"/>
        </w:rPr>
      </w:pPr>
    </w:p>
    <w:p>
      <w:pPr>
        <w:ind w:right="60" w:firstLine="8"/>
        <w:spacing w:after="0" w:line="258" w:lineRule="auto"/>
        <w:tabs>
          <w:tab w:leader="none" w:pos="39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these bylaws to the contrary, no business shall be conducted at an annual meeting that is not properly brought before the meeting in accordance with this Section 2.4. The presiding officer of the meeting shall, if the facts warrant, determine that the business was not properly brought before the meeting in accordance with this Section 2.4, and if he or she should so determine, he or she shall so declare to the meeting and any such business not properly brought before the meeting shall not be transacted.</w:t>
      </w:r>
    </w:p>
    <w:p>
      <w:pPr>
        <w:spacing w:after="0" w:line="185" w:lineRule="exact"/>
        <w:rPr>
          <w:rFonts w:ascii="Times New Roman" w:cs="Times New Roman" w:eastAsia="Times New Roman" w:hAnsi="Times New Roman"/>
          <w:sz w:val="20"/>
          <w:szCs w:val="20"/>
          <w:color w:val="auto"/>
        </w:rPr>
      </w:pPr>
    </w:p>
    <w:p>
      <w:pPr>
        <w:ind w:firstLine="8"/>
        <w:spacing w:after="0" w:line="253" w:lineRule="auto"/>
        <w:tabs>
          <w:tab w:leader="none" w:pos="44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Section 2.4 is expressly intended to apply to any business proposed to be brought before an annual meeting of stockholders, other than any proposal made in accordance with Rule 14a-8 under the Exchange Act and included in the Corporation’s proxy statement. In addition to the requirements of this Section 2.4 with respect to any business proposed to be brought before an annual meeting, each Proposing Person shall comply with all applicable requirements of the Exchange Act with respect to any such business. Nothing in this Section 2.4 shall be deemed to affect the rights of stockholders to request inclusion of proposals in the Corporation’s proxy statement pursuant to Rule 14a-8 under the Exchange Act.</w:t>
      </w:r>
    </w:p>
    <w:p>
      <w:pPr>
        <w:spacing w:after="0" w:line="178" w:lineRule="exact"/>
        <w:rPr>
          <w:rFonts w:ascii="Times New Roman" w:cs="Times New Roman" w:eastAsia="Times New Roman" w:hAnsi="Times New Roman"/>
          <w:sz w:val="20"/>
          <w:szCs w:val="20"/>
          <w:color w:val="auto"/>
        </w:rPr>
      </w:pPr>
    </w:p>
    <w:p>
      <w:pPr>
        <w:ind w:right="420" w:firstLine="8"/>
        <w:spacing w:after="0" w:line="268" w:lineRule="auto"/>
        <w:tabs>
          <w:tab w:leader="none" w:pos="335"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these bylaws, “</w:t>
      </w:r>
      <w:r>
        <w:rPr>
          <w:rFonts w:ascii="Times New Roman" w:cs="Times New Roman" w:eastAsia="Times New Roman" w:hAnsi="Times New Roman"/>
          <w:sz w:val="20"/>
          <w:szCs w:val="20"/>
          <w:u w:val="single" w:color="auto"/>
          <w:color w:val="auto"/>
        </w:rPr>
        <w:t>public disclosure</w:t>
      </w:r>
      <w:r>
        <w:rPr>
          <w:rFonts w:ascii="Times New Roman" w:cs="Times New Roman" w:eastAsia="Times New Roman" w:hAnsi="Times New Roman"/>
          <w:sz w:val="20"/>
          <w:szCs w:val="20"/>
          <w:color w:val="auto"/>
        </w:rPr>
        <w:t>” shall mean disclosure in a press release reported by a national news service or in a document publicly filed by the Corporation with the Securities and Exchange Commission pursuant to Sections 13, 14 or 15(d) of the Exchange Act.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2.5 ADVANCE NOTICE PROCEDURES FOR NOMINATIONS OF DIRECTORS.</w:t>
      </w:r>
    </w:p>
    <w:p>
      <w:pPr>
        <w:spacing w:after="0" w:line="229" w:lineRule="exact"/>
        <w:rPr>
          <w:sz w:val="20"/>
          <w:szCs w:val="20"/>
          <w:color w:val="auto"/>
        </w:rPr>
      </w:pPr>
    </w:p>
    <w:p>
      <w:pPr>
        <w:ind w:right="20" w:firstLine="8"/>
        <w:spacing w:after="0" w:line="253" w:lineRule="auto"/>
        <w:tabs>
          <w:tab w:leader="none" w:pos="23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Nominations of any person for election to the Board at an annual meeting or at a special meeting (but only if the election of directors is a matter specified in the notice of meeting given by or at the direction of the person calling such special meeting) may be made at such meeting only (a) by or at the direction of the Board, including by any committee or persons authorized to do so by the Board or these bylaws, or (b) by a stockholder present in person who (A) was a record owner of shares of the Corporation both at the time of giving the notice provided for in this Section 2.5 and at the time of the meeting, (B) is entitled to vote at the meeting and (C) has complied with this Section 2.5 of these bylaws as to such notice and nomination.</w:t>
      </w:r>
    </w:p>
    <w:p>
      <w:pPr>
        <w:spacing w:after="0" w:line="17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For purposes of this Section 2.5, “present in person” shall mean that the stockholder nominating any person for election to the Board at the meeting of the Corporation, or a qualified representative of such stockholder, appear at such meeting. A “qualified representative” of such proposing stockholder shall be a duly authorized officer, manager or partner of such stockholder or any other person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The foregoing clause (ii) shall be the exclusive means for a stockholder to make any nomination of a person or persons for election to the Board at an annual meeting or special meeting.</w:t>
      </w:r>
    </w:p>
    <w:p>
      <w:pPr>
        <w:spacing w:after="0" w:line="179" w:lineRule="exact"/>
        <w:rPr>
          <w:sz w:val="20"/>
          <w:szCs w:val="20"/>
          <w:color w:val="auto"/>
        </w:rPr>
      </w:pPr>
    </w:p>
    <w:p>
      <w:pPr>
        <w:jc w:val="both"/>
        <w:ind w:right="40" w:firstLine="8"/>
        <w:spacing w:after="0" w:line="258" w:lineRule="auto"/>
        <w:tabs>
          <w:tab w:leader="none" w:pos="291"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qualification, for a stockholder to make any nomination of a person or persons for election to the Board at an annual meeting, the stockholder must (a) provide Timely Notice (as defined in Section 2.4 of these bylaws) thereof in writing and in proper form to the Secretary of the Corporation, (b) provide the information, agreements and questionnaires with respect to such stockholder and its proposed nominee as required by this Section 2.5, and (c) provide any updates or supplements to such notice at the times and in</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11" w:name="page12"/>
    <w:bookmarkEnd w:id="11"/>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forms required by this Section 2.5.</w:t>
      </w:r>
    </w:p>
    <w:p>
      <w:pPr>
        <w:spacing w:after="0" w:line="22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Without qualification, if the election of directors is a matter specified in the notice of meeting given by or at the direction of the person calling a special meeting, then for a stockholder to make any nomination of a person or persons for election to the Board at a special meeting, the stockholder must (a) provide timely notice thereof in writing and in proper form to the Secretary of the Corporation at the principal executive offices of the Corporation, (b) provide the information with respect to such stockholder and its proposed nominee as required by this Section 2.5, and (c) provide any updates or supplements to such notice at the times and in the forms required by this Section 2.5. To be timely, a stockholder’s notice for nominations to be made at a special meeting must be delivered to, or mailed and received at, the principal executive offices of the Corporation not earlier than the one hundred twentieth (120th) day prior to such special meeting and not later than the ninetieth (90th) day prior to such special meeting or, if later, the tenth (10th) day following the day on which public disclosure (as defined in Section 2.4 of these bylaws) of the date of such special meeting was first made.</w:t>
      </w:r>
    </w:p>
    <w:p>
      <w:pPr>
        <w:spacing w:after="0" w:line="193"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In no event shall any adjournment or postponement of an annual meeting or special meeting or the announcement thereof commence a new time period for the giving of a stockholder’s notice as described above.</w:t>
      </w:r>
    </w:p>
    <w:p>
      <w:pPr>
        <w:spacing w:after="0" w:line="146" w:lineRule="exact"/>
        <w:rPr>
          <w:sz w:val="20"/>
          <w:szCs w:val="20"/>
          <w:color w:val="auto"/>
        </w:rPr>
      </w:pPr>
    </w:p>
    <w:p>
      <w:pPr>
        <w:ind w:right="180" w:firstLine="8"/>
        <w:spacing w:after="0" w:line="257" w:lineRule="auto"/>
        <w:tabs>
          <w:tab w:leader="none" w:pos="346"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no event may a Nominating Person provide Timely Notice with respect to a greater number of director candidates than are subject to election by stockholders at the applicable meeting. If the Corporation shall, subsequent to such notice, increase the number of directors subject to election at the meeting, such notice as to any additional nominees shall be due on the later of (i) the conclusion of the time period for Timely Notice, (ii) the date set forth in Section 2.5(ii) or the tenth day following the date of public disclosure (as defined in Section 2.4) of such increase.</w:t>
      </w:r>
    </w:p>
    <w:p>
      <w:pPr>
        <w:spacing w:after="0" w:line="17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in proper form for purposes of this Section 2.5, a stockholder’s notice to the Secretary shall set forth:</w:t>
      </w:r>
    </w:p>
    <w:p>
      <w:pPr>
        <w:spacing w:after="0" w:line="229" w:lineRule="exact"/>
        <w:rPr>
          <w:sz w:val="20"/>
          <w:szCs w:val="20"/>
          <w:color w:val="auto"/>
        </w:rPr>
      </w:pPr>
    </w:p>
    <w:p>
      <w:pPr>
        <w:ind w:right="180" w:firstLine="8"/>
        <w:spacing w:after="0" w:line="261" w:lineRule="auto"/>
        <w:tabs>
          <w:tab w:leader="none" w:pos="269"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Nominating Person (as defined below), the Stockholder Information (as defined in Section 2.4(iii)(a) of these bylaws) except that for purposes of this Section 2.5, the term “Nominating Person” shall be substituted for the term “Proposing Person” in all places it appears in Section 2.4(iii)(a);</w:t>
      </w:r>
    </w:p>
    <w:p>
      <w:pPr>
        <w:spacing w:after="0" w:line="167" w:lineRule="exact"/>
        <w:rPr>
          <w:rFonts w:ascii="Times New Roman" w:cs="Times New Roman" w:eastAsia="Times New Roman" w:hAnsi="Times New Roman"/>
          <w:sz w:val="20"/>
          <w:szCs w:val="20"/>
          <w:color w:val="auto"/>
        </w:rPr>
      </w:pPr>
    </w:p>
    <w:p>
      <w:pPr>
        <w:ind w:right="80" w:firstLine="8"/>
        <w:spacing w:after="0" w:line="253" w:lineRule="auto"/>
        <w:tabs>
          <w:tab w:leader="none" w:pos="2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Nominating Person, any Disclosable Interests (as defined in Section 2.4(iii)(b), except that for purposes of this Section 2.5 the term “Nominating Person” shall be substituted for the term “Proposing Person” in all places it appears in Section 2.4(iii)(b) and the disclosure with respect to the business to be brought before the meeting in Section 2.4(iii)(b) shall be made with respect to the election of directors at the meeting) and provided that, in lieu of including the information set forth in Section 2.4(c)(ii)(G), the Nominating Person’s notice for purposes of this Section 2.5 shall include a representation as to whether the Nominating Person intends or is part of a group which intends to deliver a proxy statement and solicit the holders of shares representing at least 67% of the voting power of shares entitled to vote on the election of directors in support of director nominees other than the Corporation’s nominees in accordance with Rule 14a-19 promulgated under the Exchange Act; and</w:t>
      </w:r>
    </w:p>
    <w:p>
      <w:pPr>
        <w:spacing w:after="0" w:line="180"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person whom a Nominating Person proposes to nominate for election as a director, (A) all information with respect to such</w:t>
      </w:r>
    </w:p>
    <w:p>
      <w:pPr>
        <w:spacing w:after="0" w:line="28" w:lineRule="exact"/>
        <w:rPr>
          <w:rFonts w:ascii="Times New Roman" w:cs="Times New Roman" w:eastAsia="Times New Roman" w:hAnsi="Times New Roman"/>
          <w:sz w:val="20"/>
          <w:szCs w:val="20"/>
          <w:color w:val="auto"/>
        </w:rPr>
      </w:pPr>
    </w:p>
    <w:p>
      <w:pPr>
        <w:ind w:right="80"/>
        <w:spacing w:after="0" w:line="266"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proposed nominee that would be required to be set forth in a stockholder’s notice pursuant to this Section 2.5 if such proposed nominee were a Nominating Person, (B) all information relating to such proposed nominee that is required to be disclosed in a proxy statement or other filings required to be made in connection with solicitations of proxies for election of directors in a contested election pursuant to Section 14(a) under the Exchange Act (including such proposed nominee’s written consent to being named in the proxy statement as a nominee and to serving as a director if elected), (C) a description of any direct or indirect material interest in any material contract or agreement</w:t>
      </w: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12" w:name="page13"/>
    <w:bookmarkEnd w:id="12"/>
    <w:p>
      <w:pPr>
        <w:spacing w:after="0" w:line="189"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between or among any Nominating Person, on the one hand, and each proposed nominee or his or her respective associates or any other participants in such solicitation, on the other hand, including, without limitation, all information that would be required to be disclosed pursuant to Item 404 under Regulation S-K if such Nominating Person were the “registrant” for purposes of such rule and the proposed nominee were a director or executive officer of such registrant (the disclosures to be made pursuant to the foregoing clauses (A) through (C) are referred to as “</w:t>
      </w:r>
      <w:r>
        <w:rPr>
          <w:rFonts w:ascii="Times New Roman" w:cs="Times New Roman" w:eastAsia="Times New Roman" w:hAnsi="Times New Roman"/>
          <w:sz w:val="20"/>
          <w:szCs w:val="20"/>
          <w:u w:val="single" w:color="auto"/>
          <w:color w:val="auto"/>
        </w:rPr>
        <w:t>Nominee Information</w:t>
      </w:r>
      <w:r>
        <w:rPr>
          <w:rFonts w:ascii="Times New Roman" w:cs="Times New Roman" w:eastAsia="Times New Roman" w:hAnsi="Times New Roman"/>
          <w:sz w:val="20"/>
          <w:szCs w:val="20"/>
          <w:color w:val="auto"/>
        </w:rPr>
        <w:t>”), and (D) a completed and signed questionnaire, representation and agreement as provided in Section 2.5(vi); and</w:t>
      </w:r>
    </w:p>
    <w:p>
      <w:pPr>
        <w:spacing w:after="0" w:line="192" w:lineRule="exact"/>
        <w:rPr>
          <w:sz w:val="20"/>
          <w:szCs w:val="20"/>
          <w:color w:val="auto"/>
        </w:rPr>
      </w:pPr>
    </w:p>
    <w:p>
      <w:pPr>
        <w:ind w:right="420" w:firstLine="8"/>
        <w:spacing w:after="0" w:line="295" w:lineRule="auto"/>
        <w:tabs>
          <w:tab w:leader="none" w:pos="280"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may request that any Nominating Person furnish such additional information as may be reasonably required by the Board. Such Nominating Person shall provide such additional information within ten (10) days after it has been requested by the Board.</w:t>
      </w:r>
    </w:p>
    <w:p>
      <w:pPr>
        <w:spacing w:after="0" w:line="151" w:lineRule="exact"/>
        <w:rPr>
          <w:sz w:val="20"/>
          <w:szCs w:val="20"/>
          <w:color w:val="auto"/>
        </w:rPr>
      </w:pPr>
    </w:p>
    <w:p>
      <w:pPr>
        <w:ind w:right="140" w:firstLine="8"/>
        <w:spacing w:after="0" w:line="258" w:lineRule="auto"/>
        <w:tabs>
          <w:tab w:leader="none" w:pos="28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Section 2.5, the term “</w:t>
      </w:r>
      <w:r>
        <w:rPr>
          <w:rFonts w:ascii="Times New Roman" w:cs="Times New Roman" w:eastAsia="Times New Roman" w:hAnsi="Times New Roman"/>
          <w:sz w:val="20"/>
          <w:szCs w:val="20"/>
          <w:u w:val="single" w:color="auto"/>
          <w:color w:val="auto"/>
        </w:rPr>
        <w:t>Nominating Person</w:t>
      </w:r>
      <w:r>
        <w:rPr>
          <w:rFonts w:ascii="Times New Roman" w:cs="Times New Roman" w:eastAsia="Times New Roman" w:hAnsi="Times New Roman"/>
          <w:sz w:val="20"/>
          <w:szCs w:val="20"/>
          <w:color w:val="auto"/>
        </w:rPr>
        <w:t>” shall mean (a) the stockholder providing the notice of the nomination proposed to be made at the meeting, (b) the beneficial owner or beneficial owners, if different, on whose behalf the notice of the nomination proposed to be made at the meeting is made and (c) any participant (as defined in paragraphs (a)(ii)-(vi) of Instruction 3 to Item 4 of Schedule 14A) with such stockholder in such solicitation.</w:t>
      </w:r>
    </w:p>
    <w:p>
      <w:pPr>
        <w:spacing w:after="0" w:line="172" w:lineRule="exact"/>
        <w:rPr>
          <w:rFonts w:ascii="Times New Roman" w:cs="Times New Roman" w:eastAsia="Times New Roman" w:hAnsi="Times New Roman"/>
          <w:sz w:val="20"/>
          <w:szCs w:val="20"/>
          <w:color w:val="auto"/>
        </w:rPr>
      </w:pPr>
    </w:p>
    <w:p>
      <w:pPr>
        <w:ind w:right="20" w:firstLine="8"/>
        <w:spacing w:after="0" w:line="251" w:lineRule="auto"/>
        <w:tabs>
          <w:tab w:leader="none" w:pos="335"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stockholder providing notice of any nomination proposed to be made at a meeting shall further update and supplement such notice, if necessary, so that the information provided or required to be provided in such notice pursuant to this Section 2.5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 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nomination.</w:t>
      </w:r>
    </w:p>
    <w:p>
      <w:pPr>
        <w:spacing w:after="0" w:line="178" w:lineRule="exact"/>
        <w:rPr>
          <w:rFonts w:ascii="Times New Roman" w:cs="Times New Roman" w:eastAsia="Times New Roman" w:hAnsi="Times New Roman"/>
          <w:sz w:val="20"/>
          <w:szCs w:val="20"/>
          <w:color w:val="auto"/>
        </w:rPr>
      </w:pPr>
    </w:p>
    <w:p>
      <w:pPr>
        <w:ind w:firstLine="8"/>
        <w:spacing w:after="0" w:line="251" w:lineRule="auto"/>
        <w:tabs>
          <w:tab w:leader="none" w:pos="39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requirements of this Section 2.5 with respect to any nomination proposed to be made at a meeting, each Nominating Person shall comply with all applicable requirements of the Exchange Act with respect to any such nominations. Notwithstanding the foregoing provisions of this Section 2.5, unless otherwise required by law, (i) no Nominating Person shall solicit proxies in support of director nominees other than the Corporation’s nominees unless such Nominating Person has complied with Rule 14a-19 promulgated under the Exchange Act in connection with the solicitation of such proxies, including the provision to the Corporation of notices required thereunder in a timely manner and (ii) if any Nominating Person (1) provides notice pursuant to Rule 14a-19(b) promulgated under the Exchange Act and (2) subsequently fails to comply with the requirements of Rule 14a-19(a)(2) or Rule 14a-19(a)(3) promulgated under the Exchange Act, including the provision to the Corporation of notices required thereunder in a timely manner, or fails to timely provide reasonable evidence sufficient to satisfy the Corporation that such Nominating Person has met the requirements of Rule 14a-19(a)(3) promulgated under the Exchange Act in accordance with the following sentence, then the nomination of each such proposed nominee shall be disregarded, notwithstanding that the nominee is included as a nominee in the Corporation’s proxy statement, notice of meeting or other proxy materials for any annual meeting (or any</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13" w:name="page14"/>
    <w:bookmarkEnd w:id="13"/>
    <w:p>
      <w:pPr>
        <w:spacing w:after="0" w:line="189"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9"/>
          <w:szCs w:val="19"/>
          <w:color w:val="auto"/>
        </w:rPr>
        <w:t>supplement thereto) and notwithstanding that proxies or votes in respect of the election of such proposed nominees may have been received by the Corporation (which proxies and votes shall be disregarded). If any Nominating Person provides notice pursuant to Rule 14a-19(b) promulgated under the Exchange Act, such Nominating Person shall deliver to the Corporation, no later than seven (7) business days prior to the applicable meeting, reasonable evidence that it has met the requirements of Rule 14a-19(a)(3) promulgated under the Exchange Act.</w:t>
      </w:r>
    </w:p>
    <w:p>
      <w:pPr>
        <w:spacing w:after="0" w:line="156" w:lineRule="exact"/>
        <w:rPr>
          <w:sz w:val="20"/>
          <w:szCs w:val="20"/>
          <w:color w:val="auto"/>
        </w:rPr>
      </w:pPr>
    </w:p>
    <w:p>
      <w:pPr>
        <w:ind w:right="20" w:firstLine="8"/>
        <w:spacing w:after="0" w:line="263" w:lineRule="auto"/>
        <w:tabs>
          <w:tab w:leader="none" w:pos="445"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be eligible to be a nominee for election as a director of the Corporation at an annual or special meeting, the proposed nominee must be nominated in the manner prescribed in this Section 2.5 and the nominee must have previously delivered (in accordance with the time period prescribed for delivery in a notice to such proposed nominee given by or on behalf of the Board), to the Secretary at the principal executive offices of the Corporation, (a) a completed written questionnaire (in a form provided by the Corporation upon request of any stockholder of record therefor) with respect to the background, qualifications, stock ownership and independence of such proposed nominee and (b) a written representation and agreement (in form provided by the Corporation upon request of any stockholder of record therefor) that such proposed nominee (A) is not and, if elected as a director during his or her term of office, will not become a party to (1) any agreement, arrangement or understanding with, and has not given and will not give any commitment or assurance to, any person or entity as to how such proposed nominee, if elected as a director of the Corporation, will act or vote on any issue or question (a “</w:t>
      </w:r>
      <w:r>
        <w:rPr>
          <w:rFonts w:ascii="Times New Roman" w:cs="Times New Roman" w:eastAsia="Times New Roman" w:hAnsi="Times New Roman"/>
          <w:sz w:val="19"/>
          <w:szCs w:val="19"/>
          <w:u w:val="single" w:color="auto"/>
          <w:color w:val="auto"/>
        </w:rPr>
        <w:t>Voting Commitment</w:t>
      </w:r>
      <w:r>
        <w:rPr>
          <w:rFonts w:ascii="Times New Roman" w:cs="Times New Roman" w:eastAsia="Times New Roman" w:hAnsi="Times New Roman"/>
          <w:sz w:val="19"/>
          <w:szCs w:val="19"/>
          <w:color w:val="auto"/>
        </w:rPr>
        <w:t>”) or (2) any Voting Commitment that could limit or interfere with such proposed nominee’s ability to comply, if elected as a director of the Corporation, with such proposed nominee’s fiduciary duties under applicable law, (B) is not, and will not become a party to, any agreement, arrangement or understanding with any person or entity other than the Corporation with respect to any direct or indirect compensation or reimbursement for service as a director that has not been disclosed therein, and (C) if elected as a director of the Corporation, will comply with all applicable corporate governance, conflict of interest, confidentiality, stock ownership and trading and other policies and guidelines of the Corporation applicable to directors and in effect during such person’s term in office as a director (and, if requested by any proposed nominee, the Secretary of the Corporation shall provide to such proposed nominee all such policies and guidelines then in effect).</w:t>
      </w:r>
    </w:p>
    <w:p>
      <w:pPr>
        <w:spacing w:after="0" w:line="192" w:lineRule="exact"/>
        <w:rPr>
          <w:rFonts w:ascii="Times New Roman" w:cs="Times New Roman" w:eastAsia="Times New Roman" w:hAnsi="Times New Roman"/>
          <w:sz w:val="19"/>
          <w:szCs w:val="19"/>
          <w:color w:val="auto"/>
        </w:rPr>
      </w:pPr>
    </w:p>
    <w:p>
      <w:pPr>
        <w:ind w:firstLine="8"/>
        <w:spacing w:after="0" w:line="251" w:lineRule="auto"/>
        <w:tabs>
          <w:tab w:leader="none" w:pos="335"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also require any proposed candidate for nomination as a director to furnish such other information as may reasonably be requested by the Board in writing prior to the meeting of stockholders at which such candidate’s nomination is to be acted upon in order for the Board to determine the eligibility of such candidate for nomination to be an independent director of the Corporation or to comply with the director qualification standards and additional selection criteria in accordance with the Corporation’s Corporate Governance Guidelines. Such other information shall be delivered to, or mailed and received by, the Secretary at the principal executive offices of the Corporation (or any other office specified by the Corporation in any public announcement) not later than five (5) business days after the request by the Board has been delivered to, or mailed and received by, the Nominating Person.</w:t>
      </w:r>
    </w:p>
    <w:p>
      <w:pPr>
        <w:spacing w:after="0" w:line="192" w:lineRule="exact"/>
        <w:rPr>
          <w:rFonts w:ascii="Times New Roman" w:cs="Times New Roman" w:eastAsia="Times New Roman" w:hAnsi="Times New Roman"/>
          <w:sz w:val="20"/>
          <w:szCs w:val="20"/>
          <w:color w:val="auto"/>
        </w:rPr>
      </w:pPr>
    </w:p>
    <w:p>
      <w:pPr>
        <w:ind w:right="60" w:firstLine="8"/>
        <w:spacing w:after="0" w:line="252" w:lineRule="auto"/>
        <w:tabs>
          <w:tab w:leader="none" w:pos="2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candidate for nomination as a director shall further update and supplement the materials delivered pursuant to this Section 2.6, if necessary, so that the information provided or required to be provided pursuant to this Section 2.6 shall be true and correct as of the record date for stockholders entitled to vote at the meeting and as of the date that is ten (10) business days prior to the meeting or any adjournment or postponement thereof, and such update and supplement shall be delivered to, or mailed and received by, the Secretary at the principal executive offices of the Corporation (or any other office specified by the Corporation in any public announcement) not later than five (5) business days after the record date for stockholders entitled to vote at the meeting (in the case of the update and supplement required to be made as of such record date), and not later than eight (8) business days prior to the date for the meeting or, if practicable, any adjournment or postponement thereof (and, if not practicable, on the first practicable date prior to the date to which the meeting has been adjourned or postponed) (in the case of the update and</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supplement required to be made as of ten (10) business days prior to the meeting or any adjournment or postponement thereof). For the avoidance of doubt,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nomination or to submit any new proposal, including by changing or adding nominees, matters, business or resolutions proposed to be brought before a meeting of the stockholders.</w:t>
      </w:r>
    </w:p>
    <w:p>
      <w:pPr>
        <w:spacing w:after="0" w:line="192" w:lineRule="exact"/>
        <w:rPr>
          <w:sz w:val="20"/>
          <w:szCs w:val="20"/>
          <w:color w:val="auto"/>
        </w:rPr>
      </w:pPr>
    </w:p>
    <w:p>
      <w:pPr>
        <w:ind w:firstLine="8"/>
        <w:spacing w:after="0" w:line="253" w:lineRule="auto"/>
        <w:tabs>
          <w:tab w:leader="none" w:pos="335"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proposed nominee shall be eligible for nomination as a director of the Corporation unless such proposed nominee and the Nominating Person seeking to place such proposed nominee’s name in nomination have complied with this Section 2.5, as applicable. The presiding officer at the meeting shall, if the facts warrant, determine that a nomination was not properly made in accordance with this Section 2.5, and if he or she should so determine, he or she shall so declare such determination to the meeting, the defective nomination shall be disregarded and any ballots cast for the proposed nominee in question (but in the case of any form of ballot listing other qualified nominees, only the ballots cast for the nominee in question) shall be void and of no force or effect.</w:t>
      </w:r>
    </w:p>
    <w:p>
      <w:pPr>
        <w:spacing w:after="0" w:line="178" w:lineRule="exact"/>
        <w:rPr>
          <w:rFonts w:ascii="Times New Roman" w:cs="Times New Roman" w:eastAsia="Times New Roman" w:hAnsi="Times New Roman"/>
          <w:sz w:val="20"/>
          <w:szCs w:val="20"/>
          <w:color w:val="auto"/>
        </w:rPr>
      </w:pPr>
    </w:p>
    <w:p>
      <w:pPr>
        <w:ind w:right="180" w:firstLine="8"/>
        <w:spacing w:after="0" w:line="283" w:lineRule="auto"/>
        <w:tabs>
          <w:tab w:leader="none" w:pos="39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these bylaws to the contrary, no candidate for nomination shall be eligible to be seated as a director of the Corporation unless nominated and elected in accordance with this Section 2.5.</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 NOTICE OF STOCKHOLDERS’ MEETINGS.</w:t>
      </w:r>
    </w:p>
    <w:p>
      <w:pPr>
        <w:spacing w:after="0" w:line="22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Unless otherwise provided by law, the certificate of incorporation or these bylaws, the notice of any meeting of stockholders shall be sent or otherwise given in accordance with Section 8.1 of these bylaws not less than ten (10) nor more than sixty (60) days before the date of the meeting to each stockholder entitled to vote at such meeting. The notice shall specify the place, if any, date and time of the meeting, the means of remote communication, if any, by which stockholders and proxy holders may be deemed to be present in person and vote at such meeting, and, in the case of a special meeting, the purpose or purposes for which the meeting is called.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 QUORUM.</w:t>
      </w:r>
    </w:p>
    <w:p>
      <w:pPr>
        <w:spacing w:after="0" w:line="21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Unless otherwise provided by law, the certificate of incorporation or these bylaws, the holders of a majority in voting power of the stock issued and outstanding and entitled to vote, present in person, or by remote communication, if applicable, or represented by proxy, shall constitute a quorum for the transaction of business at all meetings of the stockholders. A quorum, once established at a meeting, shall not be broken by the withdrawal of enough votes to leave less than a quorum. If, however, a quorum is not present or represented at any meeting of the stockholders, then either (i) the chairperson of the meeting or (ii) a majority in voting power of the stockholders entitled to vote at the meeting, present in person, or by remote communication, if applicable, or represented by proxy, shall have power to recess the meeting or adjourn the meeting from time to time in the manner provided in Section 2.8 of these bylaws until a quorum is present or represented. At any such recessed or adjourned meeting at which a quorum is present or represented, any business may be transacted that might have been transacted at the meeting as originally noticed.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 ADJOURNED MEETING; NOTICE.</w:t>
      </w:r>
    </w:p>
    <w:p>
      <w:pPr>
        <w:spacing w:after="0" w:line="21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20"/>
          <w:szCs w:val="20"/>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or</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15" w:name="page16"/>
    <w:bookmarkEnd w:id="15"/>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are provided in any other manner permitted by the DGCL. At any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meeting as of the record date so fixed for notice of such adjourned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2.9 CONDUCT OF BUSINESS.</w:t>
      </w:r>
    </w:p>
    <w:p>
      <w:pPr>
        <w:spacing w:after="0" w:line="229"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The chairperson of any meeting of stockholders shall determine the order of business and the procedure at the meeting, including such regulation of the manner of voting and the conduct of business.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2.10 VOTING.</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20"/>
          <w:szCs w:val="20"/>
          <w:color w:val="auto"/>
        </w:rPr>
        <w:t>The stockholders entitled to vote at any meeting of stockholders shall be determined in accordance with the provisions of Section 2.12 of these bylaws, subject to Section 217 (relating to voting rights of fiduciaries, pledgors and joint owners of stock) and Section 218 (relating to voting trusts and other voting agreements) of the DGCL.</w:t>
      </w:r>
    </w:p>
    <w:p>
      <w:pPr>
        <w:spacing w:after="0" w:line="168"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20"/>
          <w:szCs w:val="20"/>
          <w:color w:val="auto"/>
        </w:rPr>
        <w:t>Except as may be otherwise provided in the DGCL, the certificate of incorporation or these bylaws, each stockholder shall be entitled to one (1) vote for each share of capital stock held by such stockholder.</w:t>
      </w:r>
    </w:p>
    <w:p>
      <w:pPr>
        <w:spacing w:after="0" w:line="160"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Except as otherwise may be provided by the certificate of incorporation, at all duly called or convened meetings of stockholders, at which a quorum is present, for the election of directors, a plurality of the votes cast shall be sufficient to elect a director. Except as otherwise provided by the certificate of incorporation, these bylaws, the rules or regulations of any stock exchange applicable to the Corporation, or applicable law or pursuant to any regulation applicable to the Corporation or its securities, all other elections and questions presented to the stockholders at a duly called or convened meeting, at which a quorum is present, shall be decided by the affirmative vote of holders of a majority in voting power of the votes cast (excluding abstentions and broker non-votes) on such matter.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2.11 STOCKHOLDER ACTION BY WRITTEN CONSENT WITHOUT A MEETING.</w:t>
      </w:r>
    </w:p>
    <w:p>
      <w:pPr>
        <w:spacing w:after="0" w:line="229"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20"/>
          <w:szCs w:val="20"/>
          <w:color w:val="auto"/>
        </w:rPr>
        <w:t>Subject to the rights of the holders of the shares of any series of Preferred Stock or any other class of stock or series thereof having a preference over the Common Stock as to dividends or upon liquidation, and except as otherwise provided in the certificate of incorporation,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2.12 RECORD DATE FOR STOCKHOLDER NOTICE; VOTING; GIVING CONSENTS.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order that the Corporation may determine the stockholders entitled to notice of or to vote at any meeting of stockholders or any adjournment thereof, the Board may fix, in advance, a record date, which record date shall not precede the date on which the resolution fixing the record date is adopted and which shall, unless otherwise required by law, not be more than sixty (60) days nor less than ten (10) days before the date of such meeting.</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16" w:name="page17"/>
    <w:bookmarkEnd w:id="16"/>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w:t>
      </w:r>
    </w:p>
    <w:p>
      <w:pPr>
        <w:spacing w:after="0" w:line="18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20"/>
          <w:szCs w:val="20"/>
          <w:color w:val="auto"/>
        </w:rPr>
        <w:t>If the Board does not so fix a record date, the record date for determining stockholders entitled to notice of or to vote at a meeting of stockholders shall be at the close of business on the next day preceding the day on which notice is first given, or, if notice is waived, at the close of business on the day next preceding the day on which the meeting is held.</w:t>
      </w:r>
    </w:p>
    <w:p>
      <w:pPr>
        <w:spacing w:after="0" w:line="1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8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In order that the Corporation may determine the stockholders entitled to receive payment of any dividend or other distribution or allotment or any rights or the stockholders entitled to exercise any rights in respect of any change, conversion or exchange of capital stock, or for the purposes of any other lawful action, the Board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adopts the resolution relating thereto.</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2.13 PROXIES.</w:t>
      </w:r>
    </w:p>
    <w:p>
      <w:pPr>
        <w:spacing w:after="0" w:line="21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Each stockholder entitled to vote at a meeting of stockholders may authorize another person or persons to act for such stockholder by proxy authorized by an instrument in writing or by a transmission permitted by law, including Rule 14a-19 promulgated under the Securities Exchange Act of 1934, as amended, filed in accordance with the procedure established for the meeting, but no such proxy shall be voted or acted upon after three (3) years from its date, unless the proxy provides for a longer period. The revocability of a proxy that states on its face that it is irrevocable shall be governed by the provisions of Section 212 of the DGCL. A proxy may be in the form of an electronic transmission which sets forth or is submitted with information from which it can be determined that the transmission was authorized by the stockholder. Any stockholder directly or indirectly soliciting proxies from other stockholders must use a proxy card color other than white, which shall be reserved for the exclusive use by the Board.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2.14 LIST OF STOCKHOLDERS ENTITLED TO VOTE.</w:t>
      </w:r>
    </w:p>
    <w:p>
      <w:pPr>
        <w:spacing w:after="0" w:line="21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The Corporation shall prepare and make, at least ten (10) days before each meeting of stockholders, a complete list of the stockholders entitled to vote at the meeting (provided, however, that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The Corporation shall not be required to include electronic mail addresses or other electronic contact information on such list. Such list shall be open to the examination of any stockholder, for any purpose germane to the meeting for a period of at least ten (10) days ending on the day before the meeting: (i) on a reasonably accessible electronic network, provided that the information required to gain access to such list is provided with the notice of the meeting, or (ii) during ordinary business hours, at the Corporation’s principal executive office. In the event that the Corporation determines to make the list available on an electronic network, the Corporation may take reasonable steps to ensure that such information is available only to stockholders of the Corporation. Such list shall</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40" w:right="359" w:bottom="1440" w:gutter="0" w:footer="0" w:header="0"/>
        </w:sectPr>
      </w:pPr>
    </w:p>
    <w:bookmarkStart w:id="17" w:name="page18"/>
    <w:bookmarkEnd w:id="17"/>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presumptively determine the identity of the stockholders entitled to vote at the meeting and the number of shares held by each of them. Except as otherwise provided by law, the stock ledger shall be the only evidence as to who are the stockholders entitled to examine the list of stockholders required by this Section 2.14 or to vote in person or by proxy at any meeting of stockholders.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2.15 INSPECTORS OF ELECTION.</w:t>
      </w:r>
    </w:p>
    <w:p>
      <w:pPr>
        <w:spacing w:after="0" w:line="216"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20"/>
          <w:szCs w:val="20"/>
          <w:color w:val="auto"/>
        </w:rPr>
        <w:t>Before any meeting of stockholders, the Corporation shall appoint an inspector or inspectors of election to act at the meeting or its adjournment and make a written report thereof. The Corporation may designate one or more persons as alternate inspectors to replace any inspector who fails to act. If any person appointed as inspector fails to appear or fails or refuses to act, then the chairperson of the meeting shall appoint a person to fill that vacancy.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Such inspectors shall:</w:t>
      </w:r>
    </w:p>
    <w:p>
      <w:pPr>
        <w:spacing w:after="0" w:line="216"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ascertain the number of shares outstanding and the voting power of each;</w:t>
      </w:r>
    </w:p>
    <w:p>
      <w:pPr>
        <w:spacing w:after="0" w:line="229"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shares represented at the meeting and the validity of proxies and ballots;</w:t>
      </w:r>
    </w:p>
    <w:p>
      <w:pPr>
        <w:spacing w:after="0" w:line="22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 all votes and ballots;</w:t>
      </w:r>
    </w:p>
    <w:p>
      <w:pPr>
        <w:spacing w:after="0" w:line="21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 and retain for a reasonable period a record of the disposition of any challenges made to any determination by the inspector(s);</w:t>
      </w:r>
    </w:p>
    <w:p>
      <w:pPr>
        <w:spacing w:after="0" w:line="240" w:lineRule="exact"/>
        <w:rPr>
          <w:rFonts w:ascii="Times New Roman" w:cs="Times New Roman" w:eastAsia="Times New Roman" w:hAnsi="Times New Roman"/>
          <w:sz w:val="19"/>
          <w:szCs w:val="19"/>
          <w:color w:val="auto"/>
        </w:rPr>
      </w:pPr>
    </w:p>
    <w:p>
      <w:pPr>
        <w:ind w:left="280" w:hanging="272"/>
        <w:spacing w:after="0"/>
        <w:tabs>
          <w:tab w:leader="none" w:pos="2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certify its or their determination of the number of shares represented at the meeting and its or their count of all votes and ballots; and</w:t>
      </w:r>
    </w:p>
    <w:p>
      <w:pPr>
        <w:spacing w:after="0" w:line="21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any other acts that may be proper to conduct the election or vote with fairness to all stockholders.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inspectors of election, before entering upon the discharge of the duties of inspector, shall take and sign an oath faithfully to execute the duties of inspection with strict impartiality and according to the best of such inspector’s ability. Any report or certificate made by the inspectors of election is prima facie evidence of the facts stated therein. The inspectors of election may appoint such persons to assist them in performing their duties as they determine.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2.16 DELIVERY TO THE CORPORATION</w:t>
      </w:r>
    </w:p>
    <w:p>
      <w:pPr>
        <w:spacing w:after="0" w:line="229"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20"/>
          <w:szCs w:val="20"/>
          <w:color w:val="auto"/>
        </w:rPr>
        <w:t>Whenever this Article II requires one or more persons (including a record or beneficial owner of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 For the avoidance of doubt, the Corporation expressly opts out of Section 116 of the DGCL with respect to the delivery of information and documents to the Corporation required by this Article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III - DIRECTORS</w:t>
      </w: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00"/>
          </w:cols>
          <w:pgMar w:left="320" w:top="1440" w:right="379" w:bottom="1440" w:gutter="0" w:footer="0" w:header="0"/>
        </w:sectPr>
      </w:pPr>
    </w:p>
    <w:bookmarkStart w:id="18" w:name="page19"/>
    <w:bookmarkEnd w:id="18"/>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 POWERS.</w:t>
      </w:r>
    </w:p>
    <w:p>
      <w:pPr>
        <w:spacing w:after="0" w:line="229"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Subject to the provisions of the DGCL and any limitations in the certificate of incorporation or these bylaws, the business and affairs of the Corporation shall be managed by or under the direction of the Board.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 NUMBER OF DIRECTORS.</w:t>
      </w:r>
    </w:p>
    <w:p>
      <w:pPr>
        <w:spacing w:after="0" w:line="21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20"/>
          <w:szCs w:val="20"/>
          <w:color w:val="auto"/>
        </w:rPr>
        <w:t>Subject to the certificate of incorporation, the total number of directors shall be determined from time to time by resolution of the Board, provided the Board shall consist of at least one (1) member. No reduction of the authorized number of directors shall have the effect of removing any director before that director’s term of office expires.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 ELECTION, QUALIFICATION AND TERM OF OFFICE OF DIRECTORS.</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Except as provided in Section 3.4 of these bylaws, and subject to the certificate of incorporation, each director, including a director elected to fill a vacancy or newly created directorship, shall hold office until the expiration of the term of the class, if any, for which elected and until such director’s successor is elected and qualified or until such director’s earlier death, resignation, disqualification or removal. Directors need not be stockholders unless so required by the certificate of incorporation or these bylaws. The certificate of incorporation or these bylaws may prescribe other qualifications for directors.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so provided in the certificate of incorporation, the directors of the Corporation shall be divided into three (3) classes.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3.4 RESIGNATION AND VACANCIES.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Any director may resign at any time upon notice given in writing or by electronic transmission to the Corporation. The resignation shall take effect at the time specified therein or upon the happening of an event specified therein, and if no time or event is specified, at the time of its receipt. When one or more directors so resigns and the resignation is effective at a future date or upon the happening of an event to occur on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as provided in this Section 3.4 in the filling of other vacancies.</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Unless otherwise provided in the certificate of incorporation or these bylaws, vacancies resulting from the death, resignation, disqualification or removal of any director and newly created directorships resulting from any increase in the authorized number of directors shall be filled only by a majority of the directors then in office, although less than a quorum, or by a sole remaining director.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 PLACE OF MEETINGS; MEETINGS BY TELEPHONE.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may hold meetings, both regular and special, either within or outside the State of Delaware.</w:t>
      </w:r>
    </w:p>
    <w:p>
      <w:pPr>
        <w:spacing w:after="0" w:line="21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pursuant to this bylaw shall constitute presence in person at the meeting.</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19" w:name="page20"/>
    <w:bookmarkEnd w:id="19"/>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3.6 REGULAR MEETINGS.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0"/>
          <w:szCs w:val="20"/>
          <w:color w:val="auto"/>
        </w:rPr>
        <w:t>Regular meetings of the Board may be held at such time and at such place as shall from time to time be designated by the Board and publicized among all directors, either orally or in writing, by telephone, or by electronic mail or other means of electronic transmission. No further notice shall be required for regular meetings of the Board.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3.7 SPECIAL MEETINGS; NOTICE.</w:t>
      </w:r>
    </w:p>
    <w:p>
      <w:pPr>
        <w:spacing w:after="0" w:line="229" w:lineRule="exact"/>
        <w:rPr>
          <w:sz w:val="20"/>
          <w:szCs w:val="20"/>
          <w:color w:val="auto"/>
        </w:rPr>
      </w:pPr>
    </w:p>
    <w:p>
      <w:pPr>
        <w:ind w:right="300"/>
        <w:spacing w:after="0" w:line="283" w:lineRule="auto"/>
        <w:rPr>
          <w:sz w:val="20"/>
          <w:szCs w:val="20"/>
          <w:color w:val="auto"/>
        </w:rPr>
      </w:pPr>
      <w:r>
        <w:rPr>
          <w:rFonts w:ascii="Times New Roman" w:cs="Times New Roman" w:eastAsia="Times New Roman" w:hAnsi="Times New Roman"/>
          <w:sz w:val="20"/>
          <w:szCs w:val="20"/>
          <w:color w:val="auto"/>
        </w:rPr>
        <w:t>Special meetings of the Board for any purpose or purposes may be called at any time by the chairperson of the Board, the chief executive officer, the president, the secretary or a majority of the total number of directors.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 of the time and place of special meetings shall be:</w:t>
      </w:r>
    </w:p>
    <w:p>
      <w:pPr>
        <w:spacing w:after="0" w:line="229" w:lineRule="exact"/>
        <w:rPr>
          <w:sz w:val="20"/>
          <w:szCs w:val="20"/>
          <w:color w:val="auto"/>
        </w:rPr>
      </w:pPr>
    </w:p>
    <w:p>
      <w:pPr>
        <w:ind w:left="240" w:hanging="232"/>
        <w:spacing w:after="0"/>
        <w:tabs>
          <w:tab w:leader="none" w:pos="2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personally by hand, by courier or by telephone;</w:t>
      </w:r>
    </w:p>
    <w:p>
      <w:pPr>
        <w:spacing w:after="0" w:line="215"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United States first-class mail, postage prepaid;</w:t>
      </w:r>
    </w:p>
    <w:p>
      <w:pPr>
        <w:spacing w:after="0" w:line="22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electronic mail; or</w:t>
      </w:r>
    </w:p>
    <w:p>
      <w:pPr>
        <w:spacing w:after="0" w:line="229"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other means of electronic transmission,</w:t>
      </w:r>
    </w:p>
    <w:p>
      <w:pPr>
        <w:spacing w:after="0" w:line="216"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20"/>
          <w:szCs w:val="20"/>
          <w:color w:val="auto"/>
        </w:rPr>
        <w:t>directed to each director at that director’s address, telephone number, electronic mail address, or other address for electronic transmission, as the case may be, as shown on the Corporation’s records.</w:t>
      </w:r>
    </w:p>
    <w:p>
      <w:pPr>
        <w:spacing w:after="0" w:line="14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20"/>
          <w:szCs w:val="20"/>
          <w:color w:val="auto"/>
        </w:rPr>
        <w:t>If the notice is (i) delivered personally by hand, by courier or by telephone, (ii) sent by electronic mail, or (iii) sent by other means of electronic transmission, it shall be delivered or sent at least twenty-four (24) hours before the time of the holding of the meeting. If the notice is sent by U.S. mail, it shall be deposited in the U.S. mail at least four (4) days before the time of the holding of the meeting. Any oral notice may be communicated to the director. The notice need not specify the place of the meeting (if the meeting is to be held at the Corporation’s principal executive office) nor the purpose of the meeting.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3.8 QUORUM.</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At all meetings of the Board, unless otherwise provided by the certificate of incorporation, a majority of the total number of directors shall constitute a quorum for the transaction of business. The vote of a majority of the directors present at any meeting at which a quorum is present shall be the act of the Board, except as may be otherwise specifically provided by statute, the certificate of incorporation or these bylaws. If a quorum is not present at any meeting of the Board, then the directors present thereat may adjourn the meeting from time to time, without notice other than announcement at the meeting, until a quorum is present.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3.9 BOARD ACTION BY WRITTEN CONSENT WITHOUT A MEETING.</w:t>
      </w:r>
    </w:p>
    <w:p>
      <w:pPr>
        <w:spacing w:after="0" w:line="216"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9"/>
          <w:szCs w:val="19"/>
          <w:color w:val="auto"/>
        </w:rPr>
        <w:t>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After an action is taken, the consent or consents relating thereto shall be filed with the minutes of the proceedings of the Board, or the committee thereof, in the same paper or electronic form as the minutes are maintained. Such action by written consent or consent by electronic transmission shall have the same force and effect as a unanimous vote of the Board.</w:t>
      </w:r>
    </w:p>
    <w:p>
      <w:pPr>
        <w:spacing w:after="0" w:line="2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80"/>
          </w:cols>
          <w:pgMar w:left="320" w:top="1440" w:right="399" w:bottom="1440" w:gutter="0" w:footer="0" w:header="0"/>
        </w:sectPr>
      </w:pPr>
    </w:p>
    <w:bookmarkStart w:id="20" w:name="page21"/>
    <w:bookmarkEnd w:id="20"/>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3.10 FEES AND COMPENSATION OF DIRECTORS.</w:t>
      </w:r>
    </w:p>
    <w:p>
      <w:pPr>
        <w:spacing w:after="0" w:line="229"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or these bylaws, the Board shall have the authority to fix the compensation, including fees and reimbursement of expenses, of directors for services to the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3.11 REMOVAL OF DIRECTORS.</w:t>
      </w:r>
    </w:p>
    <w:p>
      <w:pPr>
        <w:spacing w:after="0" w:line="216"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Except as otherwise provided by the DGCL or the certificate of incorporation, the Board or any individual director may be removed from office at any time, but only with cause by the affirmative vote of the holders of at least sixty six and two thirds percent (66-2/3%) of the voting power of all the then outstanding shares of voting stock of the Corporation with the power to vote at an election of directors (the “</w:t>
      </w:r>
      <w:r>
        <w:rPr>
          <w:rFonts w:ascii="Times New Roman" w:cs="Times New Roman" w:eastAsia="Times New Roman" w:hAnsi="Times New Roman"/>
          <w:sz w:val="20"/>
          <w:szCs w:val="20"/>
          <w:u w:val="single" w:color="auto"/>
          <w:color w:val="auto"/>
        </w:rPr>
        <w:t>Voting Stock</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color w:val="auto"/>
        </w:rPr>
        <w:t>No reduction of the authorized number of directors shall have the effect of removing any director prior to the expiration of such director’s term of office.</w:t>
      </w:r>
    </w:p>
    <w:p>
      <w:pPr>
        <w:spacing w:after="0" w:line="2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ARTICLE IV - COMMITTEES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 COMMITTEES OF DIRECTORS.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Board may designate one (1) or more committees, each committee to consist of one (1) or more of the directors of the Corporation. The Board may designate one (1)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Corporation, and may authorize the seal of the Corporation to be affixed to all papers that may require it; but no such committee shall have the power or authority to (i) approve or adopt, or recommend to the stockholders, any action or matter expressly required by the DGCL to be submitted to stockholders for approval, or (ii) adopt, amend or repeal any bylaw of the Corporation.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 COMMITTEE MINUTES.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Each committee shall keep regular minutes of its meetings and report the same to the Board when required.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 MEETINGS AND ACTION OF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Meetings and actions of committees shall be governed by, and held and taken in accordance with, the provisions of:</w:t>
      </w:r>
    </w:p>
    <w:p>
      <w:pPr>
        <w:spacing w:after="0" w:line="216"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3.5 (place of meetings and meetings by telephone);</w:t>
      </w:r>
    </w:p>
    <w:p>
      <w:pPr>
        <w:spacing w:after="0" w:line="229"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3.6 (regular meetings);</w:t>
      </w:r>
    </w:p>
    <w:p>
      <w:pPr>
        <w:spacing w:after="0" w:line="229"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3.7 (special meetings and notice);</w:t>
      </w:r>
    </w:p>
    <w:p>
      <w:pPr>
        <w:spacing w:after="0" w:line="21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3.9 (board action by written consent without a meeting); and</w:t>
      </w: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160"/>
          </w:cols>
          <w:pgMar w:left="320" w:top="1440" w:right="419" w:bottom="1440" w:gutter="0" w:footer="0" w:header="0"/>
        </w:sectPr>
      </w:pPr>
    </w:p>
    <w:bookmarkStart w:id="21" w:name="page22"/>
    <w:bookmarkEnd w:id="21"/>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 Section 7.13 (waiver of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with such changes in the context of those bylaws as are necessary to substitute the committee and its members for the Board and its members.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240" w:hanging="232"/>
        <w:spacing w:after="0"/>
        <w:tabs>
          <w:tab w:leader="none" w:pos="24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time of regular meetings of committees may be determined either by resolution of the Board or by resolution of the committee;</w:t>
      </w:r>
    </w:p>
    <w:p>
      <w:pPr>
        <w:spacing w:after="0" w:line="215" w:lineRule="exact"/>
        <w:rPr>
          <w:rFonts w:ascii="Times New Roman" w:cs="Times New Roman" w:eastAsia="Times New Roman" w:hAnsi="Times New Roman"/>
          <w:sz w:val="20"/>
          <w:szCs w:val="20"/>
          <w:color w:val="auto"/>
        </w:rPr>
      </w:pPr>
    </w:p>
    <w:p>
      <w:pPr>
        <w:ind w:left="300" w:hanging="292"/>
        <w:spacing w:after="0"/>
        <w:tabs>
          <w:tab w:leader="none" w:pos="3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special meetings of committees may also be called by resolution of the Board or the chairperson of the applicable committee; and</w:t>
      </w:r>
    </w:p>
    <w:p>
      <w:pPr>
        <w:spacing w:after="0" w:line="229" w:lineRule="exact"/>
        <w:rPr>
          <w:rFonts w:ascii="Times New Roman" w:cs="Times New Roman" w:eastAsia="Times New Roman" w:hAnsi="Times New Roman"/>
          <w:sz w:val="20"/>
          <w:szCs w:val="20"/>
          <w:color w:val="auto"/>
        </w:rPr>
      </w:pPr>
    </w:p>
    <w:p>
      <w:pPr>
        <w:ind w:right="180" w:firstLine="8"/>
        <w:spacing w:after="0" w:line="310" w:lineRule="auto"/>
        <w:tabs>
          <w:tab w:leader="none" w:pos="346"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Board may adopt rules for the governance of any committee to override the provisions that would otherwise apply to the committee pursuant to this Section 4.3, provided that such rules do not violate the provisions of the certificate of incorporation or applicable law.</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V - OFFICERS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5.1 OFFICERS.</w:t>
      </w:r>
    </w:p>
    <w:p>
      <w:pPr>
        <w:spacing w:after="0" w:line="216" w:lineRule="exact"/>
        <w:rPr>
          <w:sz w:val="20"/>
          <w:szCs w:val="20"/>
          <w:color w:val="auto"/>
        </w:rPr>
      </w:pPr>
    </w:p>
    <w:p>
      <w:pPr>
        <w:jc w:val="both"/>
        <w:ind w:right="440"/>
        <w:spacing w:after="0" w:line="257" w:lineRule="auto"/>
        <w:rPr>
          <w:sz w:val="20"/>
          <w:szCs w:val="20"/>
          <w:color w:val="auto"/>
        </w:rPr>
      </w:pPr>
      <w:r>
        <w:rPr>
          <w:rFonts w:ascii="Times New Roman" w:cs="Times New Roman" w:eastAsia="Times New Roman" w:hAnsi="Times New Roman"/>
          <w:sz w:val="20"/>
          <w:szCs w:val="20"/>
          <w:color w:val="auto"/>
        </w:rPr>
        <w:t>The officers of the Corporation shall include a chief executive officer, a president and a secretary. The Corporation may also have, at the discretion of the Board, a chairperson of the Board, a vice chairperson of the Board, a chief executive officer, a chief financial officer or treasurer, one (1) or more vice presidents, one (1) or more assistant vice presidents, one (1) or more assistant treasurers, one (1) or more assistant secretaries, and any such other officers as may be appointed in accordance with the provisions of these bylaws. Any number of offices may be held by the same person. No officer need be a stockholder of the Corporation.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5.2 APPOINTMENT OF OFFICERS.</w:t>
      </w:r>
    </w:p>
    <w:p>
      <w:pPr>
        <w:spacing w:after="0" w:line="229" w:lineRule="exact"/>
        <w:rPr>
          <w:sz w:val="20"/>
          <w:szCs w:val="20"/>
          <w:color w:val="auto"/>
        </w:rPr>
      </w:pPr>
    </w:p>
    <w:p>
      <w:pPr>
        <w:ind w:right="600"/>
        <w:spacing w:after="0" w:line="283" w:lineRule="auto"/>
        <w:rPr>
          <w:sz w:val="20"/>
          <w:szCs w:val="20"/>
          <w:color w:val="auto"/>
        </w:rPr>
      </w:pPr>
      <w:r>
        <w:rPr>
          <w:rFonts w:ascii="Times New Roman" w:cs="Times New Roman" w:eastAsia="Times New Roman" w:hAnsi="Times New Roman"/>
          <w:sz w:val="20"/>
          <w:szCs w:val="20"/>
          <w:color w:val="auto"/>
        </w:rPr>
        <w:t>The Board shall appoint the officers of the Corporation, except such officers as may be appointed in accordance with the provisions of Section 5.3 of these bylaws.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 SUBORDINATE OFFICERS.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20"/>
          <w:szCs w:val="20"/>
          <w:color w:val="auto"/>
        </w:rPr>
        <w:t>The Board may appoint, or empower the chief executive officer or, in the absence of a chief executive officer, the president, to appoint, such other officers and agents as the business of the Corporation may require. Each of such officers and agents shall hold office for such period, have such authority, and perform such duties as are provided in these bylaws or as the Board may from time to time determine.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5.4 REMOVAL AND RESIGNATION OF OFFICERS.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20"/>
          <w:szCs w:val="20"/>
          <w:color w:val="auto"/>
        </w:rPr>
        <w:t>Subject to the rights, if any, of an officer under any contract of employment, any officer may be removed, either with or without cause, by the Board or, except in the case of an officer chosen by the Board, by any officer upon whom such power of removal may be conferred by the Board.</w:t>
      </w:r>
    </w:p>
    <w:p>
      <w:pPr>
        <w:spacing w:after="0" w:line="18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Any officer may resign at any time by giving written notice to the Corporation.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Corporation under any contract to which the officer is a party.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22" w:name="page23"/>
    <w:bookmarkEnd w:id="22"/>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5.5 VACANCIES IN OFFICES.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vacancy occurring in any office of the Corporation shall be filled by the Board or as provided in Section 5.2.</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5.6 REPRESENTATION OF SHARES OF OTHER CORPORATIONS.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chairperson of the Board, the chief executive officer, the president, any vice president, the treasurer, the secretary or assistant secretary of this Corporation, or any other person authorized by the Board , the chief executive officer, the president or a vice president, is authorized to vote, represent and exercise on behalf of this Corporation all rights incident to any and all shares or voting securities of any other corporation or other person standing in the name of this Corporation. The authority granted herein may be exercised either by such person directly or by any other person authorized to do so by proxy or power of attorney duly executed by such person having the authority.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5.7 AUTHORITY AND DUTIES OF OFFICERS.</w:t>
      </w:r>
    </w:p>
    <w:p>
      <w:pPr>
        <w:spacing w:after="0" w:line="216"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0"/>
          <w:szCs w:val="20"/>
          <w:color w:val="auto"/>
        </w:rPr>
        <w:t>All officers of the Corporation shall respectively have such authority and perform such duties in the management of the business of the Corporation as may be provided herein or designated from time to time by the Board and, to the extent not so provided, as generally pertain to their respective offices, subject to the control of the Board.</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5.8 COMPENSATION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0"/>
          <w:szCs w:val="20"/>
          <w:color w:val="auto"/>
        </w:rPr>
        <w:t>The compensation of the officers of the Corporation for their services as such shall be fixed from time to time by or at the direction of the Board. An officer of the Corporation shall not be prevented from receiving compensation by reason of the fact that he or she is also a director of the Corporation.</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VI - RECORDS AND REPORTS</w:t>
      </w:r>
    </w:p>
    <w:p>
      <w:pPr>
        <w:spacing w:after="0" w:line="22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9"/>
          <w:szCs w:val="19"/>
          <w:color w:val="auto"/>
        </w:rPr>
        <w:t>A stock ledger consisting of one or more records in which the names of all of the Corporation’s stockholders of record, the address and number of shares registered in the name of each such stockholder, and all issuances and transfers of stock of the corporation are recorded in accordance with Section 224 of the DGCL shall be administered by or on behalf of the Corporation. Any records administered by or on behalf of the Corporation in the regular course of its business, including its stock ledger, books of account, and minute books, may be kept on, or by means of, or be in the form of, any information storage device, or method, or one or more electronic networks or databases (including one or more distributed electronic networks or databases), provided that the records so kept can be converted into clearly legible paper form within a reasonable time and, with respect to the stock ledger, that the records so kept (i) can be used to prepare the list of stockholders specified in Sections 219 and 220 of the DGCL, (ii) record the information specified in Sections 156, 159, 217(a) and 218 of the DGCL, and (iii) record transfers of stock as governed by Article 8 of the Uniform Commercial Code as adopted in the State of Delaware. .</w:t>
      </w:r>
    </w:p>
    <w:p>
      <w:pPr>
        <w:spacing w:after="0" w:line="27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ARTICLE VII - GENERAL MATTERS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7.1 EXECUTION OF CORPORATE CONTRACTS AND INSTRUMENTS.</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20"/>
          <w:szCs w:val="20"/>
          <w:color w:val="auto"/>
        </w:rPr>
        <w:t>The Board, except as otherwise provided in these bylaws, may authorize any officer or officers, or agent or agents, to enter into any contract or execute any instrument in the name of and on behalf of the Corporation; such authority may be general or confined to specific instances. Unless so authorized or ratified by the Board or within the agency power of an officer, no officer, agent or employee shall have</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20"/>
          </w:cols>
          <w:pgMar w:left="320" w:top="1440" w:right="359" w:bottom="1440" w:gutter="0" w:footer="0" w:header="0"/>
        </w:sectPr>
      </w:pPr>
    </w:p>
    <w:bookmarkStart w:id="23" w:name="page24"/>
    <w:bookmarkEnd w:id="23"/>
    <w:p>
      <w:pPr>
        <w:spacing w:after="0" w:line="189"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any power or authority to bind the Corporation by any contract or engagement or to pledge its credit or to render it liable for any purpose or for any amount.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7.2 STOCK CERTIFICATES; PARTLY PAID SHARES.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The shares of the Corporation shall be represented by certificates or shall be uncertificated. Certificates for the shares of stock, if any, shall be in such form as is consistent with the certificate of incorporation and applicable law. Every holder of stock represented by a certificate shall be entitled to have a certificate signed by, or in the name of the Corporation by any two officers authorized to sign stock certificates, representing the number of shares registered in certificate form. The chief executive officer, chief financial officer, chief legal officer, the corporate secretary, or any assistant corporate secretary shall be specifically authorized to sign stock certificates.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he or she were such officer, transfer agent or registrar at the date of issue.</w:t>
      </w:r>
    </w:p>
    <w:p>
      <w:pPr>
        <w:spacing w:after="0" w:line="19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 Corporation may issue the whole or any part of its shares as partly paid and subject to call for the remainder of the consideration to be paid therefor. Upon the face or back of each stock certificate issued to represent any such partly paid shares, upon the books and records of the Corporation in the case of uncertificated partly paid shares, the total amount of the consideration to be paid therefor and the amount paid thereon shall be stated. Upon the declaration of any dividend on fully paid shares, the Corporation shall declare a dividend upon partly paid shares of the same class, but only upon the basis of the percentage of the consideration actually paid thereon.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7.3 SPECIAL DESIGNATION ON CERTIFICATES.</w:t>
      </w:r>
    </w:p>
    <w:p>
      <w:pPr>
        <w:spacing w:after="0" w:line="21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 xml:space="preserve">If the Corporation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Corporation shall issue to represent such class or series of stock (or, in the case of uncertificated shares, set forth in a notice provided pursuant to Section 151 of the DGCL);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except as otherwise provided in Section 202 of the DGCL, in lieu of the foregoing requirements, there may be set forth on the face or back of the certificate that the Corporation shall issue to represent such class or series of stock (or, in the case of any uncertificated shares, included in the aforementioned notice) a statement that the Corporation will furnish without charge to each stockholder who so requests the powers, the designations, the preferences and the relative, participating, optional or other special rights of each class of stock or series thereof and the qualifications, limitations or restrictions of such preferences and/or rights.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7.4 LOST CERTIFICATES.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Except as provided in this Section 7.4, no new certificates for shares shall be issued to replace a previously issued certificate unless the latter is surrendered to the Corporation and cancelled at the same time. The Corporation may issue a new certificate of stock or 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20"/>
          </w:cols>
          <w:pgMar w:left="320" w:top="1440" w:right="359" w:bottom="1440" w:gutter="0" w:footer="0" w:header="0"/>
        </w:sectPr>
      </w:pPr>
    </w:p>
    <w:bookmarkStart w:id="24" w:name="page25"/>
    <w:bookmarkEnd w:id="24"/>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7.5 UNCERTIFICATED SHARES</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Corporation may adopt a system of issuance, recordation and transfer of its shares of stock by electronic or other means not involving the issuance of certificates, provided the use of such system by the Corporation is permitted in accordance with applicable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7.6 CONSTRUCTION; DEFINITIONS.</w:t>
      </w:r>
    </w:p>
    <w:p>
      <w:pPr>
        <w:spacing w:after="0" w:line="21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7.7 DIVIDENDS.</w:t>
      </w:r>
    </w:p>
    <w:p>
      <w:pPr>
        <w:spacing w:after="0" w:line="229"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The Board, subject to any restrictions contained in either (i) the DGCL or (ii) the certificate of incorporation, may declare and pay dividends upon the shares of its capital stock. Dividends may be paid in cash, in property or in shares of the Corporation’s capital stock.</w:t>
      </w:r>
    </w:p>
    <w:p>
      <w:pPr>
        <w:spacing w:after="0" w:line="173"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20"/>
          <w:szCs w:val="20"/>
          <w:color w:val="auto"/>
        </w:rPr>
        <w:t>The Board may set apart out of any of the funds of the Corporation available for dividends a reserve or reserves for any proper purpose and may abolish any such reserve. Such purposes shall include but not be limited to equalizing dividends, repairing or maintaining any property of the Corporation, and meeting contingencies.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7.8 FISCAL YEAR.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fiscal year of the Corporation shall be fixed by resolution of the Board and may be changed by the Board.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7.9 SEAL.</w:t>
      </w:r>
    </w:p>
    <w:p>
      <w:pPr>
        <w:spacing w:after="0" w:line="229"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20"/>
          <w:szCs w:val="20"/>
          <w:color w:val="auto"/>
        </w:rPr>
        <w:t>The Corporation may adopt a corporate seal, which shall be adopted and which may be altered by the Board. The Corporation may use the corporate seal by causing it or a facsimile thereof to be impressed or affixed or in any other manner reproduced.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7.10 TRANSFER OF STOCK.</w:t>
      </w:r>
    </w:p>
    <w:p>
      <w:pPr>
        <w:spacing w:after="0" w:line="21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Shares of the Corporation shall be transferable in the manner prescribed by law and in these bylaws. Shares of stock of the Corporation shall be transferred on the books of the Corporation only by the holder of record thereof or by such holder’s attorney duly authorized in writing, upon surrender to the Corporation of the certificate or certificates representing such shares endorsed by the appropriate person or persons (or by delivery of duly executed instructions with respect to uncertificated shares), with such evidence of the authenticity of such endorsement or execution, transfer, authorization and other matters as the Corporation may reasonably require, and accompanied by all necessary stock transfer stamps. No transfer of stock shall be valid as against the Corporation for any purpose until it shall have been entered in the stock records of the Corporation by an entry showing the names of the persons from and to whom it was transferred.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7.11 STOCK TRANSFER AGREEMENTS.</w:t>
      </w:r>
    </w:p>
    <w:p>
      <w:pPr>
        <w:spacing w:after="0" w:line="229" w:lineRule="exact"/>
        <w:rPr>
          <w:sz w:val="20"/>
          <w:szCs w:val="20"/>
          <w:color w:val="auto"/>
        </w:rPr>
      </w:pPr>
    </w:p>
    <w:p>
      <w:pPr>
        <w:ind w:right="280"/>
        <w:spacing w:after="0" w:line="283" w:lineRule="auto"/>
        <w:rPr>
          <w:sz w:val="20"/>
          <w:szCs w:val="20"/>
          <w:color w:val="auto"/>
        </w:rPr>
      </w:pPr>
      <w:r>
        <w:rPr>
          <w:rFonts w:ascii="Times New Roman" w:cs="Times New Roman" w:eastAsia="Times New Roman" w:hAnsi="Times New Roman"/>
          <w:sz w:val="20"/>
          <w:szCs w:val="20"/>
          <w:color w:val="auto"/>
        </w:rPr>
        <w:t>The Corporation shall have power to enter into and perform any agreement with any number of stockholders of any one or more classes or series of stock of the Corporation to restrict the transfer of</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25" w:name="page26"/>
    <w:bookmarkEnd w:id="25"/>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shares of stock of the Corporation of any one or more classes owned by such stockholders in any manner not prohibited by the DGCL.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7.12 REGISTERED STOCKHOLDERS.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Corporation:</w:t>
      </w:r>
    </w:p>
    <w:p>
      <w:pPr>
        <w:spacing w:after="0" w:line="229" w:lineRule="exact"/>
        <w:rPr>
          <w:sz w:val="20"/>
          <w:szCs w:val="20"/>
          <w:color w:val="auto"/>
        </w:rPr>
      </w:pPr>
    </w:p>
    <w:p>
      <w:pPr>
        <w:ind w:right="60" w:firstLine="8"/>
        <w:spacing w:after="0" w:line="269" w:lineRule="auto"/>
        <w:tabs>
          <w:tab w:leader="none" w:pos="236"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entitled to recognize the exclusive right of a person registered on its books as the owner of shares to receive dividends and to vote as such owner; and</w:t>
      </w:r>
    </w:p>
    <w:p>
      <w:pPr>
        <w:spacing w:after="0" w:line="172" w:lineRule="exact"/>
        <w:rPr>
          <w:rFonts w:ascii="Times New Roman" w:cs="Times New Roman" w:eastAsia="Times New Roman" w:hAnsi="Times New Roman"/>
          <w:sz w:val="20"/>
          <w:szCs w:val="20"/>
          <w:color w:val="auto"/>
        </w:rPr>
      </w:pPr>
    </w:p>
    <w:p>
      <w:pPr>
        <w:ind w:right="20" w:firstLine="8"/>
        <w:spacing w:after="0" w:line="283" w:lineRule="auto"/>
        <w:tabs>
          <w:tab w:leader="none" w:pos="291"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7.13 WAIVER OF NOTICE.</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297"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0"/>
          <w:szCs w:val="20"/>
          <w:b w:val="1"/>
          <w:bCs w:val="1"/>
          <w:color w:val="auto"/>
        </w:rPr>
        <w:t>ARTICLE VIII - NOTICE BY ELECTRONIC TRANSMISSION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8.1 DELIVERY OF NOTICE; NOTICE BY ELECTRONIC TRANSMISSION.</w:t>
      </w:r>
    </w:p>
    <w:p>
      <w:pPr>
        <w:spacing w:after="0" w:line="216"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Without limiting the manner by which notice otherwise may be given effectively to stockholders, any notice to stockholders given by the Corporation under any provisions of the DGCL, the Certificate of Incorporation, or these bylaws may be given in writing directed to the stockholder’s mailing address (or by electronic transmission directed to the stockholder’s electronic mail address, as applicable) as it appears on the records of the Corporation and shall be given (1) if mailed, when the notice is deposited in the U.S. mail, postage prepaid, (2) if delivered by courier service, the earlier of when the notice is received or left at such stockholder’s address or (3) if given by electronic mail, when directed to such stockholder’s electronic mail address unless the stockholder has notified the Corporation in writing or by electronic transmission of an objection to receiving notice by electronic mail. A notice by electronic mail must include a prominent legend that the communication is an important notice regarding the Corporation.</w:t>
      </w:r>
    </w:p>
    <w:p>
      <w:pPr>
        <w:spacing w:after="0" w:line="195"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Without limiting the manner by which notice otherwise may be given effectively to stockholders,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Notwithstanding the provisions of this paragraph, the Corporation may give a notice by electronic mail in accordance with the first paragraph of this Section 8.1 without obtaining the consent required by this paragraph.</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Any notice given pursuant to the preceding paragraph shall be deemed given: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26" w:name="page27"/>
    <w:bookmarkEnd w:id="26"/>
    <w:p>
      <w:pPr>
        <w:spacing w:after="0" w:line="54" w:lineRule="exact"/>
        <w:rPr>
          <w:sz w:val="20"/>
          <w:szCs w:val="20"/>
          <w:color w:val="auto"/>
        </w:rPr>
      </w:pPr>
    </w:p>
    <w:p>
      <w:pPr>
        <w:ind w:left="1500" w:hanging="583"/>
        <w:spacing w:after="0"/>
        <w:tabs>
          <w:tab w:leader="none" w:pos="15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facsimile telecommunication, when directed to a number at which the stockholder has consented to receive notice;</w:t>
      </w:r>
    </w:p>
    <w:p>
      <w:pPr>
        <w:spacing w:after="0" w:line="175" w:lineRule="exact"/>
        <w:rPr>
          <w:rFonts w:ascii="Times New Roman" w:cs="Times New Roman" w:eastAsia="Times New Roman" w:hAnsi="Times New Roman"/>
          <w:sz w:val="20"/>
          <w:szCs w:val="20"/>
          <w:color w:val="auto"/>
        </w:rPr>
      </w:pPr>
    </w:p>
    <w:p>
      <w:pPr>
        <w:ind w:left="1500" w:hanging="583"/>
        <w:spacing w:after="0"/>
        <w:tabs>
          <w:tab w:leader="none" w:pos="1500"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by electronic mail, when directed to an electronic mail address at which the stockholder has consented to receive notice;</w:t>
      </w:r>
    </w:p>
    <w:p>
      <w:pPr>
        <w:spacing w:after="0" w:line="186" w:lineRule="exact"/>
        <w:rPr>
          <w:rFonts w:ascii="Times New Roman" w:cs="Times New Roman" w:eastAsia="Times New Roman" w:hAnsi="Times New Roman"/>
          <w:sz w:val="19"/>
          <w:szCs w:val="19"/>
          <w:color w:val="auto"/>
        </w:rPr>
      </w:pPr>
    </w:p>
    <w:p>
      <w:pPr>
        <w:ind w:left="1500" w:right="80" w:hanging="583"/>
        <w:spacing w:after="0"/>
        <w:tabs>
          <w:tab w:leader="none" w:pos="15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a posting on an electronic network together with separate notice to the stockholder of such specific posting, upon the later of (A) such posting and (B) the giving of such separate notice; and</w:t>
      </w:r>
    </w:p>
    <w:p>
      <w:pPr>
        <w:spacing w:after="0" w:line="147" w:lineRule="exact"/>
        <w:rPr>
          <w:rFonts w:ascii="Times New Roman" w:cs="Times New Roman" w:eastAsia="Times New Roman" w:hAnsi="Times New Roman"/>
          <w:sz w:val="20"/>
          <w:szCs w:val="20"/>
          <w:color w:val="auto"/>
        </w:rPr>
      </w:pPr>
    </w:p>
    <w:p>
      <w:pPr>
        <w:ind w:left="1500" w:hanging="583"/>
        <w:spacing w:after="0"/>
        <w:tabs>
          <w:tab w:leader="none" w:pos="150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by any other form of electronic transmission, when directed to the stockholder.</w:t>
      </w:r>
    </w:p>
    <w:p>
      <w:pPr>
        <w:spacing w:after="0" w:line="310" w:lineRule="exact"/>
        <w:rPr>
          <w:sz w:val="20"/>
          <w:szCs w:val="20"/>
          <w:color w:val="auto"/>
        </w:rPr>
      </w:pPr>
    </w:p>
    <w:p>
      <w:pPr>
        <w:ind w:right="160"/>
        <w:spacing w:after="0" w:line="283" w:lineRule="auto"/>
        <w:rPr>
          <w:sz w:val="20"/>
          <w:szCs w:val="20"/>
          <w:color w:val="auto"/>
        </w:rPr>
      </w:pPr>
      <w:r>
        <w:rPr>
          <w:rFonts w:ascii="Times New Roman" w:cs="Times New Roman" w:eastAsia="Times New Roman" w:hAnsi="Times New Roman"/>
          <w:sz w:val="20"/>
          <w:szCs w:val="20"/>
          <w:color w:val="auto"/>
        </w:rPr>
        <w:t>An affidavit of the secretary or an assistant secretary or of the transfer agent or other agent of the Corporation that the notice has been given by a form of electronic transmission shall, in the absence of fraud, be prima facie evidence of the facts stated therein.</w:t>
      </w:r>
    </w:p>
    <w:p>
      <w:pPr>
        <w:spacing w:after="0" w:line="250"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0"/>
          <w:szCs w:val="20"/>
          <w:b w:val="1"/>
          <w:bCs w:val="1"/>
          <w:color w:val="auto"/>
        </w:rPr>
        <w:t>ARTICLE IX - INDEMNIFICATION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9.1 INDEMNIFICATION OF DIRECTORS AND OFFICERS.</w:t>
      </w:r>
    </w:p>
    <w:p>
      <w:pPr>
        <w:spacing w:after="0" w:line="22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The Corporation shall indemnify and hold harmless, to the fullest extent permitted by the DGCL as it presently exists or may hereafter be amended, any director or officer of the Corporation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20"/>
          <w:szCs w:val="20"/>
          <w:u w:val="single" w:color="auto"/>
          <w:color w:val="auto"/>
        </w:rPr>
        <w:t>Proceeding</w:t>
      </w:r>
      <w:r>
        <w:rPr>
          <w:rFonts w:ascii="Times New Roman" w:cs="Times New Roman" w:eastAsia="Times New Roman" w:hAnsi="Times New Roman"/>
          <w:sz w:val="20"/>
          <w:szCs w:val="20"/>
          <w:color w:val="auto"/>
        </w:rPr>
        <w:t>”) by reason of the fact that he or she, or a person for whom he or she is the legal representative, is or was a director or officer of the Corporation or, while serving as a director or officer of the Corporation, is or was serving at the request of the Corporation as a director, officer, employee or agent of another corporation or of a partnership (a “covered person”), joint venture, trust, enterprise or non-profit entity, including service with respect to employee benefit plans, against all liability and loss suffered and expenses (including attorneys’ fees, judgments, fines, ERISA excise taxes or penalties and amounts paid in settlement) reasonably incurred by such person in connection with any such Proceeding. Notwithstanding the preceding sentence, except as otherwise provided in Section 9.4, the Corporation shall be required to indemnify a person in connection with a Proceeding initiated by such person only if the Proceeding was authorized in the specific case by the Board.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9.2 INDEMNIFICATION OF OTHERS.</w:t>
      </w:r>
    </w:p>
    <w:p>
      <w:pPr>
        <w:spacing w:after="0" w:line="216"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The Corporation shall have the power to indemnify and hold harmless, to the fullest extent permitted by applicable law as it presently exists or may hereafter be amended, any employee or agent of the Corporation who was or is made or is threatened to be made a party or is otherwise involved in any Proceeding by reason of the fact that he or she, or a person for whom he or she is the legal representative, is or was an employee or agent of the Corporation or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reasonably incurred by such person in connection with any such Proceeding.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9.3 PREPAYMENT OF EXPENSES.</w:t>
      </w:r>
    </w:p>
    <w:p>
      <w:pPr>
        <w:spacing w:after="0" w:line="216"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20"/>
          <w:szCs w:val="20"/>
          <w:color w:val="auto"/>
        </w:rPr>
        <w:t xml:space="preserve">The Corporation shall to the fullest extent not prohibited by applicable law pay the expenses (including attorneys’ fees) incurred by any covered person, and may pay the expenses incurred by any employee or agent of the Corporation, in defending any Proceeding in advance of its final disposition; </w:t>
      </w:r>
      <w:r>
        <w:rPr>
          <w:rFonts w:ascii="Times New Roman" w:cs="Times New Roman" w:eastAsia="Times New Roman" w:hAnsi="Times New Roman"/>
          <w:sz w:val="20"/>
          <w:szCs w:val="20"/>
          <w:i w:val="1"/>
          <w:iCs w:val="1"/>
          <w:color w:val="auto"/>
        </w:rPr>
        <w:t>provided,</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85"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to the extent required by law, such payment of expenses in advance of the final disposition of the Proceeding shall be made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only upon receipt of an undertaking by the person to repay all amounts advanced if it should be ultimately determined that the person is not entitled to be indemnified under this Article IX or otherwise.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9.4 DETERMINATION; CLAIM.</w:t>
      </w:r>
    </w:p>
    <w:p>
      <w:pPr>
        <w:spacing w:after="0" w:line="216"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20"/>
          <w:szCs w:val="20"/>
          <w:color w:val="auto"/>
        </w:rPr>
        <w:t>If a claim for indemnification (following the final disposition of such Proceeding) or advancement of expenses under this Article IX is not paid in full within sixty (60) days after a written claim therefor has been received by the Corporation the claimant may thereafter (but not before)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payment of expenses under applicable law.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9.5 NON-EXCLUSIVITY OF RIGHTS.</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20"/>
          <w:szCs w:val="20"/>
          <w:color w:val="auto"/>
        </w:rPr>
        <w:t>The rights conferred on any person by this Article IX shall not be exclusive of any other rights which such person may have or hereafter acquire under any statute, provision of the certificate of incorporation, these bylaws, agreement, vote of stockholders or disinterested directors or otherwise.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9.6 INSURANCE.</w:t>
      </w:r>
    </w:p>
    <w:p>
      <w:pPr>
        <w:spacing w:after="0" w:line="216"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20"/>
          <w:szCs w:val="20"/>
          <w:color w:val="auto"/>
        </w:rPr>
        <w:t>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enterprise or non-profit entity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9.7 OTHER INDEMNIFICATION.</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Corporation’s obligation, if any, to indemnify or advance expenses to any person who was or is serving at its request as a director, officer, employee or agent of another corporation, partnership, joint venture, trust, enterprise or non-profit entity shall be reduced by any amount such person may collect as indemnification or advancement of expenses from such other corporation, partnership, joint venture, trust, enterprise or non-profit enterprise.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9.8 CONTINUATION OF INDEMNIFICATION.</w:t>
      </w:r>
    </w:p>
    <w:p>
      <w:pPr>
        <w:spacing w:after="0" w:line="229"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20"/>
          <w:szCs w:val="20"/>
          <w:color w:val="auto"/>
        </w:rPr>
        <w:t>The rights to indemnification and to prepayment of expenses provided by, or granted pursuant to, this Article IX shall continue notwithstanding that the person has ceased to be a director or officer of the Corporation and shall inure to the benefit of the estate, heirs, executors, administrators, legatees and distributees of such person.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9.9 AMENDMENT OR REPEAL.</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provisions of this Article IX shall constitute a contract between the Corporation, on the one hand, and, on the other hand, each individual who serves or has served as a director or officer of the Corporation (whether before or after the adoption of these bylaws), in consideration of such person’s performance of such services, and pursuant to this Article IX the Corporation intends to be legally bound to each such current or former director or officer of the Corporation. With respect to current and former</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20"/>
          </w:cols>
          <w:pgMar w:left="320" w:top="1440" w:right="359" w:bottom="1440" w:gutter="0" w:footer="0" w:header="0"/>
        </w:sectPr>
      </w:pPr>
    </w:p>
    <w:bookmarkStart w:id="28" w:name="page29"/>
    <w:bookmarkEnd w:id="28"/>
    <w:p>
      <w:pPr>
        <w:spacing w:after="0" w:line="189"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9"/>
          <w:szCs w:val="19"/>
          <w:color w:val="auto"/>
        </w:rPr>
        <w:t>directors and officers of the Corporation, the rights conferred under this Article IX are present contractual rights and such rights are fully vested, and shall be deemed to have vested fully, immediately upon adoption of these bylaws. With respect to any directors or officers of the Corporation who commence service following adoption of these bylaws, the rights conferred under this provision shall be present contractual rights and such rights shall fully vest, and be deemed to have vested fully, immediately upon such director or officer commencing service as a director or officer of the Corporation. Any repeal or modification of the foregoing provisions of this Article IX shall not adversely affect any right or protection (i) hereunder of any person in respect of any act or omission occurring prior to the time of such repeal or modification or</w:t>
      </w:r>
    </w:p>
    <w:p>
      <w:pPr>
        <w:spacing w:after="0" w:line="4" w:lineRule="exact"/>
        <w:rPr>
          <w:sz w:val="20"/>
          <w:szCs w:val="20"/>
          <w:color w:val="auto"/>
        </w:rPr>
      </w:pPr>
    </w:p>
    <w:p>
      <w:pPr>
        <w:ind w:right="40" w:firstLine="8"/>
        <w:spacing w:after="0" w:line="253" w:lineRule="auto"/>
        <w:tabs>
          <w:tab w:leader="none" w:pos="29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under any agreement providing for indemnification or advancement of expenses to an officer or director of the Corporation in effect prior to the time of such repeal or modification.</w:t>
      </w:r>
    </w:p>
    <w:p>
      <w:pPr>
        <w:spacing w:after="0" w:line="18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Any reference to an officer of the Corporation in this Article IX shall be deemed to refer exclusively to the Chief Executive Officer, President, and Secretary, or other officer of the Corporation appointed by (x) the Board pursuant to Article V of these bylaws or (y) an officer to whom the Board has delegated the power to appoint officers pursuant to Article V of these bylaws, and any reference to an officer of any other corporation, partnership, joint venture, trust, employee benefit plan or other enterprise shall be deemed to refer exclusively to an officer appointed by the board of directors (or equivalent governing body) of such other entity pursuant to the certificate of incorporation and bylaws (or equivalent organizational documents) of such other corporation, partnership, joint venture, trust, employee benefit plan or other enterprise. The fact that any person who is or was an employee of the Corporation or an employee of any other corporation, partnership, joint venture, trust, employee benefit plan or other enterprise has been given or has used the title of “Vice President” or any other title that could be construed to suggest or imply that such person is or may be an officer of the Corporation or of such other corporation, partnership, joint venture, trust, employee benefit plan or other enterprise shall not result in such person being constituted as, or being deemed to be, an officer of the Corporation or of such other corporation, partnership, joint venture, trust, employee benefit plan or other enterprise for purposes of this Article IX.</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X - AMENDMENTS</w:t>
      </w:r>
    </w:p>
    <w:p>
      <w:pPr>
        <w:spacing w:after="0" w:line="220"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20"/>
          <w:szCs w:val="20"/>
          <w:color w:val="auto"/>
        </w:rPr>
        <w:t xml:space="preserve">Subject to the limitations set forth in Section 9.9 of these bylaws or the provisions of the certificate of incorporation, the Board is expressly empowered to adopt, amend or repeal the bylaws of the Corporation;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in addition to any vote of the holders of any class or series of stock of the Corporation required by law or by the certificate of incorporation, such action by stockholders shall require the affirmative vote of the holders of at least sixty-six and two-thirds percent (66-2/3%) of the voting power of all of the then-outstanding shares of the Voting Stock.</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XI – FORUM SELECTION</w:t>
      </w:r>
    </w:p>
    <w:p>
      <w:pPr>
        <w:spacing w:after="0" w:line="23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0"/>
          <w:szCs w:val="20"/>
          <w:color w:val="auto"/>
        </w:rPr>
        <w:t>Unless the Corporation consents in writing to the selection of an alternate forum, (a) the Court of Chancery (the “</w:t>
      </w:r>
      <w:r>
        <w:rPr>
          <w:rFonts w:ascii="Times New Roman" w:cs="Times New Roman" w:eastAsia="Times New Roman" w:hAnsi="Times New Roman"/>
          <w:sz w:val="20"/>
          <w:szCs w:val="20"/>
          <w:u w:val="single" w:color="auto"/>
          <w:color w:val="auto"/>
        </w:rPr>
        <w:t>Chancery Court</w:t>
      </w:r>
      <w:r>
        <w:rPr>
          <w:rFonts w:ascii="Times New Roman" w:cs="Times New Roman" w:eastAsia="Times New Roman" w:hAnsi="Times New Roman"/>
          <w:sz w:val="20"/>
          <w:szCs w:val="20"/>
          <w:color w:val="auto"/>
        </w:rPr>
        <w:t>”) of the State of Delaware (or, in the event that the Chancery Court does not have jurisdiction, the federal district court for the District of Delaware or other state courts of the State of Delaware) shall, to the fullest extent permitted by applicable law, be the sole and exclusive forum for (i) any derivative action or proceeding brought on behalf of the Corporation, (ii) any action or proceeding asserting a claim of breach of a fiduciary duty owed by any director, officer or other employee of the Corporation to the Corporation or the Corporation’s stockholders, (iii) any action or proceeding asserting a claim against the Corporation or any director, officer or other employee of the Corporation arising pursuant to any provision of the DGCL or the certificate of incorporation or these bylaws, (iv) any action or proceeding to interpret, apply, enforce or determine the validity of the certificate of incorporation or</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20"/>
          </w:cols>
          <w:pgMar w:left="320" w:top="1440" w:right="359" w:bottom="1440" w:gutter="0" w:footer="0" w:header="0"/>
        </w:sectPr>
      </w:pPr>
    </w:p>
    <w:bookmarkStart w:id="29" w:name="page30"/>
    <w:bookmarkEnd w:id="29"/>
    <w:p>
      <w:pPr>
        <w:spacing w:after="0" w:line="18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these bylaws, or (v) any action or proceeding asserting a claim against the Corporation or any director, officer or other employee of the Corporation governed by the internal affairs doctrine; and (b) subject to the preceding provisions of this Article XI, the federal district courts of the United States shall be the exclusive forum for the resolution of any complaint asserting a cause or causes of action arising under the Securities Act of 1933, as amended, including all causes of action asserted against any defendant to such complaint. If any action the subject matter of which is within the scope of clause (a) of the immediately preceding sentence is filed in a court other than the courts in the State of Delaware (a “</w:t>
      </w:r>
      <w:r>
        <w:rPr>
          <w:rFonts w:ascii="Times New Roman" w:cs="Times New Roman" w:eastAsia="Times New Roman" w:hAnsi="Times New Roman"/>
          <w:sz w:val="20"/>
          <w:szCs w:val="20"/>
          <w:u w:val="single" w:color="auto"/>
          <w:color w:val="auto"/>
        </w:rPr>
        <w:t>Foreign Action</w:t>
      </w:r>
      <w:r>
        <w:rPr>
          <w:rFonts w:ascii="Times New Roman" w:cs="Times New Roman" w:eastAsia="Times New Roman" w:hAnsi="Times New Roman"/>
          <w:sz w:val="20"/>
          <w:szCs w:val="20"/>
          <w:color w:val="auto"/>
        </w:rPr>
        <w:t>”) in the name of any stockholder, such stockholder shall be deemed to have consented to (x) the personal jurisdiction of the state and federal courts in the State of Delaware in connection with any action brought in any such court to enforce the provisions of clause (a) of the immediately preceding sentence and (y) having service of process made upon such stockholder in any such action by service upon such stockholder’s counsel in the Foreign Action as agent for such stockholder.</w:t>
      </w:r>
    </w:p>
    <w:p>
      <w:pPr>
        <w:spacing w:after="0" w:line="17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To the fullest extent permitted by law, any person purchasing or otherwise acquiring any interest in shares of capital stock of the Corporation shall be deemed to have notice of and consented to the provisions of this Article XI. The provisions of this Article XI are intended to benefit and may be enforced by the Corporation, its officers and directors, the underwriters to any offering giving rise to such complaint, and any other professional or entity whose profession gives authority to a statement made by that person or entity and who has prepared or certified any part of the documents underlying the offering. Notwithstanding the foregoing, the provisions of this Article XI shall not apply to suits brought to enforce any liability or duty created by the Exchange Act, or any other claim for which the federal courts of the United States have exclusive jurisdiction.</w:t>
      </w:r>
    </w:p>
    <w:p>
      <w:pPr>
        <w:spacing w:after="0" w:line="19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If any provision or provisions of this Article XI shall be held to be invalid, illegal or unenforceable as applied to any person or entity or circumstance for any reason whatsoever, then, to the fullest extent permitted by law, (a) the validity, legality and enforceability of such provisions in any other circumstance and of the remaining provisions of this Article XI (including, without limitation, each portion of any sentence of this Article XI containing any such provision held to be invalid, illegal or unenforceable that is not itself held to be invalid, illegal or unenforceable) and (b) the application of such provision to other persons or entities and circumstances shall not in any way be affected or impaired thereby.</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XII - DEFINITIONS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used in these bylaws, unless the context otherwise requires, the following terms shall have the following meanings:</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8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20"/>
          <w:szCs w:val="20"/>
          <w:color w:val="auto"/>
        </w:rPr>
        <w:t>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w:t>
      </w:r>
    </w:p>
    <w:p>
      <w:pPr>
        <w:spacing w:after="0" w:line="16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20"/>
          </w:cols>
          <w:pgMar w:left="320" w:top="1440" w:right="359" w:bottom="1440" w:gutter="0" w:footer="0" w:header="0"/>
        </w:sectPr>
      </w:pPr>
    </w:p>
    <w:bookmarkStart w:id="30" w:name="page31"/>
    <w:bookmarkEnd w:id="30"/>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term “person” means any individual, general partnership, limited partnership, limited liability company, corporation, trust, business trust, joint stock company, joint venture, unincorporated association, cooperative or association or any other legal entity or organization of whatever nature, and shall include any successor (by merger or otherwise) of such entity.</w:t>
      </w: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20"/>
          </w:cols>
          <w:pgMar w:left="320" w:top="1440" w:right="359" w:bottom="1440" w:gutter="0" w:footer="0" w:header="0"/>
        </w:sectPr>
      </w:pPr>
    </w:p>
    <w:bookmarkStart w:id="31" w:name="page32"/>
    <w:bookmarkEnd w:id="31"/>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ARDELYX, INC.</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CERTIFICATE OF AMENDMENT AND RESTATEMENT OF BYLAWS</w:t>
      </w:r>
    </w:p>
    <w:p>
      <w:pPr>
        <w:spacing w:after="0" w:line="22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0"/>
          <w:szCs w:val="20"/>
          <w:color w:val="auto"/>
        </w:rPr>
        <w:t>The undersigned hereby certifies that he or she is the duly elected, qualified, and acting Secretary of Ardelyx, Inc., a Delaware corporation, and that the foregoing bylaws, comprising 25 pages, were amended and restated effective as of August 1, 2025 by the Corporation’s board of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WITNESS WHEREOF, the undersigned has hereunto set his or her hand this 1st day of August,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20"/>
          <w:szCs w:val="20"/>
          <w:color w:val="auto"/>
        </w:rPr>
        <w:t>/s/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22860</wp:posOffset>
            </wp:positionV>
            <wp:extent cx="15684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4"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20"/>
          <w:szCs w:val="20"/>
          <w:color w:val="auto"/>
        </w:rPr>
        <w:t>Elizabeth Grammer</w:t>
      </w:r>
    </w:p>
    <w:p>
      <w:pPr>
        <w:spacing w:after="0" w:line="67" w:lineRule="exact"/>
        <w:rPr>
          <w:sz w:val="20"/>
          <w:szCs w:val="20"/>
          <w:color w:val="auto"/>
        </w:rPr>
      </w:pPr>
    </w:p>
    <w:p>
      <w:pPr>
        <w:ind w:left="8740"/>
        <w:spacing w:after="0"/>
        <w:rPr>
          <w:sz w:val="20"/>
          <w:szCs w:val="20"/>
          <w:color w:val="auto"/>
        </w:rPr>
      </w:pPr>
      <w:r>
        <w:rPr>
          <w:rFonts w:ascii="Times New Roman" w:cs="Times New Roman" w:eastAsia="Times New Roman" w:hAnsi="Times New Roman"/>
          <w:sz w:val="20"/>
          <w:szCs w:val="20"/>
          <w:color w:val="auto"/>
        </w:rPr>
        <w:t>Chief Legal and</w:t>
      </w:r>
    </w:p>
    <w:p>
      <w:pPr>
        <w:spacing w:after="0" w:line="22"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20"/>
          <w:szCs w:val="20"/>
          <w:color w:val="auto"/>
        </w:rPr>
        <w:t>Administrative Officer &amp;</w:t>
      </w:r>
    </w:p>
    <w:p>
      <w:pPr>
        <w:spacing w:after="0" w:line="6"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20"/>
          <w:szCs w:val="20"/>
          <w:color w:val="auto"/>
        </w:rPr>
        <w:t>Secretary</w:t>
      </w:r>
    </w:p>
    <w:p>
      <w:pPr>
        <w:sectPr>
          <w:pgSz w:w="11900" w:h="16838" w:orient="portrait"/>
          <w:cols w:equalWidth="0" w:num="1">
            <w:col w:w="11160"/>
          </w:cols>
          <w:pgMar w:left="320" w:top="1409" w:right="4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394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Exhibit 99.1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Ardelyx Reports Second Quarter 2025 Financial Results and Provides Business Update</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reports strong commercial performance in the second quarter, recording $97.7 million in total revenue, reflecting 33% growth year-over-year</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IBSRELA generated net sales revenue of $65.0 million;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XPHOZAH generated net sales revenue of $25.0 million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ends Q2 with $238.5 million in cash, cash equivalents and investments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Company raises 2025 IBSRELA net sales revenue expectations to $250-$260 million</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Conference call scheduled for 4:30 PM Eastern Time</w:t>
      </w:r>
    </w:p>
    <w:p>
      <w:pPr>
        <w:spacing w:after="0" w:line="169"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WALTHAM, Mass., August 4, 2025 </w:t>
      </w:r>
      <w:r>
        <w:rPr>
          <w:rFonts w:ascii="Times New Roman" w:cs="Times New Roman" w:eastAsia="Times New Roman" w:hAnsi="Times New Roman"/>
          <w:sz w:val="18"/>
          <w:szCs w:val="18"/>
          <w:color w:val="auto"/>
        </w:rPr>
        <w:t>- Ardelyx, Inc. (Nasdaq: ARDX), a biopharmaceutical company founded with a mission to discover, develop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commercialize innovative, first-in-class medicines that meet significant unmet medical needs, today reported financial results for the second quarter ended June 30, 2025 and provided a business update.</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“Ardelyx delivered an outstanding second quarter of 2025, generating nearly $100 million in total revenue, a 33% increase compared to the same period in 2024 and growth of 32% quarter-over-quarter. We delivered significant, meaningful results from both of our commercial products, demonstrating the important role they play in helping patients,” said Mike Raab, president and chief executive officer of Ardelyx. “During the second quarter, IBSRELA recorded its highest revenue quarter, with growth across all key demand indicators. Our confidence in IBSRELA continues to grow, and we are raising our 2025 revenue expectations to $250-$260 million. XPHOZAH also delivered a very encouraging quarter with significant prescription growth compared to the first quarter of 2025. This performance demonstrates that our strategy to provide access to XPHOZAH for all appropriate patients is working in this new market environment. We are confident in our team’s ability to deliver growth for XPHOZAH for the remainder of 2025.”</w:t>
      </w:r>
    </w:p>
    <w:p>
      <w:pPr>
        <w:spacing w:after="0" w:line="13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Raab continued, “In addition to driving significant revenue growth, we carefully managed investments and closed on an option to draw additional debt at a reasonable cost. Ardelyx is gaining momentum as we head into the second half of 2025, and we remain focused on commercial execution and bringing our medicines to patients who need more options.”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IBSRELA</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(tenapanor) records $65.0 million in net sales revenue in Q2 2025</w:t>
      </w:r>
    </w:p>
    <w:p>
      <w:pPr>
        <w:spacing w:after="0" w:line="253" w:lineRule="auto"/>
        <w:rPr>
          <w:sz w:val="20"/>
          <w:szCs w:val="20"/>
          <w:color w:val="auto"/>
        </w:rPr>
      </w:pPr>
      <w:r>
        <w:rPr>
          <w:rFonts w:ascii="Times New Roman" w:cs="Times New Roman" w:eastAsia="Times New Roman" w:hAnsi="Times New Roman"/>
          <w:sz w:val="18"/>
          <w:szCs w:val="18"/>
          <w:color w:val="auto"/>
        </w:rPr>
        <w:t>IBSRELA reported $65.0 million in U.S. net sales revenue during the second quarter of 2025, reflecting significant year-over-year growth of 84% and quarter-over-quarter growth of 46%. IBSRELA delivered its highest demand quarter, including record highs for new and refill prescriptions and new and repeat writers, driven by a continued strategic focus on commercial execution and prescription pull-through. Ardelyx now expects full-year 2025 IBSRELA U.S. net sales revenue to be between $250.0 and $260.0 million.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XPHOZAH</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(tenapanor) records $25.0 million net sales revenue during Q2 2025</w:t>
      </w:r>
    </w:p>
    <w:p>
      <w:pPr>
        <w:ind w:right="80"/>
        <w:spacing w:after="0" w:line="254" w:lineRule="auto"/>
        <w:rPr>
          <w:sz w:val="20"/>
          <w:szCs w:val="20"/>
          <w:color w:val="auto"/>
        </w:rPr>
      </w:pPr>
      <w:r>
        <w:rPr>
          <w:rFonts w:ascii="Times New Roman" w:cs="Times New Roman" w:eastAsia="Times New Roman" w:hAnsi="Times New Roman"/>
          <w:sz w:val="18"/>
          <w:szCs w:val="18"/>
          <w:color w:val="auto"/>
        </w:rPr>
        <w:t>U.S. net sales revenue for XPHOZAH during the second quarter of 2025 was $25.0 million, driven by growing demand for XPHOZAH among prescribing healthcare providers. Compared to the first quarter of 2025, XPHOZAH net sales revenue increased 7%. Excluding the one-time returns reserve release reported during the first quarter, XPHOZAH net sales revenue growth was 27% quarter-over-quarter.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Corporate Developments</w:t>
      </w:r>
    </w:p>
    <w:p>
      <w:pPr>
        <w:spacing w:after="0" w:line="31" w:lineRule="exact"/>
        <w:rPr>
          <w:sz w:val="20"/>
          <w:szCs w:val="20"/>
          <w:color w:val="auto"/>
        </w:rPr>
      </w:pPr>
    </w:p>
    <w:p>
      <w:pPr>
        <w:ind w:left="340" w:right="260" w:hanging="332"/>
        <w:spacing w:after="0" w:line="250"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the company announced an amendment to its February 2022 loan agreement with investment affiliates managed by SLR Investment Corp. (SLR). The company drew the remaining $50 million tranche at SOFR plus 4%, subject to a SOFR floor of 4.7%. The amendment also provides the Company with the option to draw an additional $100.0 million of debt, consisting of two tranches of $50.0 million.</w:t>
      </w:r>
    </w:p>
    <w:p>
      <w:pPr>
        <w:spacing w:after="0" w:line="1"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the company announced the appointment of Mike Kelliher as Chief Business Officer and James P. Brady as Chief Human Resources Officer.</w:t>
      </w:r>
    </w:p>
    <w:p>
      <w:pPr>
        <w:spacing w:after="0" w:line="9" w:lineRule="exact"/>
        <w:rPr>
          <w:rFonts w:ascii="Times New Roman" w:cs="Times New Roman" w:eastAsia="Times New Roman" w:hAnsi="Times New Roman"/>
          <w:sz w:val="18"/>
          <w:szCs w:val="18"/>
          <w:color w:val="auto"/>
        </w:rPr>
      </w:pPr>
    </w:p>
    <w:p>
      <w:pPr>
        <w:ind w:left="340" w:right="220" w:hanging="332"/>
        <w:spacing w:after="0" w:line="260"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presented three posters, including results from the IBS in America 2024 supplemental survey demonstrating that the severity of IBS-C correlates with financial hardship and distress, at the 2025 Digestive Disease Week Conference, held May 3-6, 2025.</w:t>
      </w:r>
    </w:p>
    <w:p>
      <w:pPr>
        <w:sectPr>
          <w:pgSz w:w="11900" w:h="16838" w:orient="portrait"/>
          <w:cols w:equalWidth="0" w:num="1">
            <w:col w:w="11240"/>
          </w:cols>
          <w:pgMar w:left="320" w:top="1427" w:right="339" w:bottom="1440" w:gutter="0" w:footer="0" w:header="0"/>
        </w:sectPr>
      </w:pPr>
    </w:p>
    <w:bookmarkStart w:id="33" w:name="page34"/>
    <w:bookmarkEnd w:id="33"/>
    <w:p>
      <w:pPr>
        <w:ind w:left="340" w:right="420" w:hanging="332"/>
        <w:spacing w:after="0" w:line="282" w:lineRule="auto"/>
        <w:tabs>
          <w:tab w:leader="none" w:pos="3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2917190</wp:posOffset>
            </wp:positionH>
            <wp:positionV relativeFrom="page">
              <wp:posOffset>200025</wp:posOffset>
            </wp:positionV>
            <wp:extent cx="1722755" cy="394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The company presented a post-hoc analysis of the OPTIMIZE Study, an open-label clinical trial of XPHOZAH as a poster at the National Kidney Foundation 2025 Spring Clinical Meetings, held April 10-13,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 Quarter 2025 Financial Results</w:t>
      </w:r>
    </w:p>
    <w:p>
      <w:pPr>
        <w:spacing w:after="0" w:line="31" w:lineRule="exact"/>
        <w:rPr>
          <w:sz w:val="20"/>
          <w:szCs w:val="20"/>
          <w:color w:val="auto"/>
        </w:rPr>
      </w:pPr>
    </w:p>
    <w:p>
      <w:pPr>
        <w:ind w:left="340" w:right="220" w:hanging="332"/>
        <w:spacing w:after="0" w:line="255"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Position: </w:t>
      </w:r>
      <w:r>
        <w:rPr>
          <w:rFonts w:ascii="Times New Roman" w:cs="Times New Roman" w:eastAsia="Times New Roman" w:hAnsi="Times New Roman"/>
          <w:sz w:val="18"/>
          <w:szCs w:val="18"/>
          <w:color w:val="auto"/>
        </w:rPr>
        <w:t>As of June 30, 2025, the company had total cash, cash equivalents and short-term investments of $238.5 million, as compared to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cash equivalents and short-term investments of $250.1 million as of December 31, 2024. In June, the company drew $48.7 million in net proceeds under its term loan with SLR Investment Corp.</w:t>
      </w:r>
    </w:p>
    <w:p>
      <w:pPr>
        <w:spacing w:after="0" w:line="127" w:lineRule="exact"/>
        <w:rPr>
          <w:rFonts w:ascii="Times New Roman" w:cs="Times New Roman" w:eastAsia="Times New Roman" w:hAnsi="Times New Roman"/>
          <w:sz w:val="18"/>
          <w:szCs w:val="18"/>
          <w:color w:val="auto"/>
        </w:rPr>
      </w:pPr>
    </w:p>
    <w:p>
      <w:pPr>
        <w:ind w:left="340" w:right="260" w:hanging="332"/>
        <w:spacing w:after="0" w:line="263"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Total revenue for the quarter ended June 30, 2025 was $97.7 million, compared to $73.2 million in total revenue during the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June 30, 2024, reflecting increased IBSRELA net product sales and product supply revenue.</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IBSRELA U.S. net product sales revenue was $65.0 million, compared to $35.4 million during the same period of 2024.</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XPHOZAH U.S. net product sales revenue was $25.0 million, compared to $37.1 million during the same period of 2024. The year-over-</w:t>
      </w:r>
    </w:p>
    <w:p>
      <w:pPr>
        <w:spacing w:after="0" w:line="9" w:lineRule="exact"/>
        <w:rPr>
          <w:rFonts w:ascii="Times New Roman" w:cs="Times New Roman" w:eastAsia="Times New Roman" w:hAnsi="Times New Roman"/>
          <w:sz w:val="18"/>
          <w:szCs w:val="18"/>
          <w:color w:val="auto"/>
        </w:rPr>
      </w:pPr>
    </w:p>
    <w:p>
      <w:pPr>
        <w:ind w:left="1300" w:right="3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 decline in revenue is due to the loss of Medicare coverage following the transition of oral only therapies into the Medicare End-Stage Renal Disease Prospective Payment System on January 1, 2025.</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Product supply revenue was $6.2 million, compared to $13 thousand during the same period of 2024.</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Licensing revenue was $20 thousand, compared to $19 thousand during the same period of 2024.</w:t>
      </w:r>
    </w:p>
    <w:p>
      <w:pPr>
        <w:spacing w:after="0" w:line="9" w:lineRule="exact"/>
        <w:rPr>
          <w:rFonts w:ascii="Times New Roman" w:cs="Times New Roman" w:eastAsia="Times New Roman" w:hAnsi="Times New Roman"/>
          <w:sz w:val="18"/>
          <w:szCs w:val="18"/>
          <w:color w:val="auto"/>
        </w:rPr>
      </w:pPr>
    </w:p>
    <w:p>
      <w:pPr>
        <w:ind w:left="1300" w:right="380" w:hanging="32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Non-cash royalty revenue related to the sale of future royalties was $1.4 million, compared to $0.6 million during the same period of 2024.</w:t>
      </w:r>
    </w:p>
    <w:p>
      <w:pPr>
        <w:spacing w:after="0" w:line="123" w:lineRule="exact"/>
        <w:rPr>
          <w:rFonts w:ascii="Times New Roman" w:cs="Times New Roman" w:eastAsia="Times New Roman" w:hAnsi="Times New Roman"/>
          <w:sz w:val="18"/>
          <w:szCs w:val="18"/>
          <w:color w:val="auto"/>
        </w:rPr>
      </w:pPr>
    </w:p>
    <w:p>
      <w:pPr>
        <w:ind w:left="340" w:hanging="332"/>
        <w:spacing w:after="0" w:line="286"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R&amp;D Expenses: </w:t>
      </w:r>
      <w:r>
        <w:rPr>
          <w:rFonts w:ascii="Times New Roman" w:cs="Times New Roman" w:eastAsia="Times New Roman" w:hAnsi="Times New Roman"/>
          <w:sz w:val="18"/>
          <w:szCs w:val="18"/>
          <w:color w:val="auto"/>
        </w:rPr>
        <w:t>Research and development expenses were $15.7 million for the quarter ended June 30, 2025, compared to $12.8 million for the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June 30, 2024.</w:t>
      </w:r>
    </w:p>
    <w:p>
      <w:pPr>
        <w:spacing w:after="0" w:line="100" w:lineRule="exact"/>
        <w:rPr>
          <w:rFonts w:ascii="Times New Roman" w:cs="Times New Roman" w:eastAsia="Times New Roman" w:hAnsi="Times New Roman"/>
          <w:sz w:val="18"/>
          <w:szCs w:val="18"/>
          <w:color w:val="auto"/>
        </w:rPr>
      </w:pPr>
    </w:p>
    <w:p>
      <w:pPr>
        <w:ind w:left="340" w:right="140" w:hanging="332"/>
        <w:spacing w:after="0" w:line="268"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SG&amp;A Expenses: </w:t>
      </w:r>
      <w:r>
        <w:rPr>
          <w:rFonts w:ascii="Times New Roman" w:cs="Times New Roman" w:eastAsia="Times New Roman" w:hAnsi="Times New Roman"/>
          <w:sz w:val="18"/>
          <w:szCs w:val="18"/>
          <w:color w:val="auto"/>
        </w:rPr>
        <w:t>Selling, general and administrative expenses were $84.0 million for the quarter ended June 30, 2025, compared to $64.7 million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quarter ended June 30, 2024. The increase primarily reflected increased commercialization and administrative investments to support net sales growth of IBSRELA and XPHOZAH.</w:t>
      </w:r>
    </w:p>
    <w:p>
      <w:pPr>
        <w:spacing w:after="0" w:line="116" w:lineRule="exact"/>
        <w:rPr>
          <w:rFonts w:ascii="Times New Roman" w:cs="Times New Roman" w:eastAsia="Times New Roman" w:hAnsi="Times New Roman"/>
          <w:sz w:val="18"/>
          <w:szCs w:val="18"/>
          <w:color w:val="auto"/>
        </w:rPr>
      </w:pPr>
    </w:p>
    <w:p>
      <w:pPr>
        <w:ind w:left="340" w:right="280" w:hanging="332"/>
        <w:spacing w:after="0" w:line="268" w:lineRule="auto"/>
        <w:tabs>
          <w:tab w:leader="none" w:pos="2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Net loss for the quarter ended June 30, 2025 was $19.1 million, or $(0.08) per share, compared to net loss of $16.5 million, or $(0.07) per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for the quarter ended June 30, 2024. The net loss for the second quarter of 2025 included share-based compensation expense of $11.7 million and non-cash interest expense related to the sale of future royalties of $2.2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31"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 xml:space="preserve">The company will host a conference call today, August 4, 2025, at 4:30 PM ET to discuss today’s announcement. To participate in the conference call, please dial (877) 346-6112 (domestic) or (848) 280-6350 (international) and ask to be joined into the Ardelyx call. A webcast of the call can also be accessed by visiting the Investor page of the company’s website, </w:t>
      </w:r>
      <w:r>
        <w:rPr>
          <w:rFonts w:ascii="Times New Roman" w:cs="Times New Roman" w:eastAsia="Times New Roman" w:hAnsi="Times New Roman"/>
          <w:sz w:val="17"/>
          <w:szCs w:val="17"/>
          <w:u w:val="single" w:color="auto"/>
          <w:color w:val="0000FF"/>
        </w:rPr>
        <w:t>https://ir.ardelyx.com/</w:t>
      </w:r>
      <w:r>
        <w:rPr>
          <w:rFonts w:ascii="Times New Roman" w:cs="Times New Roman" w:eastAsia="Times New Roman" w:hAnsi="Times New Roman"/>
          <w:sz w:val="17"/>
          <w:szCs w:val="17"/>
          <w:color w:val="auto"/>
        </w:rPr>
        <w:t>, and will be available on the website for 30 days following the call.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IMPORTANT SAFETY INFORMATION (IBSRELA)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40575" cy="797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0575" cy="797560"/>
                    </a:xfrm>
                    <a:prstGeom prst="rect">
                      <a:avLst/>
                    </a:prstGeom>
                    <a:noFill/>
                  </pic:spPr>
                </pic:pic>
              </a:graphicData>
            </a:graphic>
          </wp:anchor>
        </w:drawing>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WARNING: RISK OF SERIOUS DEHYDRATION IN PEDIATRIC PATIENTS</w:t>
      </w:r>
    </w:p>
    <w:p>
      <w:pPr>
        <w:spacing w:after="0" w:line="94" w:lineRule="exact"/>
        <w:rPr>
          <w:sz w:val="20"/>
          <w:szCs w:val="20"/>
          <w:color w:val="auto"/>
        </w:rPr>
      </w:pPr>
    </w:p>
    <w:p>
      <w:pPr>
        <w:jc w:val="both"/>
        <w:ind w:left="40" w:right="740"/>
        <w:spacing w:after="0" w:line="375" w:lineRule="auto"/>
        <w:rPr>
          <w:sz w:val="20"/>
          <w:szCs w:val="20"/>
          <w:color w:val="auto"/>
        </w:rPr>
      </w:pPr>
      <w:r>
        <w:rPr>
          <w:rFonts w:ascii="Times New Roman" w:cs="Times New Roman" w:eastAsia="Times New Roman" w:hAnsi="Times New Roman"/>
          <w:sz w:val="18"/>
          <w:szCs w:val="18"/>
          <w:color w:val="auto"/>
        </w:rPr>
        <w:t>IBSRELA is contraindicated in patients less than 6 years of age; in nonclinical studies in young juvenile rats administration of tenapanor caused deaths presumed to be due to dehydration. Avoid use of IBSRELA in patients 6 years to less than 12 years of age. The safety and effectiveness of IBSRELA have not been established in patients less than 18 years of age.</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35" w:lineRule="exact"/>
        <w:rPr>
          <w:sz w:val="20"/>
          <w:szCs w:val="20"/>
          <w:color w:val="auto"/>
        </w:rPr>
      </w:pPr>
    </w:p>
    <w:p>
      <w:pPr>
        <w:ind w:left="320" w:hanging="312"/>
        <w:spacing w:after="0"/>
        <w:tabs>
          <w:tab w:leader="none" w:pos="32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IBSRELA is contraindicated in patients less than 6 years of age due to the risk of serious dehydration.</w:t>
      </w:r>
    </w:p>
    <w:p>
      <w:pPr>
        <w:spacing w:after="0" w:line="13" w:lineRule="exact"/>
        <w:rPr>
          <w:rFonts w:ascii="Arial" w:cs="Arial" w:eastAsia="Arial" w:hAnsi="Arial"/>
          <w:sz w:val="22"/>
          <w:szCs w:val="22"/>
          <w:color w:val="auto"/>
        </w:rPr>
      </w:pPr>
    </w:p>
    <w:p>
      <w:pPr>
        <w:ind w:left="320" w:hanging="312"/>
        <w:spacing w:after="0" w:line="230" w:lineRule="auto"/>
        <w:tabs>
          <w:tab w:leader="none" w:pos="32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IBSRELA is contraindicated in patients with known or suspected mechanical gastrointestinal obstruction.</w:t>
      </w:r>
    </w:p>
    <w:p>
      <w:pPr>
        <w:sectPr>
          <w:pgSz w:w="11900" w:h="16838" w:orient="portrait"/>
          <w:cols w:equalWidth="0" w:num="1">
            <w:col w:w="11240"/>
          </w:cols>
          <w:pgMar w:left="320" w:top="143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200025</wp:posOffset>
            </wp:positionV>
            <wp:extent cx="1722755" cy="394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of Serious Dehydration in Pediatric Patients</w:t>
      </w:r>
    </w:p>
    <w:p>
      <w:pPr>
        <w:spacing w:after="0" w:line="31" w:lineRule="exact"/>
        <w:rPr>
          <w:sz w:val="20"/>
          <w:szCs w:val="20"/>
          <w:color w:val="auto"/>
        </w:rPr>
      </w:pPr>
    </w:p>
    <w:p>
      <w:pPr>
        <w:ind w:left="660" w:right="60" w:hanging="328"/>
        <w:spacing w:after="0" w:line="246" w:lineRule="auto"/>
        <w:tabs>
          <w:tab w:leader="none" w:pos="65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IBSRELA is contraindicated in patients below 6 years of age. The safety and effectiveness of IBSRELA in patients less than 18 years of age have not been established. In young juvenile rats (less than 1 week old; approximate human age equivalent of less than 2 years of age), decreased body weight and deaths occurred, presumed to be due to dehydration, following oral administration of tenapanor. There are no data available in older juvenile rats (human age equivalent 2 years to less than 12 years).</w:t>
      </w:r>
    </w:p>
    <w:p>
      <w:pPr>
        <w:spacing w:after="0" w:line="22" w:lineRule="exact"/>
        <w:rPr>
          <w:rFonts w:ascii="Arial" w:cs="Arial" w:eastAsia="Arial" w:hAnsi="Arial"/>
          <w:sz w:val="22"/>
          <w:szCs w:val="22"/>
          <w:color w:val="auto"/>
        </w:rPr>
      </w:pPr>
    </w:p>
    <w:p>
      <w:pPr>
        <w:jc w:val="both"/>
        <w:ind w:left="660" w:right="240" w:hanging="328"/>
        <w:spacing w:after="0" w:line="239" w:lineRule="auto"/>
        <w:tabs>
          <w:tab w:leader="none" w:pos="655"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Avoid the use of IBSRELA in patients 6 years to less than 12 years of age. Although there are no data in older juvenile rats, given the deaths in younger rats and the lack of clinical safety and efficacy data in pediatric patients, avoid the use of IBSRELA in patients 6 years to less than 12 years of age.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31"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Diarrhea was the most common adverse reaction in two randomized, double-blind, placebo-controlled trials of IBS-C. Severe diarrhea was reported in 2.5% of IBSRELA-treated patients. If severe diarrhea occurs, suspend dosing and rehydrate patient.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MOST COMMON ADVERSE REACTIONS</w:t>
      </w:r>
    </w:p>
    <w:p>
      <w:pPr>
        <w:spacing w:after="0" w:line="31" w:lineRule="exact"/>
        <w:rPr>
          <w:sz w:val="20"/>
          <w:szCs w:val="20"/>
          <w:color w:val="auto"/>
        </w:rPr>
      </w:pPr>
    </w:p>
    <w:p>
      <w:pPr>
        <w:ind w:right="660"/>
        <w:spacing w:after="0" w:line="260" w:lineRule="auto"/>
        <w:rPr>
          <w:sz w:val="20"/>
          <w:szCs w:val="20"/>
          <w:color w:val="auto"/>
        </w:rPr>
      </w:pPr>
      <w:r>
        <w:rPr>
          <w:rFonts w:ascii="Times New Roman" w:cs="Times New Roman" w:eastAsia="Times New Roman" w:hAnsi="Times New Roman"/>
          <w:sz w:val="18"/>
          <w:szCs w:val="18"/>
          <w:color w:val="auto"/>
        </w:rPr>
        <w:t>The most common adverse reactions in IBSRELA-treated patients (incidence ≥2% and greater than placebo) were: diarrhea (16% vs 4% placebo), abdominal distension (3% vs &lt;1%), flatulence (3% vs 1%) and dizziness (2% vs &lt;1%).</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INDICATION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IBSRELA (tenapanor) is indicated for the treatment of Irritable Bowel Syndrome with Constipation (IBS-C) in adults.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Please see full </w:t>
      </w:r>
      <w:r>
        <w:rPr>
          <w:rFonts w:ascii="Times New Roman" w:cs="Times New Roman" w:eastAsia="Times New Roman" w:hAnsi="Times New Roman"/>
          <w:sz w:val="18"/>
          <w:szCs w:val="18"/>
          <w:b w:val="1"/>
          <w:bCs w:val="1"/>
          <w:u w:val="single" w:color="auto"/>
          <w:color w:val="0000FF"/>
        </w:rPr>
        <w:t>Prescribing Information</w:t>
      </w:r>
      <w:r>
        <w:rPr>
          <w:rFonts w:ascii="Times New Roman" w:cs="Times New Roman" w:eastAsia="Times New Roman" w:hAnsi="Times New Roman"/>
          <w:sz w:val="18"/>
          <w:szCs w:val="18"/>
          <w:b w:val="1"/>
          <w:bCs w:val="1"/>
          <w:color w:val="auto"/>
          <w:highlight w:val="white"/>
        </w:rPr>
        <w:t>, including Boxed Warning, for additional risk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IMPORTANT SAFETY INFORMATION (XPHOZAH)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CONTRAINDICATIONS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XPHOZAH is contraindicated in:</w:t>
      </w:r>
    </w:p>
    <w:p>
      <w:pPr>
        <w:spacing w:after="0" w:line="1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Pediatric patients under 6 years of age</w:t>
      </w:r>
    </w:p>
    <w:p>
      <w:pPr>
        <w:spacing w:after="0" w:line="13" w:lineRule="exact"/>
        <w:rPr>
          <w:rFonts w:ascii="Arial" w:cs="Arial" w:eastAsia="Arial" w:hAnsi="Arial"/>
          <w:sz w:val="22"/>
          <w:szCs w:val="22"/>
          <w:color w:val="auto"/>
        </w:rPr>
      </w:pPr>
    </w:p>
    <w:p>
      <w:pPr>
        <w:ind w:left="660" w:hanging="328"/>
        <w:spacing w:after="0" w:line="230" w:lineRule="auto"/>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Patients with known or suspected mechanical gastrointestinal obstruction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WARNINGS AND PRECAUTIONS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Diarrhea</w:t>
      </w:r>
    </w:p>
    <w:p>
      <w:pPr>
        <w:spacing w:after="0" w:line="9" w:lineRule="exact"/>
        <w:rPr>
          <w:sz w:val="20"/>
          <w:szCs w:val="20"/>
          <w:color w:val="auto"/>
        </w:rPr>
      </w:pPr>
    </w:p>
    <w:p>
      <w:pPr>
        <w:ind w:right="1560"/>
        <w:spacing w:after="0" w:line="344" w:lineRule="auto"/>
        <w:rPr>
          <w:sz w:val="20"/>
          <w:szCs w:val="20"/>
          <w:color w:val="auto"/>
        </w:rPr>
      </w:pPr>
      <w:r>
        <w:rPr>
          <w:rFonts w:ascii="Times New Roman" w:cs="Times New Roman" w:eastAsia="Times New Roman" w:hAnsi="Times New Roman"/>
          <w:sz w:val="18"/>
          <w:szCs w:val="18"/>
          <w:color w:val="auto"/>
        </w:rPr>
        <w:t xml:space="preserve">Patients may experience severe diarrhea. Treatment with XPHOZAH should be discontinued in patients who develop severe diarrhea. </w:t>
      </w:r>
      <w:r>
        <w:rPr>
          <w:rFonts w:ascii="Times New Roman" w:cs="Times New Roman" w:eastAsia="Times New Roman" w:hAnsi="Times New Roman"/>
          <w:sz w:val="18"/>
          <w:szCs w:val="18"/>
          <w:b w:val="1"/>
          <w:bCs w:val="1"/>
          <w:color w:val="auto"/>
        </w:rPr>
        <w:t>MOST COMMON ADVERSE REACTIONS</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Diarrhea, which occurred in 43-53% of patients, was the only adverse reaction reported in at least 5% of XPHOZAH-treated patients with CKD on dialysis across trials. The majority of diarrhea events in the XPHOZAH-treated patients were reported to be mild-to-moderate in severity and resolved over time, or with dose reduction. Diarrhea was typically reported soon after initiation but could occur at any time during treatment with XPHOZAH. Severe diarrhea was reported in 5% of XPHOZAH-treated patients in these trials.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INDICATION</w:t>
      </w:r>
    </w:p>
    <w:p>
      <w:pPr>
        <w:spacing w:after="0" w:line="3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XPHOZAH (tenapanor), 30 mg BID, is indicated to reduce serum phosphorus in adults with chronic kidney disease (CKD) on dialysis as add-on therapy in patients who have an inadequate response to phosphate binders or who are intolerant of any dose of phosphate binder therapy.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additional safety information, please see full </w:t>
      </w:r>
      <w:r>
        <w:rPr>
          <w:rFonts w:ascii="Times New Roman" w:cs="Times New Roman" w:eastAsia="Times New Roman" w:hAnsi="Times New Roman"/>
          <w:sz w:val="18"/>
          <w:szCs w:val="18"/>
          <w:u w:val="single" w:color="auto"/>
          <w:color w:val="0000FF"/>
        </w:rPr>
        <w:t>Prescribing Information</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Ardelyx</w:t>
      </w:r>
    </w:p>
    <w:p>
      <w:pPr>
        <w:spacing w:after="0" w:line="31" w:lineRule="exact"/>
        <w:rPr>
          <w:sz w:val="20"/>
          <w:szCs w:val="20"/>
          <w:color w:val="auto"/>
        </w:rPr>
      </w:pPr>
    </w:p>
    <w:p>
      <w:pPr>
        <w:ind w:right="220"/>
        <w:spacing w:after="0" w:line="225" w:lineRule="auto"/>
        <w:rPr>
          <w:sz w:val="20"/>
          <w:szCs w:val="20"/>
          <w:color w:val="auto"/>
        </w:rPr>
      </w:pPr>
      <w:r>
        <w:rPr>
          <w:rFonts w:ascii="Times New Roman" w:cs="Times New Roman" w:eastAsia="Times New Roman" w:hAnsi="Times New Roman"/>
          <w:sz w:val="18"/>
          <w:szCs w:val="18"/>
          <w:color w:val="auto"/>
        </w:rPr>
        <w:t>Ardelyx was founded with a mission to discover, develop and commercialize innovative, first-in-class medicines that meet significant unmet medical needs. Ardelyx has two commercial products approved in the United States, IBSRELA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and XPHOZAH</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as well as early-stage pipeline candidates. Ardelyx has agreements for the development and commercialization of tenapanor outside of the U.S. Kyowa Kirin commercializes PHOZEVEL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(tenapanor) for hyperphosphatemia in Japan. A New Drug Application for tenapanor for hyperphosphatemia has been approved in China with</w:t>
      </w:r>
    </w:p>
    <w:p>
      <w:pPr>
        <w:sectPr>
          <w:pgSz w:w="11900" w:h="16838" w:orient="portrait"/>
          <w:cols w:equalWidth="0" w:num="1">
            <w:col w:w="11200"/>
          </w:cols>
          <w:pgMar w:left="320" w:top="1427" w:right="379" w:bottom="1440" w:gutter="0" w:footer="0" w:header="0"/>
        </w:sectPr>
      </w:pPr>
    </w:p>
    <w:bookmarkStart w:id="35" w:name="page36"/>
    <w:bookmarkEnd w:id="35"/>
    <w:p>
      <w:pPr>
        <w:ind w:right="1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394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 xml:space="preserve">Fosun Pharma. Knight Therapeutics commercializes IBSRELA in Canada. For more information, please visit </w:t>
      </w:r>
      <w:r>
        <w:rPr>
          <w:rFonts w:ascii="Times New Roman" w:cs="Times New Roman" w:eastAsia="Times New Roman" w:hAnsi="Times New Roman"/>
          <w:sz w:val="18"/>
          <w:szCs w:val="18"/>
          <w:u w:val="single" w:color="auto"/>
          <w:color w:val="0000FF"/>
        </w:rPr>
        <w:t>https://ardelyx.com/</w:t>
      </w:r>
      <w:r>
        <w:rPr>
          <w:rFonts w:ascii="Times New Roman" w:cs="Times New Roman" w:eastAsia="Times New Roman" w:hAnsi="Times New Roman"/>
          <w:sz w:val="18"/>
          <w:szCs w:val="18"/>
          <w:color w:val="auto"/>
        </w:rPr>
        <w:t xml:space="preserve"> and connect with us on </w:t>
      </w:r>
      <w:r>
        <w:rPr>
          <w:rFonts w:ascii="Times New Roman" w:cs="Times New Roman" w:eastAsia="Times New Roman" w:hAnsi="Times New Roman"/>
          <w:sz w:val="18"/>
          <w:szCs w:val="18"/>
          <w:u w:val="single" w:color="auto"/>
          <w:color w:val="0000FF"/>
        </w:rPr>
        <w:t>X (formerly known as Twitter)</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LinkedIn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Facebook</w:t>
      </w:r>
      <w:r>
        <w:rPr>
          <w:rFonts w:ascii="Times New Roman" w:cs="Times New Roman" w:eastAsia="Times New Roman" w:hAnsi="Times New Roman"/>
          <w:sz w:val="18"/>
          <w:szCs w:val="18"/>
          <w:color w:val="000000"/>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3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To the extent that statements contained in this press release are not descriptions of historical facts regarding Ardelyx, they are forward-looking statements reflecting the current beliefs and expectations of management made pursuant to the safe harbor of the Private Securities Reform Act of 1995, including Ardelyx’s current expectations regarding the long term potential for Ardelyx’s existing commercial products; opportunities for continued IBSRELA and XPHOZAH net sales revenue growth during the remainder of 2025; and the projected U.S. net product sales revenue for IBSRELA for full year 2025. Such forward-looking statements involve known and unknown risks, uncertainties and other factors that are in some cases beyond our control, that could cause actual outcomes or results to differ materially from those expressed or implied by the forward-looking statements. Such risks and uncertainties include, among others, uncertainties associated with the development of, regulatory process for, and commercialization of drugs in the U.S. and internationally. Ardelyx undertakes no obligation to update or revise any forward-looking statements. For a further description of the risks and uncertainties that could cause actual results to differ from those expressed in these forward-looking statements, as well as risks relating to Ardelyx's business in general, please refer to Ardelyx’s Quarterly Report on Form 10-Q filed with the Securities and Exchange Commission on August 4, 2025, and its future current and periodic reports to be filed with the Securities and Exchange Commission.</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and Media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Caitlin Lowie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clowie@ardelyx.com</w:t>
      </w:r>
    </w:p>
    <w:p>
      <w:pPr>
        <w:sectPr>
          <w:pgSz w:w="11900" w:h="16838" w:orient="portrait"/>
          <w:cols w:equalWidth="0" w:num="1">
            <w:col w:w="11220"/>
          </w:cols>
          <w:pgMar w:left="320" w:top="1255" w:right="359" w:bottom="1440" w:gutter="0" w:footer="0" w:header="0"/>
        </w:sectPr>
      </w:pPr>
    </w:p>
    <w:bookmarkStart w:id="36" w:name="page37"/>
    <w:bookmarkEnd w:id="3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Short-term investments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3" w:lineRule="exact"/>
        <w:rPr>
          <w:sz w:val="20"/>
          <w:szCs w:val="20"/>
          <w:color w:val="auto"/>
        </w:rPr>
      </w:pPr>
    </w:p>
    <w:p>
      <w:pPr>
        <w:ind w:left="120" w:right="1200"/>
        <w:spacing w:after="0" w:line="266" w:lineRule="auto"/>
        <w:rPr>
          <w:sz w:val="20"/>
          <w:szCs w:val="20"/>
          <w:color w:val="auto"/>
        </w:rPr>
      </w:pPr>
      <w:r>
        <w:rPr>
          <w:rFonts w:ascii="Times New Roman" w:cs="Times New Roman" w:eastAsia="Times New Roman" w:hAnsi="Times New Roman"/>
          <w:sz w:val="18"/>
          <w:szCs w:val="18"/>
          <w:color w:val="auto"/>
        </w:rPr>
        <w:t>Prepaid commercial manufacturing Inventory</w:t>
      </w:r>
    </w:p>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Right-of-use assets</w:t>
      </w:r>
    </w:p>
    <w:p>
      <w:pPr>
        <w:spacing w:after="0" w:line="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Prepaid and other assets</w:t>
      </w:r>
    </w:p>
    <w:p>
      <w:pPr>
        <w:spacing w:after="0" w:line="5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jc w:val="center"/>
        <w:ind w:right="4580"/>
        <w:spacing w:after="0"/>
        <w:rPr>
          <w:sz w:val="20"/>
          <w:szCs w:val="20"/>
          <w:color w:val="auto"/>
        </w:rPr>
      </w:pPr>
      <w:r>
        <w:rPr>
          <w:rFonts w:ascii="Times New Roman" w:cs="Times New Roman" w:eastAsia="Times New Roman" w:hAnsi="Times New Roman"/>
          <w:sz w:val="18"/>
          <w:szCs w:val="18"/>
          <w:b w:val="1"/>
          <w:bCs w:val="1"/>
          <w:color w:val="auto"/>
        </w:rPr>
        <w:t>Ardelyx,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-206375</wp:posOffset>
            </wp:positionH>
            <wp:positionV relativeFrom="paragraph">
              <wp:posOffset>-836930</wp:posOffset>
            </wp:positionV>
            <wp:extent cx="1722755" cy="394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22755" cy="394335"/>
                    </a:xfrm>
                    <a:prstGeom prst="rect">
                      <a:avLst/>
                    </a:prstGeom>
                    <a:noFill/>
                  </pic:spPr>
                </pic:pic>
              </a:graphicData>
            </a:graphic>
          </wp:anchor>
        </w:drawing>
      </w:r>
    </w:p>
    <w:p>
      <w:pPr>
        <w:spacing w:after="0" w:line="11" w:lineRule="exact"/>
        <w:rPr>
          <w:sz w:val="20"/>
          <w:szCs w:val="20"/>
          <w:color w:val="auto"/>
        </w:rPr>
      </w:pPr>
    </w:p>
    <w:p>
      <w:pPr>
        <w:jc w:val="center"/>
        <w:ind w:right="4580"/>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21" w:lineRule="exact"/>
        <w:rPr>
          <w:sz w:val="20"/>
          <w:szCs w:val="20"/>
          <w:color w:val="auto"/>
        </w:rPr>
      </w:pPr>
    </w:p>
    <w:p>
      <w:pPr>
        <w:jc w:val="center"/>
        <w:ind w:right="4580"/>
        <w:spacing w:after="0"/>
        <w:rPr>
          <w:sz w:val="20"/>
          <w:szCs w:val="20"/>
          <w:color w:val="auto"/>
        </w:rPr>
      </w:pPr>
      <w:r>
        <w:rPr>
          <w:rFonts w:ascii="Times New Roman" w:cs="Times New Roman" w:eastAsia="Times New Roman" w:hAnsi="Times New Roman"/>
          <w:sz w:val="18"/>
          <w:szCs w:val="18"/>
          <w:color w:val="auto"/>
        </w:rPr>
        <w:t>(in thousands)</w:t>
      </w:r>
    </w:p>
    <w:p>
      <w:pPr>
        <w:spacing w:after="0" w:line="203" w:lineRule="exact"/>
        <w:rPr>
          <w:sz w:val="20"/>
          <w:szCs w:val="20"/>
          <w:color w:val="auto"/>
        </w:rPr>
      </w:pPr>
    </w:p>
    <w:tbl>
      <w:tblPr>
        <w:tblLayout w:type="fixed"/>
        <w:tblInd w:w="274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60" w:type="dxa"/>
            <w:vAlign w:val="bottom"/>
          </w:tcPr>
          <w:p>
            <w:pPr>
              <w:spacing w:after="0"/>
              <w:rPr>
                <w:sz w:val="20"/>
                <w:szCs w:val="20"/>
                <w:color w:val="auto"/>
              </w:rPr>
            </w:pPr>
          </w:p>
        </w:tc>
        <w:tc>
          <w:tcPr>
            <w:tcW w:w="172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2"/>
        </w:trPr>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445"/>
        </w:trPr>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90,045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64,932</w:t>
            </w:r>
          </w:p>
        </w:tc>
      </w:tr>
      <w:tr>
        <w:trPr>
          <w:trHeight w:val="230"/>
        </w:trPr>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148,407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185,168</w:t>
            </w:r>
          </w:p>
        </w:tc>
      </w:tr>
      <w:tr>
        <w:trPr>
          <w:trHeight w:val="229"/>
        </w:trPr>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57,705</w:t>
            </w:r>
          </w:p>
        </w:tc>
      </w:tr>
      <w:tr>
        <w:trPr>
          <w:trHeight w:val="229"/>
        </w:trPr>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16,378</w:t>
            </w:r>
          </w:p>
        </w:tc>
      </w:tr>
      <w:tr>
        <w:trPr>
          <w:trHeight w:val="230"/>
        </w:trPr>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91,184</w:t>
            </w:r>
          </w:p>
        </w:tc>
      </w:tr>
      <w:tr>
        <w:trPr>
          <w:trHeight w:val="229"/>
        </w:trPr>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r>
      <w:tr>
        <w:trPr>
          <w:trHeight w:val="230"/>
        </w:trPr>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w:t>
            </w:r>
          </w:p>
        </w:tc>
      </w:tr>
      <w:tr>
        <w:trPr>
          <w:trHeight w:val="234"/>
        </w:trPr>
        <w:tc>
          <w:tcPr>
            <w:tcW w:w="2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22,617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16,512</w:t>
            </w:r>
          </w:p>
        </w:tc>
      </w:tr>
      <w:tr>
        <w:trPr>
          <w:trHeight w:val="223"/>
        </w:trPr>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466,770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435,754</w:t>
            </w: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-2907030</wp:posOffset>
            </wp:positionH>
            <wp:positionV relativeFrom="paragraph">
              <wp:posOffset>-1499870</wp:posOffset>
            </wp:positionV>
            <wp:extent cx="7115175"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-1207770</wp:posOffset>
            </wp:positionV>
            <wp:extent cx="7115175"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-916305</wp:posOffset>
            </wp:positionV>
            <wp:extent cx="7115175"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-624840</wp:posOffset>
            </wp:positionV>
            <wp:extent cx="7115175" cy="145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-2907030</wp:posOffset>
            </wp:positionH>
            <wp:positionV relativeFrom="paragraph">
              <wp:posOffset>-334010</wp:posOffset>
            </wp:positionV>
            <wp:extent cx="711517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860" w:space="720"/>
            <w:col w:w="6620"/>
          </w:cols>
          <w:pgMar w:left="340" w:top="1251" w:right="359" w:bottom="1440" w:gutter="0" w:footer="0" w:header="0"/>
        </w:sectPr>
      </w:pPr>
    </w:p>
    <w:tbl>
      <w:tblPr>
        <w:tblLayout w:type="fixed"/>
        <w:tblInd w:w="0" w:type="dxa"/>
        <w:tblCellMar>
          <w:top w:w="0" w:type="dxa"/>
          <w:left w:w="0" w:type="dxa"/>
          <w:bottom w:w="0" w:type="dxa"/>
          <w:right w:w="0" w:type="dxa"/>
        </w:tblCellMar>
      </w:tblPr>
      <w:tr>
        <w:trPr>
          <w:trHeight w:val="210"/>
        </w:trPr>
        <w:tc>
          <w:tcPr>
            <w:tcW w:w="7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6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w:t>
            </w:r>
          </w:p>
        </w:tc>
      </w:tr>
      <w:tr>
        <w:trPr>
          <w:trHeight w:val="230"/>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14,940</w:t>
            </w:r>
          </w:p>
        </w:tc>
      </w:tr>
      <w:tr>
        <w:trPr>
          <w:trHeight w:val="229"/>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29"/>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18,575</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17,918</w:t>
            </w:r>
          </w:p>
        </w:tc>
      </w:tr>
      <w:tr>
        <w:trPr>
          <w:trHeight w:val="23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44,776</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35,665</w:t>
            </w:r>
          </w:p>
        </w:tc>
      </w:tr>
      <w:tr>
        <w:trPr>
          <w:trHeight w:val="229"/>
        </w:trPr>
        <w:tc>
          <w:tcPr>
            <w:tcW w:w="7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201,446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150,853</w:t>
            </w:r>
          </w:p>
        </w:tc>
      </w:tr>
      <w:tr>
        <w:trPr>
          <w:trHeight w:val="230"/>
        </w:trPr>
        <w:tc>
          <w:tcPr>
            <w:tcW w:w="7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royalty obligation related to the sale of future royalties</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27,761</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25,527</w:t>
            </w:r>
          </w:p>
        </w:tc>
      </w:tr>
      <w:tr>
        <w:trPr>
          <w:trHeight w:val="230"/>
        </w:trPr>
        <w:tc>
          <w:tcPr>
            <w:tcW w:w="7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139,531</w:t>
            </w:r>
          </w:p>
        </w:tc>
        <w:tc>
          <w:tcPr>
            <w:tcW w:w="100" w:type="dxa"/>
            <w:vAlign w:val="bottom"/>
            <w:tcBorders>
              <w:bottom w:val="single" w:sz="8" w:color="CCEEFF"/>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173,289</w:t>
            </w:r>
          </w:p>
        </w:tc>
      </w:tr>
      <w:tr>
        <w:trPr>
          <w:trHeight w:val="248"/>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466,770</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435,754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15" w:lineRule="exact"/>
        <w:rPr>
          <w:sz w:val="20"/>
          <w:szCs w:val="20"/>
          <w:color w:val="auto"/>
        </w:rPr>
      </w:pPr>
    </w:p>
    <w:p>
      <w:pPr>
        <w:ind w:left="180" w:hanging="161"/>
        <w:spacing w:after="0"/>
        <w:tabs>
          <w:tab w:leader="none" w:pos="180" w:val="left"/>
        </w:tabs>
        <w:numPr>
          <w:ilvl w:val="0"/>
          <w:numId w:val="3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Derived from the audited financial statements included in the Company’s Annual Report on Form 10-K for the year ended December 31, 2024.</w:t>
      </w:r>
    </w:p>
    <w:p>
      <w:pPr>
        <w:sectPr>
          <w:pgSz w:w="11900" w:h="16838" w:orient="portrait"/>
          <w:cols w:equalWidth="0" w:num="1">
            <w:col w:w="11200"/>
          </w:cols>
          <w:pgMar w:left="340" w:top="1251" w:right="359" w:bottom="1440" w:gutter="0" w:footer="0" w:header="0"/>
          <w:type w:val="continuous"/>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2917190</wp:posOffset>
            </wp:positionH>
            <wp:positionV relativeFrom="page">
              <wp:posOffset>88900</wp:posOffset>
            </wp:positionV>
            <wp:extent cx="1722755" cy="394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722755" cy="394335"/>
                    </a:xfrm>
                    <a:prstGeom prst="rect">
                      <a:avLst/>
                    </a:prstGeom>
                    <a:noFill/>
                  </pic:spPr>
                </pic:pic>
              </a:graphicData>
            </a:graphic>
          </wp:anchor>
        </w:drawing>
        <w:t>Ardelyx,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280" w:type="dxa"/>
            <w:vAlign w:val="bottom"/>
          </w:tcPr>
          <w:p>
            <w:pPr>
              <w:spacing w:after="0"/>
              <w:rPr>
                <w:sz w:val="20"/>
                <w:szCs w:val="20"/>
                <w:color w:val="auto"/>
              </w:rPr>
            </w:pPr>
          </w:p>
        </w:tc>
        <w:tc>
          <w:tcPr>
            <w:tcW w:w="2700" w:type="dxa"/>
            <w:vAlign w:val="bottom"/>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23"/>
        </w:trPr>
        <w:tc>
          <w:tcPr>
            <w:tcW w:w="514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IBSRELA</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63,806</w:t>
            </w:r>
          </w:p>
        </w:tc>
      </w:tr>
      <w:tr>
        <w:trPr>
          <w:trHeight w:val="229"/>
        </w:trPr>
        <w:tc>
          <w:tcPr>
            <w:tcW w:w="51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XPHOZAH</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48,443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52,297</w:t>
            </w:r>
          </w:p>
        </w:tc>
      </w:tr>
      <w:tr>
        <w:trPr>
          <w:trHeight w:val="223"/>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product sales, net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116,103</w:t>
            </w:r>
          </w:p>
        </w:tc>
      </w:tr>
      <w:tr>
        <w:trPr>
          <w:trHeight w:val="229"/>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supply revenue</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2,139</w:t>
            </w:r>
          </w:p>
        </w:tc>
      </w:tr>
      <w:tr>
        <w:trPr>
          <w:trHeight w:val="229"/>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Licensing revenue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0"/>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Non-cash royalty revenue related to the sale of future royalties</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967</w:t>
            </w:r>
          </w:p>
        </w:tc>
      </w:tr>
      <w:tr>
        <w:trPr>
          <w:trHeight w:val="223"/>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171,776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119,245</w:t>
            </w:r>
          </w:p>
        </w:tc>
      </w:tr>
      <w:tr>
        <w:trPr>
          <w:trHeight w:val="210"/>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29"/>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Cost of product sales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r>
      <w:tr>
        <w:trPr>
          <w:trHeight w:val="229"/>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cost of revenue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19,121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14,146</w:t>
            </w:r>
          </w:p>
        </w:tc>
      </w:tr>
      <w:tr>
        <w:trPr>
          <w:trHeight w:val="223"/>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cost of goods sold</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16,564</w:t>
            </w:r>
          </w:p>
        </w:tc>
      </w:tr>
      <w:tr>
        <w:trPr>
          <w:trHeight w:val="20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23,341</w:t>
            </w:r>
          </w:p>
        </w:tc>
      </w:tr>
      <w:tr>
        <w:trPr>
          <w:trHeight w:val="229"/>
        </w:trPr>
        <w:tc>
          <w:tcPr>
            <w:tcW w:w="5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167,210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117,648</w:t>
            </w:r>
          </w:p>
        </w:tc>
      </w:tr>
      <w:tr>
        <w:trPr>
          <w:trHeight w:val="223"/>
        </w:trPr>
        <w:tc>
          <w:tcPr>
            <w:tcW w:w="51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99,654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140,989</w:t>
            </w:r>
          </w:p>
        </w:tc>
      </w:tr>
      <w:tr>
        <w:trPr>
          <w:trHeight w:val="223"/>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(38,308)</w:t>
            </w:r>
          </w:p>
        </w:tc>
      </w:tr>
      <w:tr>
        <w:trPr>
          <w:trHeight w:val="23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r>
      <w:tr>
        <w:trPr>
          <w:trHeight w:val="230"/>
        </w:trPr>
        <w:tc>
          <w:tcPr>
            <w:tcW w:w="5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interest expense related to the sale of future royalties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w:t>
            </w:r>
          </w:p>
        </w:tc>
      </w:tr>
      <w:tr>
        <w:trPr>
          <w:trHeight w:val="230"/>
        </w:trPr>
        <w:tc>
          <w:tcPr>
            <w:tcW w:w="5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4,484</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(42,784)</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(60,223)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(42,972)</w:t>
            </w: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48"/>
        </w:trPr>
        <w:tc>
          <w:tcPr>
            <w:tcW w:w="5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of common stock - basic and 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1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Shares used in computing net loss per share - basic and diluted</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239,928,570</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234,571,192</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239,279,962</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233,818,576</w:t>
            </w:r>
          </w:p>
        </w:tc>
      </w:tr>
      <w:tr>
        <w:trPr>
          <w:trHeight w:val="21"/>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00"/>
      </w:cols>
      <w:pgMar w:left="340" w:top="14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lowerRoman"/>
      <w:start w:val="2"/>
    </w:lvl>
  </w:abstractNum>
  <w:abstractNum w:abstractNumId="2">
    <w:nsid w:val="25E45D32"/>
    <w:multiLevelType w:val="hybridMultilevel"/>
    <w:lvl w:ilvl="0">
      <w:lvlJc w:val="left"/>
      <w:lvlText w:val="(%1)"/>
      <w:numFmt w:val="lowerRoman"/>
      <w:start w:val="1"/>
    </w:lvl>
  </w:abstractNum>
  <w:abstractNum w:abstractNumId="3">
    <w:nsid w:val="519B500D"/>
    <w:multiLevelType w:val="hybridMultilevel"/>
    <w:lvl w:ilvl="0">
      <w:lvlJc w:val="left"/>
      <w:lvlText w:val="(%1)"/>
      <w:numFmt w:val="lowerRoman"/>
      <w:start w:val="2"/>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3"/>
    </w:lvl>
  </w:abstractNum>
  <w:abstractNum w:abstractNumId="6">
    <w:nsid w:val="7C83E458"/>
    <w:multiLevelType w:val="hybridMultilevel"/>
    <w:lvl w:ilvl="0">
      <w:lvlJc w:val="left"/>
      <w:lvlText w:val="(%1)"/>
      <w:numFmt w:val="lowerLetter"/>
      <w:start w:val="3"/>
    </w:lvl>
  </w:abstractNum>
  <w:abstractNum w:abstractNumId="7">
    <w:nsid w:val="257130A3"/>
    <w:multiLevelType w:val="hybridMultilevel"/>
    <w:lvl w:ilvl="0">
      <w:lvlJc w:val="left"/>
      <w:lvlText w:val="(%1)"/>
      <w:numFmt w:val="lowerRoman"/>
      <w:start w:val="4"/>
    </w:lvl>
  </w:abstractNum>
  <w:abstractNum w:abstractNumId="8">
    <w:nsid w:val="62BBD95A"/>
    <w:multiLevelType w:val="hybridMultilevel"/>
    <w:lvl w:ilvl="0">
      <w:lvlJc w:val="left"/>
      <w:lvlText w:val="(%1)"/>
      <w:numFmt w:val="lowerRoman"/>
      <w:start w:val="7"/>
    </w:lvl>
  </w:abstractNum>
  <w:abstractNum w:abstractNumId="9">
    <w:nsid w:val="436C6125"/>
    <w:multiLevelType w:val="hybridMultilevel"/>
    <w:lvl w:ilvl="0">
      <w:lvlJc w:val="left"/>
      <w:lvlText w:val="(%1)"/>
      <w:numFmt w:val="lowerRoman"/>
      <w:start w:val="1"/>
    </w:lvl>
  </w:abstractNum>
  <w:abstractNum w:abstractNumId="10">
    <w:nsid w:val="628C895D"/>
    <w:multiLevelType w:val="hybridMultilevel"/>
    <w:lvl w:ilvl="0">
      <w:lvlJc w:val="left"/>
      <w:lvlText w:val="(%1)"/>
      <w:numFmt w:val="lowerRoman"/>
      <w:start w:val="2"/>
    </w:lvl>
  </w:abstractNum>
  <w:abstractNum w:abstractNumId="11">
    <w:nsid w:val="333AB105"/>
    <w:multiLevelType w:val="hybridMultilevel"/>
    <w:lvl w:ilvl="0">
      <w:lvlJc w:val="left"/>
      <w:lvlText w:val="(%1)"/>
      <w:numFmt w:val="lowerRoman"/>
      <w:start w:val="3"/>
    </w:lvl>
  </w:abstractNum>
  <w:abstractNum w:abstractNumId="12">
    <w:nsid w:val="721DA317"/>
    <w:multiLevelType w:val="hybridMultilevel"/>
    <w:lvl w:ilvl="0">
      <w:lvlJc w:val="left"/>
      <w:lvlText w:val="(%1)"/>
      <w:numFmt w:val="lowerLetter"/>
      <w:start w:val="1"/>
    </w:lvl>
  </w:abstractNum>
  <w:abstractNum w:abstractNumId="13">
    <w:nsid w:val="2443A858"/>
    <w:multiLevelType w:val="hybridMultilevel"/>
    <w:lvl w:ilvl="0">
      <w:lvlJc w:val="left"/>
      <w:lvlText w:val="(%1)"/>
      <w:numFmt w:val="lowerLetter"/>
      <w:start w:val="4"/>
    </w:lvl>
  </w:abstractNum>
  <w:abstractNum w:abstractNumId="14">
    <w:nsid w:val="2D1D5AE9"/>
    <w:multiLevelType w:val="hybridMultilevel"/>
    <w:lvl w:ilvl="0">
      <w:lvlJc w:val="left"/>
      <w:lvlText w:val="(%1)"/>
      <w:numFmt w:val="lowerRoman"/>
      <w:start w:val="5"/>
    </w:lvl>
  </w:abstractNum>
  <w:abstractNum w:abstractNumId="15">
    <w:nsid w:val="6763845E"/>
    <w:multiLevelType w:val="hybridMultilevel"/>
    <w:lvl w:ilvl="0">
      <w:lvlJc w:val="left"/>
      <w:lvlText w:val="(%1)"/>
      <w:numFmt w:val="lowerRoman"/>
      <w:start w:val="8"/>
    </w:lvl>
  </w:abstractNum>
  <w:abstractNum w:abstractNumId="16">
    <w:nsid w:val="75A2A8D4"/>
    <w:multiLevelType w:val="hybridMultilevel"/>
    <w:lvl w:ilvl="0">
      <w:lvlJc w:val="left"/>
      <w:lvlText w:val="(%1)"/>
      <w:numFmt w:val="lowerRoman"/>
      <w:start w:val="11"/>
    </w:lvl>
  </w:abstractNum>
  <w:abstractNum w:abstractNumId="17">
    <w:nsid w:val="8EDBDAB"/>
    <w:multiLevelType w:val="hybridMultilevel"/>
    <w:lvl w:ilvl="0">
      <w:lvlJc w:val="left"/>
      <w:lvlText w:val="(%1)"/>
      <w:numFmt w:val="lowerRoman"/>
      <w:start w:val="1"/>
    </w:lvl>
  </w:abstractNum>
  <w:abstractNum w:abstractNumId="18">
    <w:nsid w:val="79838CB2"/>
    <w:multiLevelType w:val="hybridMultilevel"/>
    <w:lvl w:ilvl="0">
      <w:lvlJc w:val="left"/>
      <w:lvlText w:val="(%1)"/>
      <w:numFmt w:val="lowerRoman"/>
      <w:start w:val="1"/>
    </w:lvl>
  </w:abstractNum>
  <w:abstractNum w:abstractNumId="19">
    <w:nsid w:val="4353D0CD"/>
    <w:multiLevelType w:val="hybridMultilevel"/>
    <w:lvl w:ilvl="0">
      <w:lvlJc w:val="left"/>
      <w:lvlText w:val="(%1)"/>
      <w:numFmt w:val="lowerRoman"/>
      <w:start w:val="1"/>
    </w:lvl>
  </w:abstractNum>
  <w:abstractNum w:abstractNumId="20">
    <w:nsid w:val="B03E0C6"/>
    <w:multiLevelType w:val="hybridMultilevel"/>
    <w:lvl w:ilvl="0">
      <w:lvlJc w:val="left"/>
      <w:lvlText w:val="(%1)"/>
      <w:numFmt w:val="lowerRoman"/>
      <w:start w:val="1"/>
    </w:lvl>
  </w:abstractNum>
  <w:abstractNum w:abstractNumId="21">
    <w:nsid w:val="189A769B"/>
    <w:multiLevelType w:val="hybridMultilevel"/>
    <w:lvl w:ilvl="0">
      <w:lvlJc w:val="left"/>
      <w:lvlText w:val="(%1)"/>
      <w:numFmt w:val="lowerRoman"/>
      <w:start w:val="1"/>
    </w:lvl>
  </w:abstractNum>
  <w:abstractNum w:abstractNumId="22">
    <w:nsid w:val="54E49EB4"/>
    <w:multiLevelType w:val="hybridMultilevel"/>
    <w:lvl w:ilvl="0">
      <w:lvlJc w:val="left"/>
      <w:lvlText w:val="(%1)"/>
      <w:numFmt w:val="lowerRoman"/>
      <w:start w:val="1"/>
    </w:lvl>
  </w:abstractNum>
  <w:abstractNum w:abstractNumId="23">
    <w:nsid w:val="71F32454"/>
    <w:multiLevelType w:val="hybridMultilevel"/>
    <w:lvl w:ilvl="0">
      <w:lvlJc w:val="left"/>
      <w:lvlText w:val="(%1)"/>
      <w:numFmt w:val="lowerRoman"/>
      <w:start w:val="2"/>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lvl w:ilvl="1">
      <w:lvlJc w:val="left"/>
      <w:lvlText w:val="\endash "/>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2025-08-04T15:25:45Z</dcterms:created>
  <dcterms:modified xsi:type="dcterms:W3CDTF">2025-08-04T15:25:45Z</dcterms:modified>
</cp:coreProperties>
</file>