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81" w:lineRule="exact"/>
        <w:rPr>
          <w:sz w:val="24"/>
          <w:szCs w:val="24"/>
          <w:color w:val="auto"/>
        </w:rPr>
      </w:pPr>
    </w:p>
    <w:p>
      <w:pPr>
        <w:ind w:left="40"/>
        <w:spacing w:after="0" w:line="207" w:lineRule="exact"/>
        <w:tabs>
          <w:tab w:leader="none" w:pos="2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40" w:hanging="39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440" w:hanging="396"/>
        <w:spacing w:after="0" w:line="207" w:lineRule="exact"/>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2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1" w:lineRule="exact"/>
        <w:rPr>
          <w:rFonts w:ascii="MS PGothic" w:cs="MS PGothic" w:eastAsia="MS PGothic" w:hAnsi="MS PGothic"/>
          <w:sz w:val="18"/>
          <w:szCs w:val="18"/>
          <w:color w:val="auto"/>
        </w:rPr>
      </w:pPr>
    </w:p>
    <w:p>
      <w:pPr>
        <w:ind w:left="440" w:hanging="39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440" w:hanging="396"/>
        <w:spacing w:after="0" w:line="207" w:lineRule="exact"/>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60" w:hanging="51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60" w:hanging="516"/>
        <w:spacing w:after="0" w:line="207" w:lineRule="exact"/>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03" w:lineRule="exact"/>
        <w:rPr>
          <w:rFonts w:ascii="MS PGothic" w:cs="MS PGothic" w:eastAsia="MS PGothic" w:hAnsi="MS PGothic"/>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040" w:right="379" w:hanging="483"/>
        <w:spacing w:after="0" w:line="224" w:lineRule="exact"/>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r>
        <w:rPr>
          <w:rFonts w:ascii="MS PGothic" w:cs="MS PGothic" w:eastAsia="MS PGothic" w:hAnsi="MS PGothic"/>
          <w:sz w:val="17"/>
          <w:szCs w:val="17"/>
          <w:color w:val="auto"/>
        </w:rPr>
        <w:t>‑</w:t>
      </w:r>
      <w:r>
        <w:rPr>
          <w:rFonts w:ascii="Arial" w:cs="Arial" w:eastAsia="Arial" w:hAnsi="Arial"/>
          <w:sz w:val="17"/>
          <w:szCs w:val="17"/>
          <w:color w:val="auto"/>
        </w:rPr>
        <w:t>11 (set forth the amount on which the filing fee is calculated and state how it was determined):</w:t>
      </w:r>
    </w:p>
    <w:p>
      <w:pPr>
        <w:spacing w:after="0" w:line="134" w:lineRule="exact"/>
        <w:rPr>
          <w:rFonts w:ascii="Arial" w:cs="Arial" w:eastAsia="Arial" w:hAnsi="Arial"/>
          <w:sz w:val="17"/>
          <w:szCs w:val="17"/>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60" w:hanging="51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jc w:val="both"/>
        <w:ind w:left="560" w:right="359" w:hanging="516"/>
        <w:spacing w:after="0" w:line="220" w:lineRule="exact"/>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82" w:lineRule="exact"/>
        <w:rPr>
          <w:rFonts w:ascii="MS PGothic" w:cs="MS PGothic" w:eastAsia="MS PGothic" w:hAnsi="MS PGothic"/>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040" w:hanging="48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5023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-130175</wp:posOffset>
            </wp:positionV>
            <wp:extent cx="502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-361950</wp:posOffset>
            </wp:positionV>
            <wp:extent cx="5023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-593090</wp:posOffset>
            </wp:positionV>
            <wp:extent cx="5023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-1544955</wp:posOffset>
            </wp:positionV>
            <wp:extent cx="5023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-1776095</wp:posOffset>
            </wp:positionV>
            <wp:extent cx="5023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2348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-2059305</wp:posOffset>
            </wp:positionV>
            <wp:extent cx="50234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-2427605</wp:posOffset>
            </wp:positionV>
            <wp:extent cx="5023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-2659380</wp:posOffset>
            </wp:positionV>
            <wp:extent cx="5023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23485"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871855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417830</wp:posOffset>
            </wp:positionV>
            <wp:extent cx="152590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5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34175 Ardenwood Blvd.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9, 2020</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of Ardelyx, Inc.:</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2020 Annual Meeting of Stockholders, or the 2020 Annual Meeting, of Ardelyx, Inc., a Delaware corporation, or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 will be held on June 9, 2020 at 8:30 a.m. Pacific Time. The 2020 Annual Meeting will be held entirely online</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due to the emerging public health impact of the coronavirus outbreak (COVID</w:t>
      </w:r>
      <w:r>
        <w:rPr>
          <w:rFonts w:ascii="MS PGothic" w:cs="MS PGothic" w:eastAsia="MS PGothic" w:hAnsi="MS PGothic"/>
          <w:sz w:val="16"/>
          <w:szCs w:val="16"/>
          <w:color w:val="auto"/>
        </w:rPr>
        <w:t>‑</w:t>
      </w:r>
      <w:r>
        <w:rPr>
          <w:rFonts w:ascii="Arial" w:cs="Arial" w:eastAsia="Arial" w:hAnsi="Arial"/>
          <w:sz w:val="16"/>
          <w:szCs w:val="16"/>
          <w:color w:val="auto"/>
        </w:rPr>
        <w:t>19) and to support the health and well-being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our employees, stockholders and partners. You will be able to attend and participate in the 2020 Annual Meeting</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online. In order to participate online you will need to register at </w:t>
      </w:r>
      <w:r>
        <w:rPr>
          <w:rFonts w:ascii="Arial" w:cs="Arial" w:eastAsia="Arial" w:hAnsi="Arial"/>
          <w:sz w:val="16"/>
          <w:szCs w:val="16"/>
          <w:i w:val="1"/>
          <w:iCs w:val="1"/>
          <w:color w:val="auto"/>
        </w:rPr>
        <w:t>register.proxypush.com/ARDX</w:t>
      </w:r>
      <w:r>
        <w:rPr>
          <w:rFonts w:ascii="Arial" w:cs="Arial" w:eastAsia="Arial" w:hAnsi="Arial"/>
          <w:sz w:val="16"/>
          <w:szCs w:val="16"/>
          <w:color w:val="auto"/>
        </w:rPr>
        <w:t>. Once registered, you will be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able to attend the meeting online where you will be able to listen to the meeting live and vote. The 2020 Annual Meeting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 be held for the following purposes:</w:t>
      </w:r>
    </w:p>
    <w:p>
      <w:pPr>
        <w:spacing w:after="0" w:line="211" w:lineRule="exact"/>
        <w:rPr>
          <w:sz w:val="20"/>
          <w:szCs w:val="20"/>
          <w:color w:val="auto"/>
        </w:rPr>
      </w:pPr>
    </w:p>
    <w:p>
      <w:pPr>
        <w:ind w:left="740" w:right="459" w:hanging="43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until the 2023 Annual Meeting of Stockholders and until their successors are elected and qualified;</w:t>
      </w:r>
    </w:p>
    <w:p>
      <w:pPr>
        <w:spacing w:after="0" w:line="62" w:lineRule="exact"/>
        <w:rPr>
          <w:rFonts w:ascii="Arial" w:cs="Arial" w:eastAsia="Arial" w:hAnsi="Arial"/>
          <w:sz w:val="18"/>
          <w:szCs w:val="18"/>
          <w:color w:val="auto"/>
        </w:rPr>
      </w:pPr>
    </w:p>
    <w:p>
      <w:pPr>
        <w:ind w:left="740" w:right="399" w:hanging="439"/>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by the Audit Committee of our Board of Directors, of Ernst &amp; Young LLP as the independent registered public accounting firm of the Company for the fiscal year ending December 31, 2020;</w:t>
      </w:r>
    </w:p>
    <w:p>
      <w:pPr>
        <w:spacing w:after="0" w:line="15" w:lineRule="exact"/>
        <w:rPr>
          <w:rFonts w:ascii="Arial" w:cs="Arial" w:eastAsia="Arial" w:hAnsi="Arial"/>
          <w:sz w:val="16"/>
          <w:szCs w:val="16"/>
          <w:color w:val="auto"/>
        </w:rPr>
      </w:pPr>
    </w:p>
    <w:p>
      <w:pPr>
        <w:ind w:left="740" w:right="119" w:hanging="439"/>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the proxy statement accompanying this notice pursuant to the compensation disclosure rules of the Securities and Exchange Commission (“Say-on-Pay”);</w:t>
      </w:r>
    </w:p>
    <w:p>
      <w:pPr>
        <w:spacing w:after="0" w:line="75" w:lineRule="exact"/>
        <w:rPr>
          <w:rFonts w:ascii="Arial" w:cs="Arial" w:eastAsia="Arial" w:hAnsi="Arial"/>
          <w:sz w:val="18"/>
          <w:szCs w:val="18"/>
          <w:color w:val="auto"/>
        </w:rPr>
      </w:pPr>
    </w:p>
    <w:p>
      <w:pPr>
        <w:ind w:left="740" w:right="179" w:hanging="43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whether a Say-on-Pay vote should occur every one (1) year, every two (2) years or every three (3) years; and</w:t>
      </w:r>
    </w:p>
    <w:p>
      <w:pPr>
        <w:spacing w:after="0" w:line="62" w:lineRule="exact"/>
        <w:rPr>
          <w:rFonts w:ascii="Arial" w:cs="Arial" w:eastAsia="Arial" w:hAnsi="Arial"/>
          <w:sz w:val="18"/>
          <w:szCs w:val="18"/>
          <w:color w:val="auto"/>
        </w:rPr>
      </w:pPr>
    </w:p>
    <w:p>
      <w:pPr>
        <w:ind w:left="740" w:right="359" w:hanging="43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2020 Annual Meeting or any adjournment or postponement thereof.</w:t>
      </w:r>
    </w:p>
    <w:p>
      <w:pPr>
        <w:spacing w:after="0" w:line="278"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of Annual Meeting of Stockholders. Only stockholders who owned the Company’s common stock at the close of business on April 15, 2020 may vote at the 2020 Annual Meeting or any adjournments that take place.</w:t>
      </w:r>
    </w:p>
    <w:p>
      <w:pPr>
        <w:spacing w:after="0" w:line="184" w:lineRule="exact"/>
        <w:rPr>
          <w:sz w:val="20"/>
          <w:szCs w:val="20"/>
          <w:color w:val="auto"/>
        </w:rPr>
      </w:pPr>
    </w:p>
    <w:p>
      <w:pPr>
        <w:ind w:left="40" w:right="139"/>
        <w:spacing w:after="0" w:line="289"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As a result, we are mailing most of our stockholders a paper copy of the Notice of Internet Availability of Proxy Materials, or the Notice, but not a paper copy of our proxy statement and our 2019 Annual Report to Stockholders.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those documents over the internet. The Notice also contains instructions on how to request a paper copy of our proxy materials, including this proxy statement, our 2019 Annual Report to Stockholders and a form of proxy card or voting instruction card. All stockholders who have previously requested a paper copy of our proxy materials will continue to receive a paper copy of the proxy materials by mail.</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You are cordially invited to attend the virtual 2020 Annual Meeting online. Whether or not you plan to attend the 2020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Annual Meeting online, please vote as soon as possible. You may vote over the internet or by a toll-free telephone number.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however, you requested to receive paper proxy materials, then you may also vote by mailing a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19"/>
        <w:spacing w:after="0" w:line="286" w:lineRule="auto"/>
        <w:rPr>
          <w:sz w:val="20"/>
          <w:szCs w:val="20"/>
          <w:color w:val="auto"/>
        </w:rPr>
      </w:pPr>
      <w:r>
        <w:rPr>
          <w:rFonts w:ascii="Arial" w:cs="Arial" w:eastAsia="Arial" w:hAnsi="Arial"/>
          <w:sz w:val="17"/>
          <w:szCs w:val="17"/>
          <w:color w:val="auto"/>
        </w:rPr>
        <w:t>signed and dated proxy card or voting instruction card in the envelope provided. Please note that any stockholder attending the 2020 Annual Meeting may vote online at the 2020 Annual Meeting, even if the stockholder has already voted over the internet or by phone or returned a proxy card or voting instruction card by mail.</w:t>
      </w:r>
    </w:p>
    <w:p>
      <w:pPr>
        <w:spacing w:after="0" w:line="161" w:lineRule="exact"/>
        <w:rPr>
          <w:sz w:val="20"/>
          <w:szCs w:val="20"/>
          <w:color w:val="auto"/>
        </w:rPr>
      </w:pPr>
    </w:p>
    <w:p>
      <w:pPr>
        <w:ind w:left="40" w:right="79"/>
        <w:spacing w:after="0" w:line="256" w:lineRule="auto"/>
        <w:rPr>
          <w:sz w:val="20"/>
          <w:szCs w:val="20"/>
          <w:color w:val="auto"/>
        </w:rPr>
      </w:pPr>
      <w:r>
        <w:rPr>
          <w:rFonts w:ascii="Arial" w:cs="Arial" w:eastAsia="Arial" w:hAnsi="Arial"/>
          <w:sz w:val="18"/>
          <w:szCs w:val="18"/>
          <w:color w:val="auto"/>
        </w:rPr>
        <w:t>Our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director nominees named in Proposal No. 1 of the proxy statement,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as described in Proposal No. 2 of the proxy statement, “</w:t>
      </w:r>
      <w:r>
        <w:rPr>
          <w:rFonts w:ascii="Arial" w:cs="Arial" w:eastAsia="Arial" w:hAnsi="Arial"/>
          <w:sz w:val="18"/>
          <w:szCs w:val="18"/>
          <w:b w:val="1"/>
          <w:bCs w:val="1"/>
          <w:color w:val="auto"/>
        </w:rPr>
        <w:t>FOR</w:t>
      </w:r>
      <w:r>
        <w:rPr>
          <w:rFonts w:ascii="Arial" w:cs="Arial" w:eastAsia="Arial" w:hAnsi="Arial"/>
          <w:sz w:val="18"/>
          <w:szCs w:val="18"/>
          <w:color w:val="auto"/>
        </w:rPr>
        <w:t>” the approval, on a non-binding, advisory basis, of the Say-On-Pay proposal as described in Proposal No. 3 of the proxy statement and “</w:t>
      </w:r>
      <w:r>
        <w:rPr>
          <w:rFonts w:ascii="Arial" w:cs="Arial" w:eastAsia="Arial" w:hAnsi="Arial"/>
          <w:sz w:val="18"/>
          <w:szCs w:val="18"/>
          <w:b w:val="1"/>
          <w:bCs w:val="1"/>
          <w:color w:val="auto"/>
        </w:rPr>
        <w:t>EVERY ONE YEAR</w:t>
      </w:r>
      <w:r>
        <w:rPr>
          <w:rFonts w:ascii="Arial" w:cs="Arial" w:eastAsia="Arial" w:hAnsi="Arial"/>
          <w:sz w:val="18"/>
          <w:szCs w:val="18"/>
          <w:color w:val="auto"/>
        </w:rPr>
        <w:t>” on a non-binding, advisory basis as the frequency of future Say-on-Pay votes as described in Proposal No. 4 of the proxy statement.</w:t>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Legal and Administrative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1180465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40" w:type="dxa"/>
            <w:vAlign w:val="bottom"/>
            <w:gridSpan w:val="7"/>
            <w:vMerge w:val="restart"/>
          </w:tcPr>
          <w:p>
            <w:pPr>
              <w:spacing w:after="0"/>
              <w:rPr>
                <w:rFonts w:ascii="Arial" w:cs="Arial" w:eastAsia="Arial" w:hAnsi="Arial"/>
                <w:sz w:val="22"/>
                <w:szCs w:val="22"/>
                <w:color w:val="0000EE"/>
                <w:w w:val="95"/>
              </w:rPr>
            </w:pPr>
            <w:hyperlink w:anchor="page5">
              <w:r>
                <w:rPr>
                  <w:rFonts w:ascii="Arial" w:cs="Arial" w:eastAsia="Arial" w:hAnsi="Arial"/>
                  <w:sz w:val="22"/>
                  <w:szCs w:val="22"/>
                  <w:color w:val="0000EE"/>
                  <w:w w:val="95"/>
                </w:rPr>
                <w:t>QUESTIONS AND ANSWERS REGARDING THE PROXY MATERIALS AND THE VOTING</w:t>
              </w:r>
            </w:hyperlink>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3"/>
        </w:trPr>
        <w:tc>
          <w:tcPr>
            <w:tcW w:w="8540" w:type="dxa"/>
            <w:vAlign w:val="bottom"/>
            <w:tcBorders>
              <w:bottom w:val="single" w:sz="8" w:color="0000EE"/>
            </w:tcBorders>
            <w:gridSpan w:val="7"/>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940" w:type="dxa"/>
            <w:vAlign w:val="bottom"/>
            <w:tcBorders>
              <w:bottom w:val="single" w:sz="8" w:color="0000EE"/>
            </w:tcBorders>
          </w:tcPr>
          <w:p>
            <w:pPr>
              <w:spacing w:after="0" w:line="223" w:lineRule="exact"/>
              <w:rPr>
                <w:rFonts w:ascii="Arial" w:cs="Arial" w:eastAsia="Arial" w:hAnsi="Arial"/>
                <w:sz w:val="22"/>
                <w:szCs w:val="22"/>
                <w:color w:val="0000EE"/>
                <w:w w:val="85"/>
              </w:rPr>
            </w:pPr>
            <w:hyperlink w:anchor="page5">
              <w:r>
                <w:rPr>
                  <w:rFonts w:ascii="Arial" w:cs="Arial" w:eastAsia="Arial" w:hAnsi="Arial"/>
                  <w:sz w:val="22"/>
                  <w:szCs w:val="22"/>
                  <w:color w:val="0000EE"/>
                  <w:w w:val="85"/>
                </w:rPr>
                <w:t>PROCESS</w:t>
              </w:r>
            </w:hyperlink>
          </w:p>
        </w:tc>
        <w:tc>
          <w:tcPr>
            <w:tcW w:w="7400" w:type="dxa"/>
            <w:vAlign w:val="bottom"/>
            <w:gridSpan w:val="5"/>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90"/>
        </w:trPr>
        <w:tc>
          <w:tcPr>
            <w:tcW w:w="8540" w:type="dxa"/>
            <w:vAlign w:val="bottom"/>
            <w:gridSpan w:val="7"/>
          </w:tcPr>
          <w:p>
            <w:pPr>
              <w:spacing w:after="0"/>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PROPOSAL NO. 1 ELECTION OF DIRECTORS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8"/>
        </w:trPr>
        <w:tc>
          <w:tcPr>
            <w:tcW w:w="8040" w:type="dxa"/>
            <w:vAlign w:val="bottom"/>
            <w:tcBorders>
              <w:bottom w:val="single" w:sz="8" w:color="0000EE"/>
            </w:tcBorders>
            <w:gridSpan w:val="6"/>
          </w:tcPr>
          <w:p>
            <w:pPr>
              <w:spacing w:after="0"/>
              <w:rPr>
                <w:rFonts w:ascii="Arial" w:cs="Arial" w:eastAsia="Arial" w:hAnsi="Arial"/>
                <w:sz w:val="22"/>
                <w:szCs w:val="22"/>
                <w:color w:val="0000EE"/>
                <w:w w:val="93"/>
              </w:rPr>
            </w:pPr>
            <w:hyperlink w:anchor="page16">
              <w:r>
                <w:rPr>
                  <w:rFonts w:ascii="Arial" w:cs="Arial" w:eastAsia="Arial" w:hAnsi="Arial"/>
                  <w:sz w:val="22"/>
                  <w:szCs w:val="22"/>
                  <w:color w:val="0000EE"/>
                  <w:w w:val="93"/>
                </w:rPr>
                <w:t>PROPOSAL NO. 2 RATIFICATION OF SELECTION OF INDEPENDENT REGISTERED</w:t>
              </w:r>
            </w:hyperlink>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40" w:type="dxa"/>
            <w:vAlign w:val="bottom"/>
            <w:gridSpan w:val="7"/>
          </w:tcPr>
          <w:p>
            <w:pPr>
              <w:spacing w:after="0" w:line="223" w:lineRule="exact"/>
              <w:rPr>
                <w:rFonts w:ascii="Arial" w:cs="Arial" w:eastAsia="Arial" w:hAnsi="Arial"/>
                <w:sz w:val="22"/>
                <w:szCs w:val="22"/>
                <w:color w:val="0000EE"/>
              </w:rPr>
            </w:pPr>
            <w:hyperlink w:anchor="page16">
              <w:r>
                <w:rPr>
                  <w:rFonts w:ascii="Arial" w:cs="Arial" w:eastAsia="Arial" w:hAnsi="Arial"/>
                  <w:sz w:val="22"/>
                  <w:szCs w:val="22"/>
                  <w:color w:val="0000EE"/>
                </w:rPr>
                <w:t>PUBLIC ACCOUNTING FIRM</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4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8540" w:type="dxa"/>
            <w:vAlign w:val="bottom"/>
            <w:gridSpan w:val="7"/>
          </w:tcPr>
          <w:p>
            <w:pPr>
              <w:spacing w:after="0"/>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REPORT OF THE AUDIT COMMITTEE OF THE BOARD OF DIRECTORS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49"/>
        </w:trPr>
        <w:tc>
          <w:tcPr>
            <w:tcW w:w="85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PROPOSAL NO. 3 ADVISORY VOTE TO APPROVE NAMED EXECUTIVE OFFICER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92"/>
        </w:trPr>
        <w:tc>
          <w:tcPr>
            <w:tcW w:w="854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PROPOSAL NO. 4 ADVISORY VOTE ON THE FREQUENCY OF AN ADVISORY VOTE TO APPROVE</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EXECUTIVE COMPENSATION</w:t>
              </w:r>
            </w:hyperlink>
          </w:p>
        </w:tc>
        <w:tc>
          <w:tcPr>
            <w:tcW w:w="5480" w:type="dxa"/>
            <w:vAlign w:val="bottom"/>
            <w:tcBorders>
              <w:top w:val="single" w:sz="8" w:color="0000EE"/>
            </w:tcBorders>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90"/>
        </w:trPr>
        <w:tc>
          <w:tcPr>
            <w:tcW w:w="8540" w:type="dxa"/>
            <w:vAlign w:val="bottom"/>
            <w:gridSpan w:val="7"/>
          </w:tcPr>
          <w:p>
            <w:pPr>
              <w:spacing w:after="0"/>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CERTAIN RELATIONSHIPS AND RELATED PARTY TRANSACTIONS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NON-EMPLOYEE DIRECTOR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EXECUTIVE OFFICERS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SECURITY OWNERSHIP OF CERTAIN BENEFICIAL OWNERS AND MANAGEMENT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SECTION 16(a) BENEFICIAL OWNERSHIP REPORTING COMPLIANCE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9"/>
        </w:trPr>
        <w:tc>
          <w:tcPr>
            <w:tcW w:w="8540" w:type="dxa"/>
            <w:vAlign w:val="bottom"/>
            <w:gridSpan w:val="7"/>
          </w:tcPr>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ADDITIONAL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790"/>
        </w:trPr>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9, 2020</w:t>
      </w:r>
    </w:p>
    <w:p>
      <w:pPr>
        <w:spacing w:after="0" w:line="207" w:lineRule="exact"/>
        <w:rPr>
          <w:sz w:val="20"/>
          <w:szCs w:val="20"/>
          <w:color w:val="auto"/>
        </w:rPr>
      </w:pPr>
    </w:p>
    <w:p>
      <w:pPr>
        <w:jc w:val="center"/>
        <w:ind w:left="1620" w:right="38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TO BE HELD ON JUNE 9, 2020</w:t>
      </w:r>
    </w:p>
    <w:p>
      <w:pPr>
        <w:spacing w:after="0" w:line="166" w:lineRule="exact"/>
        <w:rPr>
          <w:sz w:val="20"/>
          <w:szCs w:val="20"/>
          <w:color w:val="auto"/>
        </w:rPr>
      </w:pPr>
    </w:p>
    <w:p>
      <w:pPr>
        <w:ind w:left="40" w:right="279"/>
        <w:spacing w:after="0" w:line="220" w:lineRule="exact"/>
        <w:rPr>
          <w:sz w:val="20"/>
          <w:szCs w:val="20"/>
          <w:color w:val="auto"/>
        </w:rPr>
      </w:pPr>
      <w:r>
        <w:rPr>
          <w:rFonts w:ascii="Arial" w:cs="Arial" w:eastAsia="Arial" w:hAnsi="Arial"/>
          <w:sz w:val="18"/>
          <w:szCs w:val="18"/>
          <w:color w:val="auto"/>
        </w:rPr>
        <w:t>This proxy statement and our 2019 Annual Report to Stockholders, which includes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are available on our website at www.ardelyx.com and at www.astproxyportal.com/ast/19476.</w:t>
      </w:r>
    </w:p>
    <w:p>
      <w:pPr>
        <w:spacing w:after="0" w:line="204"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Unless the context requires otherwise, in this proxy statement the terms “Ardelyx,” “we,” “us,” “our” and “the Company” refer to Ardelyx, Inc.</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QUESTIONS AND ANSWERS REGARDING THE PROXY MATERIALS AND THE VOTING PROCESS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229" w:lineRule="exact"/>
        <w:rPr>
          <w:sz w:val="20"/>
          <w:szCs w:val="20"/>
          <w:color w:val="auto"/>
        </w:rPr>
      </w:pPr>
    </w:p>
    <w:p>
      <w:pPr>
        <w:ind w:left="40" w:right="219"/>
        <w:spacing w:after="0" w:line="272" w:lineRule="auto"/>
        <w:rPr>
          <w:sz w:val="20"/>
          <w:szCs w:val="20"/>
          <w:color w:val="auto"/>
        </w:rPr>
      </w:pPr>
      <w:r>
        <w:rPr>
          <w:rFonts w:ascii="Arial" w:cs="Arial" w:eastAsia="Arial" w:hAnsi="Arial"/>
          <w:sz w:val="17"/>
          <w:szCs w:val="17"/>
          <w:color w:val="auto"/>
        </w:rPr>
        <w:t xml:space="preserve">We have made these proxy materials available to you on the internet or, upon your request, have delivered paper proxy materials to you, because the board of directors of Ardelyx is soliciting your proxy to vote at the 2020 Annual Meeting of Stockholders, or the 2020 Annual Meeting, or any adjournments that take place. The 2020 Annual Meeting will be held online on June 9, 2020 at 8:30 a.m. Pacific Time. You may register to attend the online meeting at </w:t>
      </w:r>
      <w:r>
        <w:rPr>
          <w:rFonts w:ascii="Arial" w:cs="Arial" w:eastAsia="Arial" w:hAnsi="Arial"/>
          <w:sz w:val="17"/>
          <w:szCs w:val="17"/>
          <w:i w:val="1"/>
          <w:iCs w:val="1"/>
          <w:color w:val="auto"/>
        </w:rPr>
        <w:t xml:space="preserve">register.proxypush.com/ARDX </w:t>
      </w:r>
      <w:r>
        <w:rPr>
          <w:rFonts w:ascii="Arial" w:cs="Arial" w:eastAsia="Arial" w:hAnsi="Arial"/>
          <w:sz w:val="17"/>
          <w:szCs w:val="17"/>
          <w:color w:val="auto"/>
        </w:rPr>
        <w:t>on or before 5:00 p.m. Eastern Time on June 5, 2020. As a stockholder, you are invited to</w:t>
      </w:r>
      <w:r>
        <w:rPr>
          <w:rFonts w:ascii="Arial" w:cs="Arial" w:eastAsia="Arial" w:hAnsi="Arial"/>
          <w:sz w:val="17"/>
          <w:szCs w:val="17"/>
          <w:i w:val="1"/>
          <w:iCs w:val="1"/>
          <w:color w:val="auto"/>
        </w:rPr>
        <w:t xml:space="preserve"> </w:t>
      </w:r>
      <w:r>
        <w:rPr>
          <w:rFonts w:ascii="Arial" w:cs="Arial" w:eastAsia="Arial" w:hAnsi="Arial"/>
          <w:sz w:val="17"/>
          <w:szCs w:val="17"/>
          <w:color w:val="auto"/>
        </w:rPr>
        <w:t>attend the 2020 Annual Meeting online and are requested to vote on the proposals described in this proxy statement. However, you do not need to attend the 2020 Annual Meeting to vote.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proxy materials include:</w:t>
      </w:r>
    </w:p>
    <w:p>
      <w:pPr>
        <w:spacing w:after="0" w:line="225" w:lineRule="exact"/>
        <w:rPr>
          <w:sz w:val="20"/>
          <w:szCs w:val="20"/>
          <w:color w:val="auto"/>
        </w:rPr>
      </w:pPr>
    </w:p>
    <w:p>
      <w:pPr>
        <w:ind w:left="700" w:right="519" w:hanging="332"/>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2020 Annual Meeting, the voting process, corporate governance, the compensation of our directors and certain executive officers, and other required information;</w:t>
      </w:r>
    </w:p>
    <w:p>
      <w:pPr>
        <w:spacing w:after="0" w:line="183" w:lineRule="exact"/>
        <w:rPr>
          <w:rFonts w:ascii="Arial" w:cs="Arial" w:eastAsia="Arial" w:hAnsi="Arial"/>
          <w:sz w:val="18"/>
          <w:szCs w:val="18"/>
          <w:color w:val="auto"/>
        </w:rPr>
      </w:pPr>
    </w:p>
    <w:p>
      <w:pPr>
        <w:ind w:left="700" w:right="419" w:hanging="332"/>
        <w:spacing w:after="0" w:line="223" w:lineRule="exact"/>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2019 Annual Report to Stockholders, which includes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and</w:t>
      </w:r>
    </w:p>
    <w:p>
      <w:pPr>
        <w:spacing w:after="0" w:line="202" w:lineRule="exact"/>
        <w:rPr>
          <w:rFonts w:ascii="Arial" w:cs="Arial" w:eastAsia="Arial" w:hAnsi="Arial"/>
          <w:sz w:val="18"/>
          <w:szCs w:val="18"/>
          <w:color w:val="auto"/>
        </w:rPr>
      </w:pPr>
    </w:p>
    <w:p>
      <w:pPr>
        <w:ind w:left="700" w:hanging="33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2020 Annual Meeting.</w:t>
      </w:r>
    </w:p>
    <w:p>
      <w:pPr>
        <w:spacing w:after="0" w:line="225"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The proxy materials are being mailed or made available to stockholders on or about April 24, 2020, and are available at www.ardelyx.com.</w:t>
      </w:r>
    </w:p>
    <w:p>
      <w:pPr>
        <w:spacing w:after="0" w:line="166" w:lineRule="exact"/>
        <w:rPr>
          <w:sz w:val="20"/>
          <w:szCs w:val="20"/>
          <w:color w:val="auto"/>
        </w:rPr>
      </w:pPr>
    </w:p>
    <w:p>
      <w:pPr>
        <w:ind w:left="40" w:right="759"/>
        <w:spacing w:after="0" w:line="282" w:lineRule="auto"/>
        <w:rPr>
          <w:sz w:val="20"/>
          <w:szCs w:val="20"/>
          <w:color w:val="auto"/>
        </w:rPr>
      </w:pPr>
      <w:r>
        <w:rPr>
          <w:rFonts w:ascii="Arial" w:cs="Arial" w:eastAsia="Arial" w:hAnsi="Arial"/>
          <w:sz w:val="18"/>
          <w:szCs w:val="18"/>
          <w:b w:val="1"/>
          <w:bCs w:val="1"/>
          <w:color w:val="auto"/>
        </w:rPr>
        <w:t>Why did I receive a Notice of Internet Availability of Proxy Materials, or the Notice, in the mail instead of a complete set of paper proxy materials?</w:t>
      </w:r>
    </w:p>
    <w:p>
      <w:pPr>
        <w:spacing w:after="0" w:line="166" w:lineRule="exact"/>
        <w:rPr>
          <w:sz w:val="20"/>
          <w:szCs w:val="20"/>
          <w:color w:val="auto"/>
        </w:rPr>
      </w:pPr>
    </w:p>
    <w:p>
      <w:pPr>
        <w:jc w:val="both"/>
        <w:ind w:left="40" w:right="279"/>
        <w:spacing w:after="0" w:line="311"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or SEC. As a result, we are mailing most of our stockholders a paper copy of the Notice, but not a paper copy of the proxy materials. This process allows us to provide our proxy materials to our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stockholders in a timelier and more readily accessible manner, while reducing the environmental impact and lowering the costs of printing and distributing our proxy materials. The Notice contains instructions on how to access the proxy materials over the internet, and how to request a paper copy of the proxy materials. All stockholders who have previously elected to receive a paper copy of our proxy materials will continue to receive a paper copy of the proxy materials by mail until the stockholder terminates such election.</w:t>
      </w:r>
    </w:p>
    <w:p>
      <w:pPr>
        <w:spacing w:after="0" w:line="184" w:lineRule="exact"/>
        <w:rPr>
          <w:sz w:val="20"/>
          <w:szCs w:val="20"/>
          <w:color w:val="auto"/>
        </w:rPr>
      </w:pPr>
    </w:p>
    <w:p>
      <w:pPr>
        <w:ind w:left="40" w:right="219"/>
        <w:spacing w:after="0" w:line="282" w:lineRule="auto"/>
        <w:rPr>
          <w:sz w:val="20"/>
          <w:szCs w:val="20"/>
          <w:color w:val="auto"/>
        </w:rPr>
      </w:pPr>
      <w:r>
        <w:rPr>
          <w:rFonts w:ascii="Arial" w:cs="Arial" w:eastAsia="Arial" w:hAnsi="Arial"/>
          <w:sz w:val="18"/>
          <w:szCs w:val="18"/>
          <w:b w:val="1"/>
          <w:bCs w:val="1"/>
          <w:color w:val="auto"/>
        </w:rPr>
        <w:t>Why did I receive a complete set of paper proxy materials in the mail instead of a Notice of Internet Availability of Proxy Materials?</w:t>
      </w:r>
    </w:p>
    <w:p>
      <w:pPr>
        <w:spacing w:after="0" w:line="166"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Who can vote at the 2020 Annual Meeting?</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Only stockholders of record at the close of business on April 15, 2020 will be entitled to vote at the 2020 Annual Meeting.</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this record date, there were 89,056,759 shares of common stock outstanding and entitled to vote.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225" w:lineRule="exact"/>
        <w:rPr>
          <w:sz w:val="20"/>
          <w:szCs w:val="20"/>
          <w:color w:val="auto"/>
        </w:rPr>
      </w:pPr>
    </w:p>
    <w:p>
      <w:pPr>
        <w:ind w:left="40" w:right="79"/>
        <w:spacing w:after="0" w:line="301" w:lineRule="auto"/>
        <w:rPr>
          <w:sz w:val="20"/>
          <w:szCs w:val="20"/>
          <w:color w:val="auto"/>
        </w:rPr>
      </w:pPr>
      <w:r>
        <w:rPr>
          <w:rFonts w:ascii="Arial" w:cs="Arial" w:eastAsia="Arial" w:hAnsi="Arial"/>
          <w:sz w:val="16"/>
          <w:szCs w:val="16"/>
          <w:color w:val="auto"/>
        </w:rPr>
        <w:t>If, at the close of business on April 15, 2020, your shares were registered directly in your name with our transfer agent, American Stock Transfer &amp; Trust Company, LLC, then you are a stockholder of record. As a stockholder of record, you may vote online at the 2020 Annual Meeting or vote by proxy. Whether or not you plan to attend the 2020 Annual Meeting, please vote as soon as possible by internet, telephone or by mail as instructed below to ensure your vote is counted.</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or Bank</w:t>
      </w:r>
    </w:p>
    <w:p>
      <w:pPr>
        <w:spacing w:after="0" w:line="225"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 xml:space="preserve">If, at the close of business on April 15, 2020,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2020 Annual Meeting. As a beneficial owner, you have the right to direct your broker or other agent how to vote the shares in your account. However, because you are not the stockholder of record, you may not attend the 2020 Annual Meeting online nor vote your shares online at the 2020 Annual Meeting unless request and obtain a valid proxy from your broker or other agent reflecting the number of shares of Ardelyx common stock you held as of the record date, your name and email address. You then must submit a request for registration to American Stock Transfer &amp; Trust Company, LLC: (1) by email to </w:t>
      </w:r>
      <w:r>
        <w:rPr>
          <w:rFonts w:ascii="Arial" w:cs="Arial" w:eastAsia="Arial" w:hAnsi="Arial"/>
          <w:sz w:val="16"/>
          <w:szCs w:val="16"/>
          <w:i w:val="1"/>
          <w:iCs w:val="1"/>
          <w:color w:val="auto"/>
        </w:rPr>
        <w:t>proxy@astfinancial.com</w:t>
      </w:r>
      <w:r>
        <w:rPr>
          <w:rFonts w:ascii="Arial" w:cs="Arial" w:eastAsia="Arial" w:hAnsi="Arial"/>
          <w:sz w:val="16"/>
          <w:szCs w:val="16"/>
          <w:color w:val="auto"/>
        </w:rPr>
        <w:t>; (2) by facsimile to 718-765-8730 or (3) by mail to American Stock Transfer &amp; Trust Company, LLC, Attn: Proxy Tabulation Department, 6201 15th Avenue, Brooklyn, NY 11219. Requests for registration must be labeled as “Legal Proxy” and be received by American Stock Transfer &amp; Trust Company, LLC no later than 5:00 p.m. Eastern Time on June 2, 2020.</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proposals are scheduled for a vote?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four proposals scheduled for a vote at the 2020 Annual Meeting:</w:t>
      </w:r>
    </w:p>
    <w:p>
      <w:pPr>
        <w:spacing w:after="0" w:line="225" w:lineRule="exact"/>
        <w:rPr>
          <w:sz w:val="20"/>
          <w:szCs w:val="20"/>
          <w:color w:val="auto"/>
        </w:rPr>
      </w:pPr>
    </w:p>
    <w:p>
      <w:pPr>
        <w:ind w:left="700" w:right="219" w:hanging="332"/>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1 — To elect three Class III directors to hold office until the 2023 Annual Meeting of Stockholders and until their successors are elected and qualified;</w:t>
      </w:r>
    </w:p>
    <w:p>
      <w:pPr>
        <w:spacing w:after="0" w:line="170" w:lineRule="exact"/>
        <w:rPr>
          <w:rFonts w:ascii="Arial" w:cs="Arial" w:eastAsia="Arial" w:hAnsi="Arial"/>
          <w:sz w:val="18"/>
          <w:szCs w:val="18"/>
          <w:color w:val="auto"/>
        </w:rPr>
      </w:pPr>
    </w:p>
    <w:p>
      <w:pPr>
        <w:ind w:left="700" w:right="619" w:hanging="332"/>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2 — To ratify the selection, by the Audit Committee of our Board of Directors, of Ernst &amp; Young LLP as the independent registered public accounting firm of the Company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339" w:hanging="332"/>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No. 3 — To approve, on a non-binding, advisory basis, the compensation of our named executive officers as disclosed in this proxy statement pursuant to the compensation disclosure rules of the Securities and Exchange Commission (“Say-on-Pay”); and</w:t>
      </w:r>
    </w:p>
    <w:p>
      <w:pPr>
        <w:spacing w:after="0" w:line="183" w:lineRule="exact"/>
        <w:rPr>
          <w:rFonts w:ascii="Arial" w:cs="Arial" w:eastAsia="Arial" w:hAnsi="Arial"/>
          <w:sz w:val="18"/>
          <w:szCs w:val="18"/>
          <w:color w:val="auto"/>
        </w:rPr>
      </w:pPr>
    </w:p>
    <w:p>
      <w:pPr>
        <w:ind w:left="700" w:right="299" w:hanging="332"/>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No. 4 — To approve, on a non-binding, advisory basis, whether a Say-on-Pay vote should occur every one (1) year, every two (2) years or every three (3) years.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do I vote?</w:t>
      </w:r>
    </w:p>
    <w:p>
      <w:pPr>
        <w:spacing w:after="0" w:line="225" w:lineRule="exact"/>
        <w:rPr>
          <w:sz w:val="20"/>
          <w:szCs w:val="20"/>
          <w:color w:val="auto"/>
        </w:rPr>
      </w:pPr>
    </w:p>
    <w:p>
      <w:pPr>
        <w:ind w:left="40" w:right="99"/>
        <w:spacing w:after="0" w:line="261" w:lineRule="auto"/>
        <w:rPr>
          <w:sz w:val="20"/>
          <w:szCs w:val="20"/>
          <w:color w:val="auto"/>
        </w:rPr>
      </w:pPr>
      <w:r>
        <w:rPr>
          <w:rFonts w:ascii="Arial" w:cs="Arial" w:eastAsia="Arial" w:hAnsi="Arial"/>
          <w:sz w:val="18"/>
          <w:szCs w:val="18"/>
          <w:color w:val="auto"/>
        </w:rPr>
        <w:t>For Proposal No. 1, you may either vote “</w:t>
      </w:r>
      <w:r>
        <w:rPr>
          <w:rFonts w:ascii="Arial" w:cs="Arial" w:eastAsia="Arial" w:hAnsi="Arial"/>
          <w:sz w:val="18"/>
          <w:szCs w:val="18"/>
          <w:b w:val="1"/>
          <w:bCs w:val="1"/>
          <w:color w:val="auto"/>
        </w:rPr>
        <w:t>FOR</w:t>
      </w:r>
      <w:r>
        <w:rPr>
          <w:rFonts w:ascii="Arial" w:cs="Arial" w:eastAsia="Arial" w:hAnsi="Arial"/>
          <w:sz w:val="18"/>
          <w:szCs w:val="18"/>
          <w:color w:val="auto"/>
        </w:rPr>
        <w:t>” all nominees to the board of directors or you may “</w:t>
      </w:r>
      <w:r>
        <w:rPr>
          <w:rFonts w:ascii="Arial" w:cs="Arial" w:eastAsia="Arial" w:hAnsi="Arial"/>
          <w:sz w:val="18"/>
          <w:szCs w:val="18"/>
          <w:b w:val="1"/>
          <w:bCs w:val="1"/>
          <w:color w:val="auto"/>
        </w:rPr>
        <w:t>WITHHOLD</w:t>
      </w:r>
      <w:r>
        <w:rPr>
          <w:rFonts w:ascii="Arial" w:cs="Arial" w:eastAsia="Arial" w:hAnsi="Arial"/>
          <w:sz w:val="18"/>
          <w:szCs w:val="18"/>
          <w:color w:val="auto"/>
        </w:rPr>
        <w:t>” your vote for any nominee you specify. For Proposals No. 2 and No. 3,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you may abstain from voting. For Proposal No. 4, you may vote “</w:t>
      </w:r>
      <w:r>
        <w:rPr>
          <w:rFonts w:ascii="Arial" w:cs="Arial" w:eastAsia="Arial" w:hAnsi="Arial"/>
          <w:sz w:val="18"/>
          <w:szCs w:val="18"/>
          <w:b w:val="1"/>
          <w:bCs w:val="1"/>
          <w:color w:val="auto"/>
        </w:rPr>
        <w:t>EVERY ONE YEAR</w:t>
      </w:r>
      <w:r>
        <w:rPr>
          <w:rFonts w:ascii="Arial" w:cs="Arial" w:eastAsia="Arial" w:hAnsi="Arial"/>
          <w:sz w:val="18"/>
          <w:szCs w:val="18"/>
          <w:color w:val="auto"/>
        </w:rPr>
        <w:t>,” “</w:t>
      </w:r>
      <w:r>
        <w:rPr>
          <w:rFonts w:ascii="Arial" w:cs="Arial" w:eastAsia="Arial" w:hAnsi="Arial"/>
          <w:sz w:val="18"/>
          <w:szCs w:val="18"/>
          <w:b w:val="1"/>
          <w:bCs w:val="1"/>
          <w:color w:val="auto"/>
        </w:rPr>
        <w:t>EVERY TWO YEARS</w:t>
      </w:r>
      <w:r>
        <w:rPr>
          <w:rFonts w:ascii="Arial" w:cs="Arial" w:eastAsia="Arial" w:hAnsi="Arial"/>
          <w:sz w:val="18"/>
          <w:szCs w:val="18"/>
          <w:color w:val="auto"/>
        </w:rPr>
        <w:t>” or “</w:t>
      </w:r>
      <w:r>
        <w:rPr>
          <w:rFonts w:ascii="Arial" w:cs="Arial" w:eastAsia="Arial" w:hAnsi="Arial"/>
          <w:sz w:val="18"/>
          <w:szCs w:val="18"/>
          <w:b w:val="1"/>
          <w:bCs w:val="1"/>
          <w:color w:val="auto"/>
        </w:rPr>
        <w:t>EVERY</w:t>
      </w:r>
      <w:r>
        <w:rPr>
          <w:rFonts w:ascii="Arial" w:cs="Arial" w:eastAsia="Arial" w:hAnsi="Arial"/>
          <w:sz w:val="18"/>
          <w:szCs w:val="18"/>
          <w:color w:val="auto"/>
        </w:rPr>
        <w:t xml:space="preserve"> </w:t>
      </w:r>
      <w:r>
        <w:rPr>
          <w:rFonts w:ascii="Arial" w:cs="Arial" w:eastAsia="Arial" w:hAnsi="Arial"/>
          <w:sz w:val="18"/>
          <w:szCs w:val="18"/>
          <w:b w:val="1"/>
          <w:bCs w:val="1"/>
          <w:color w:val="auto"/>
        </w:rPr>
        <w:t>THREE YEARS</w:t>
      </w:r>
      <w:r>
        <w:rPr>
          <w:rFonts w:ascii="Arial" w:cs="Arial" w:eastAsia="Arial" w:hAnsi="Arial"/>
          <w:sz w:val="18"/>
          <w:szCs w:val="18"/>
          <w:color w:val="auto"/>
        </w:rPr>
        <w:t>” or you may abstain from voting.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225" w:lineRule="exact"/>
        <w:rPr>
          <w:sz w:val="20"/>
          <w:szCs w:val="20"/>
          <w:color w:val="auto"/>
        </w:rPr>
      </w:pPr>
    </w:p>
    <w:p>
      <w:pPr>
        <w:jc w:val="both"/>
        <w:ind w:left="40" w:right="79"/>
        <w:spacing w:after="0" w:line="259" w:lineRule="auto"/>
        <w:rPr>
          <w:sz w:val="20"/>
          <w:szCs w:val="20"/>
          <w:color w:val="auto"/>
        </w:rPr>
      </w:pPr>
      <w:r>
        <w:rPr>
          <w:rFonts w:ascii="Arial" w:cs="Arial" w:eastAsia="Arial" w:hAnsi="Arial"/>
          <w:sz w:val="18"/>
          <w:szCs w:val="18"/>
          <w:color w:val="auto"/>
        </w:rPr>
        <w:t>If you are a stockholder of record, you may vote online at the virtual 2020 Annual Meeting or vote by internet, telephone or by mail. Whether or not you plan to attend the 2020 Annual Meeting online, please vote as soon as possible to ensure your vote is counted. You may still attend the 2020 Annual Meeting online and vote in person even if you have already voted by proxy.</w:t>
      </w:r>
    </w:p>
    <w:p>
      <w:pPr>
        <w:spacing w:after="0" w:line="183" w:lineRule="exact"/>
        <w:rPr>
          <w:sz w:val="20"/>
          <w:szCs w:val="20"/>
          <w:color w:val="auto"/>
        </w:rPr>
      </w:pPr>
    </w:p>
    <w:p>
      <w:pPr>
        <w:ind w:left="700" w:right="159" w:hanging="332"/>
        <w:spacing w:after="0" w:line="26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Attending the 2020 Annual Meeting Online. </w:t>
      </w:r>
      <w:r>
        <w:rPr>
          <w:rFonts w:ascii="Arial" w:cs="Arial" w:eastAsia="Arial" w:hAnsi="Arial"/>
          <w:sz w:val="18"/>
          <w:szCs w:val="18"/>
          <w:color w:val="auto"/>
        </w:rPr>
        <w:t>You may vote online at the 2020 Annual Meeting by attending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2020 Annual Meeting online. To attend the 2020 Annual meeting online, you must register online at </w:t>
      </w:r>
      <w:r>
        <w:rPr>
          <w:rFonts w:ascii="Arial" w:cs="Arial" w:eastAsia="Arial" w:hAnsi="Arial"/>
          <w:sz w:val="18"/>
          <w:szCs w:val="18"/>
          <w:i w:val="1"/>
          <w:iCs w:val="1"/>
          <w:color w:val="auto"/>
        </w:rPr>
        <w:t xml:space="preserve">register.proxypush.com/ARDX </w:t>
      </w:r>
      <w:r>
        <w:rPr>
          <w:rFonts w:ascii="Arial" w:cs="Arial" w:eastAsia="Arial" w:hAnsi="Arial"/>
          <w:sz w:val="18"/>
          <w:szCs w:val="18"/>
          <w:color w:val="auto"/>
        </w:rPr>
        <w:t>on or before 5:00 p.m. Eastern Time on June 5, 2020 and follow the on-screen</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w:t>
      </w:r>
    </w:p>
    <w:p>
      <w:pPr>
        <w:spacing w:after="0" w:line="179" w:lineRule="exact"/>
        <w:rPr>
          <w:rFonts w:ascii="Arial" w:cs="Arial" w:eastAsia="Arial" w:hAnsi="Arial"/>
          <w:sz w:val="18"/>
          <w:szCs w:val="18"/>
          <w:color w:val="auto"/>
        </w:rPr>
      </w:pPr>
    </w:p>
    <w:p>
      <w:pPr>
        <w:ind w:left="700" w:right="119" w:hanging="332"/>
        <w:spacing w:after="0" w:line="314"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To vote by proxy by internet or telephone. </w:t>
      </w:r>
      <w:r>
        <w:rPr>
          <w:rFonts w:ascii="Arial" w:cs="Arial" w:eastAsia="Arial" w:hAnsi="Arial"/>
          <w:sz w:val="16"/>
          <w:szCs w:val="16"/>
          <w:color w:val="auto"/>
        </w:rPr>
        <w:t>If you have internet or telephone access, you may submit your proxy</w:t>
      </w:r>
      <w:r>
        <w:rPr>
          <w:rFonts w:ascii="Arial" w:cs="Arial" w:eastAsia="Arial" w:hAnsi="Arial"/>
          <w:sz w:val="16"/>
          <w:szCs w:val="16"/>
          <w:b w:val="1"/>
          <w:bCs w:val="1"/>
          <w:color w:val="auto"/>
        </w:rPr>
        <w:t xml:space="preserve"> </w:t>
      </w:r>
      <w:r>
        <w:rPr>
          <w:rFonts w:ascii="Arial" w:cs="Arial" w:eastAsia="Arial" w:hAnsi="Arial"/>
          <w:sz w:val="16"/>
          <w:szCs w:val="16"/>
          <w:color w:val="auto"/>
        </w:rPr>
        <w:t>by following the instructions provided in the Notice, or if you received paper proxy materials by mail, by following the instructions provided with your proxy materials and on your proxy card or voting instruction card.</w:t>
      </w:r>
    </w:p>
    <w:p>
      <w:pPr>
        <w:spacing w:after="0" w:line="141" w:lineRule="exact"/>
        <w:rPr>
          <w:rFonts w:ascii="Arial" w:cs="Arial" w:eastAsia="Arial" w:hAnsi="Arial"/>
          <w:sz w:val="16"/>
          <w:szCs w:val="16"/>
          <w:color w:val="auto"/>
        </w:rPr>
      </w:pPr>
    </w:p>
    <w:p>
      <w:pPr>
        <w:ind w:left="700" w:right="159" w:hanging="332"/>
        <w:spacing w:after="0" w:line="266"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To vote by proxy by mail. </w:t>
      </w:r>
      <w:r>
        <w:rPr>
          <w:rFonts w:ascii="Arial" w:cs="Arial" w:eastAsia="Arial" w:hAnsi="Arial"/>
          <w:sz w:val="18"/>
          <w:szCs w:val="18"/>
          <w:color w:val="auto"/>
        </w:rPr>
        <w:t>If you received paper proxy materials, you may submit your proxy by mail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signing your proxy card and mailing it in the enclosed envelope. Your shares will be voted as you have instructed.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or Bank</w:t>
      </w:r>
    </w:p>
    <w:p>
      <w:pPr>
        <w:spacing w:after="0" w:line="225"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2020 Annual Meeting, you must obtain a valid proxy from your broker or other agent. Follow the instructions from your broker or other agent included with these proxy materials, or contact your broker or bank to request a proxy form.</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 I vote my shares by completing and returning the Notice?</w:t>
      </w:r>
    </w:p>
    <w:p>
      <w:pPr>
        <w:spacing w:after="0" w:line="229"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No. The Notice will, however, provide instructions on how to vote by internet, by telephone, by requesting and returning a paper proxy card or voting instruction card, or by voting online at the 2020 Annual Meeting.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On each matter to be voted upon, you have one vote for each share of the Company’s common stock you owned as of April 15, 2020.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225"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If you return a signed and dated proxy card without marking any voting selections,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nominee for director (Proposal No. 1),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selection of Ernst &amp; Young LLP as the independent registered public accounting firm of the Company for the fiscal year ending December 31, 2020 (Proposal No. 2), “</w:t>
      </w:r>
      <w:r>
        <w:rPr>
          <w:rFonts w:ascii="Arial" w:cs="Arial" w:eastAsia="Arial" w:hAnsi="Arial"/>
          <w:sz w:val="17"/>
          <w:szCs w:val="17"/>
          <w:b w:val="1"/>
          <w:bCs w:val="1"/>
          <w:color w:val="auto"/>
        </w:rPr>
        <w:t>FOR</w:t>
      </w:r>
      <w:r>
        <w:rPr>
          <w:rFonts w:ascii="Arial" w:cs="Arial" w:eastAsia="Arial" w:hAnsi="Arial"/>
          <w:sz w:val="17"/>
          <w:szCs w:val="17"/>
          <w:color w:val="auto"/>
        </w:rPr>
        <w:t>” the approval, on a non-binding, advisory basis, of the Say-On-Pay proposal (Proposal No. 3) and “</w:t>
      </w:r>
      <w:r>
        <w:rPr>
          <w:rFonts w:ascii="Arial" w:cs="Arial" w:eastAsia="Arial" w:hAnsi="Arial"/>
          <w:sz w:val="17"/>
          <w:szCs w:val="17"/>
          <w:b w:val="1"/>
          <w:bCs w:val="1"/>
          <w:color w:val="auto"/>
        </w:rPr>
        <w:t>EVERY</w:t>
      </w:r>
      <w:r>
        <w:rPr>
          <w:rFonts w:ascii="Arial" w:cs="Arial" w:eastAsia="Arial" w:hAnsi="Arial"/>
          <w:sz w:val="17"/>
          <w:szCs w:val="17"/>
          <w:color w:val="auto"/>
        </w:rPr>
        <w:t xml:space="preserve"> </w:t>
      </w:r>
      <w:r>
        <w:rPr>
          <w:rFonts w:ascii="Arial" w:cs="Arial" w:eastAsia="Arial" w:hAnsi="Arial"/>
          <w:sz w:val="17"/>
          <w:szCs w:val="17"/>
          <w:b w:val="1"/>
          <w:bCs w:val="1"/>
          <w:color w:val="auto"/>
        </w:rPr>
        <w:t>ONE YEAR</w:t>
      </w:r>
      <w:r>
        <w:rPr>
          <w:rFonts w:ascii="Arial" w:cs="Arial" w:eastAsia="Arial" w:hAnsi="Arial"/>
          <w:sz w:val="17"/>
          <w:szCs w:val="17"/>
          <w:color w:val="auto"/>
        </w:rPr>
        <w:t>” on a non-binding, advisory basis as the frequency of future Say-on-Pay votes (Proposal No. 4). If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matter is properly presented at the 2020 Annual Meeting, your proxyholder (one of the individuals named on your proxy card) will vote your shares using his or her best judgment.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does it mean if I receive more than one Notice or proxy card?</w:t>
      </w:r>
    </w:p>
    <w:p>
      <w:pPr>
        <w:spacing w:after="0" w:line="229" w:lineRule="exact"/>
        <w:rPr>
          <w:sz w:val="20"/>
          <w:szCs w:val="20"/>
          <w:color w:val="auto"/>
        </w:rPr>
      </w:pPr>
    </w:p>
    <w:p>
      <w:pPr>
        <w:jc w:val="both"/>
        <w:ind w:left="40" w:right="339"/>
        <w:spacing w:after="0" w:line="263" w:lineRule="auto"/>
        <w:rPr>
          <w:sz w:val="20"/>
          <w:szCs w:val="20"/>
          <w:color w:val="auto"/>
        </w:rPr>
      </w:pPr>
      <w:r>
        <w:rPr>
          <w:rFonts w:ascii="Arial" w:cs="Arial" w:eastAsia="Arial" w:hAnsi="Arial"/>
          <w:sz w:val="18"/>
          <w:szCs w:val="18"/>
          <w:color w:val="auto"/>
        </w:rPr>
        <w:t>If you receive more than one Notice or proxy card, your shares are registered in more than one name or are registered in different accounts. In order to vote all the shares you own, you must vote pursuant to the instructions on each Notice or return each proxy card.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Yes. You can revoke your proxy at any time before the final vote at the 2020 Annual Meeting. If you are the stockholder of record of your shares, you may revoke your proxy in any one of three ways:</w:t>
      </w:r>
    </w:p>
    <w:p>
      <w:pPr>
        <w:spacing w:after="0" w:line="170" w:lineRule="exact"/>
        <w:rPr>
          <w:sz w:val="20"/>
          <w:szCs w:val="20"/>
          <w:color w:val="auto"/>
        </w:rPr>
      </w:pPr>
    </w:p>
    <w:p>
      <w:pPr>
        <w:ind w:left="700" w:hanging="332"/>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may submit another properly completed proxy, bearing a date later than the date of the original proxy.</w:t>
      </w:r>
    </w:p>
    <w:p>
      <w:pPr>
        <w:spacing w:after="0" w:line="236" w:lineRule="exact"/>
        <w:rPr>
          <w:rFonts w:ascii="Arial" w:cs="Arial" w:eastAsia="Arial" w:hAnsi="Arial"/>
          <w:sz w:val="17"/>
          <w:szCs w:val="17"/>
          <w:color w:val="auto"/>
        </w:rPr>
      </w:pPr>
    </w:p>
    <w:p>
      <w:pPr>
        <w:ind w:left="700" w:right="59" w:hanging="332"/>
        <w:spacing w:after="0" w:line="263"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183" w:lineRule="exact"/>
        <w:rPr>
          <w:rFonts w:ascii="Arial" w:cs="Arial" w:eastAsia="Arial" w:hAnsi="Arial"/>
          <w:sz w:val="18"/>
          <w:szCs w:val="18"/>
          <w:color w:val="auto"/>
        </w:rPr>
      </w:pPr>
    </w:p>
    <w:p>
      <w:pPr>
        <w:ind w:left="700" w:right="419" w:hanging="332"/>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attend the virtual 2020 Annual Meeting and vote online. Simply attending the 2020 Annual Meeting online will not, by itself, revoke your proxy.</w:t>
      </w:r>
    </w:p>
    <w:p>
      <w:pPr>
        <w:spacing w:after="0" w:line="170"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If your shares are held in “street name” by your broker or other agent, you should follow the instructions provided by your broker or agent to change your vote.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ind w:left="40" w:right="139"/>
        <w:spacing w:after="0" w:line="296"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in attendance at the virtual 2020 Annual Meeting. On the record date, there were 89,056,759 shares outstanding and entitled to vote. Accordingly, the holders of 44,528,380 shares must be present at the 2020 Annual Meeting to have a quorum. Your shares will be counted toward the quorum at the 2020 Annual Meeting only if you vote online at the meeting, or you submit a valid proxy vote.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2020 Annual Meeting to another date.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are votes counted?</w:t>
      </w:r>
    </w:p>
    <w:p>
      <w:pPr>
        <w:spacing w:after="0" w:line="225" w:lineRule="exact"/>
        <w:rPr>
          <w:sz w:val="20"/>
          <w:szCs w:val="20"/>
          <w:color w:val="auto"/>
        </w:rPr>
      </w:pPr>
    </w:p>
    <w:p>
      <w:pPr>
        <w:ind w:left="40" w:right="199"/>
        <w:spacing w:after="0" w:line="261" w:lineRule="auto"/>
        <w:rPr>
          <w:sz w:val="20"/>
          <w:szCs w:val="20"/>
          <w:color w:val="auto"/>
        </w:rPr>
      </w:pPr>
      <w:r>
        <w:rPr>
          <w:rFonts w:ascii="Arial" w:cs="Arial" w:eastAsia="Arial" w:hAnsi="Arial"/>
          <w:sz w:val="18"/>
          <w:szCs w:val="18"/>
          <w:color w:val="auto"/>
        </w:rPr>
        <w:t>With respect to the election of directors (Proposal 1),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for each of the nominees for the Board. If you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184" w:lineRule="exact"/>
        <w:rPr>
          <w:sz w:val="20"/>
          <w:szCs w:val="20"/>
          <w:color w:val="auto"/>
        </w:rPr>
      </w:pPr>
    </w:p>
    <w:p>
      <w:pPr>
        <w:jc w:val="both"/>
        <w:ind w:left="40" w:right="179"/>
        <w:spacing w:after="0" w:line="259" w:lineRule="auto"/>
        <w:rPr>
          <w:sz w:val="20"/>
          <w:szCs w:val="20"/>
          <w:color w:val="auto"/>
        </w:rPr>
      </w:pPr>
      <w:r>
        <w:rPr>
          <w:rFonts w:ascii="Arial" w:cs="Arial" w:eastAsia="Arial" w:hAnsi="Arial"/>
          <w:sz w:val="18"/>
          <w:szCs w:val="18"/>
          <w:color w:val="auto"/>
        </w:rPr>
        <w:t>With respect to the ratification of Ernst &amp; Young LLP as of our independent registered public accounting firm for the year ending December 31, 2020 (Proposal 2),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If you “</w:t>
      </w:r>
      <w:r>
        <w:rPr>
          <w:rFonts w:ascii="Arial" w:cs="Arial" w:eastAsia="Arial" w:hAnsi="Arial"/>
          <w:sz w:val="18"/>
          <w:szCs w:val="18"/>
          <w:b w:val="1"/>
          <w:bCs w:val="1"/>
          <w:color w:val="auto"/>
        </w:rPr>
        <w:t>ABSTAIN</w:t>
      </w:r>
      <w:r>
        <w:rPr>
          <w:rFonts w:ascii="Arial" w:cs="Arial" w:eastAsia="Arial" w:hAnsi="Arial"/>
          <w:sz w:val="18"/>
          <w:szCs w:val="18"/>
          <w:color w:val="auto"/>
        </w:rPr>
        <w:t>” from voting with respect to this proposal, your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have no effect on the vote for this proposal.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With respect to the Say-On-Pay proposal (Proposal 3),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If you</w:t>
      </w:r>
    </w:p>
    <w:p>
      <w:pPr>
        <w:spacing w:after="0" w:line="27" w:lineRule="exact"/>
        <w:rPr>
          <w:sz w:val="20"/>
          <w:szCs w:val="20"/>
          <w:color w:val="auto"/>
        </w:rPr>
      </w:pPr>
    </w:p>
    <w:p>
      <w:pPr>
        <w:ind w:left="40" w:right="47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ABSTAIN</w:t>
      </w:r>
      <w:r>
        <w:rPr>
          <w:rFonts w:ascii="Arial" w:cs="Arial" w:eastAsia="Arial" w:hAnsi="Arial"/>
          <w:sz w:val="18"/>
          <w:szCs w:val="18"/>
          <w:color w:val="auto"/>
        </w:rPr>
        <w:t>” from voting with respect to this proposal, your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have no effect on the vote for this proposal.</w:t>
      </w:r>
    </w:p>
    <w:p>
      <w:pPr>
        <w:spacing w:after="0" w:line="181" w:lineRule="exact"/>
        <w:rPr>
          <w:sz w:val="20"/>
          <w:szCs w:val="20"/>
          <w:color w:val="auto"/>
        </w:rPr>
      </w:pPr>
    </w:p>
    <w:p>
      <w:pPr>
        <w:jc w:val="both"/>
        <w:ind w:left="40" w:right="259"/>
        <w:spacing w:after="0" w:line="266" w:lineRule="auto"/>
        <w:rPr>
          <w:sz w:val="20"/>
          <w:szCs w:val="20"/>
          <w:color w:val="auto"/>
        </w:rPr>
      </w:pPr>
      <w:r>
        <w:rPr>
          <w:rFonts w:ascii="Arial" w:cs="Arial" w:eastAsia="Arial" w:hAnsi="Arial"/>
          <w:sz w:val="18"/>
          <w:szCs w:val="18"/>
          <w:color w:val="auto"/>
        </w:rPr>
        <w:t>With respect to the frequency of the Say-On-Pay vote (Proposal 4), you may vote for “</w:t>
      </w:r>
      <w:r>
        <w:rPr>
          <w:rFonts w:ascii="Arial" w:cs="Arial" w:eastAsia="Arial" w:hAnsi="Arial"/>
          <w:sz w:val="18"/>
          <w:szCs w:val="18"/>
          <w:b w:val="1"/>
          <w:bCs w:val="1"/>
          <w:color w:val="auto"/>
        </w:rPr>
        <w:t>EVERY ONE YEAR</w:t>
      </w:r>
      <w:r>
        <w:rPr>
          <w:rFonts w:ascii="Arial" w:cs="Arial" w:eastAsia="Arial" w:hAnsi="Arial"/>
          <w:sz w:val="18"/>
          <w:szCs w:val="18"/>
          <w:color w:val="auto"/>
        </w:rPr>
        <w:t>,” “</w:t>
      </w:r>
      <w:r>
        <w:rPr>
          <w:rFonts w:ascii="Arial" w:cs="Arial" w:eastAsia="Arial" w:hAnsi="Arial"/>
          <w:sz w:val="18"/>
          <w:szCs w:val="18"/>
          <w:b w:val="1"/>
          <w:bCs w:val="1"/>
          <w:color w:val="auto"/>
        </w:rPr>
        <w:t>EVERY</w:t>
      </w:r>
      <w:r>
        <w:rPr>
          <w:rFonts w:ascii="Arial" w:cs="Arial" w:eastAsia="Arial" w:hAnsi="Arial"/>
          <w:sz w:val="18"/>
          <w:szCs w:val="18"/>
          <w:color w:val="auto"/>
        </w:rPr>
        <w:t xml:space="preserve"> </w:t>
      </w:r>
      <w:r>
        <w:rPr>
          <w:rFonts w:ascii="Arial" w:cs="Arial" w:eastAsia="Arial" w:hAnsi="Arial"/>
          <w:sz w:val="18"/>
          <w:szCs w:val="18"/>
          <w:b w:val="1"/>
          <w:bCs w:val="1"/>
          <w:color w:val="auto"/>
        </w:rPr>
        <w:t>TWO YEARS</w:t>
      </w:r>
      <w:r>
        <w:rPr>
          <w:rFonts w:ascii="Arial" w:cs="Arial" w:eastAsia="Arial" w:hAnsi="Arial"/>
          <w:sz w:val="18"/>
          <w:szCs w:val="18"/>
          <w:color w:val="auto"/>
        </w:rPr>
        <w:t>,” “</w:t>
      </w:r>
      <w:r>
        <w:rPr>
          <w:rFonts w:ascii="Arial" w:cs="Arial" w:eastAsia="Arial" w:hAnsi="Arial"/>
          <w:sz w:val="18"/>
          <w:szCs w:val="18"/>
          <w:b w:val="1"/>
          <w:bCs w:val="1"/>
          <w:color w:val="auto"/>
        </w:rPr>
        <w:t>EVERY THREE YEARS</w:t>
      </w:r>
      <w:r>
        <w:rPr>
          <w:rFonts w:ascii="Arial" w:cs="Arial" w:eastAsia="Arial" w:hAnsi="Arial"/>
          <w:sz w:val="18"/>
          <w:szCs w:val="18"/>
          <w:color w:val="auto"/>
        </w:rPr>
        <w:t>” or you may “</w:t>
      </w:r>
      <w:r>
        <w:rPr>
          <w:rFonts w:ascii="Arial" w:cs="Arial" w:eastAsia="Arial" w:hAnsi="Arial"/>
          <w:sz w:val="18"/>
          <w:szCs w:val="18"/>
          <w:b w:val="1"/>
          <w:bCs w:val="1"/>
          <w:color w:val="auto"/>
        </w:rPr>
        <w:t>ABSTAIN</w:t>
      </w:r>
      <w:r>
        <w:rPr>
          <w:rFonts w:ascii="Arial" w:cs="Arial" w:eastAsia="Arial" w:hAnsi="Arial"/>
          <w:sz w:val="18"/>
          <w:szCs w:val="18"/>
          <w:color w:val="auto"/>
        </w:rPr>
        <w:t>.” Abstentions and broker non-votes will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on the vote for this proposal.</w:t>
      </w:r>
    </w:p>
    <w:p>
      <w:pPr>
        <w:spacing w:after="0" w:line="180"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Votes will be counted by the Inspector of Elections appointed for the 2020 Annual Meeting. The Inspector of Elections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votes for the election of directors (Proposal 1),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abstentions and, if any, broker non-votes for the ratification of the selection of Ernst &amp; Young LLP as the independent registered accounting firm of the Company for the fiscal year ending December 31, 2020 (Proposal 2),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abstentions and, if any, broker non-votes for the approval, on a non-binding, advisory basis, of the Say-On-Pay (Proposal 3) and votes for “</w:t>
      </w:r>
      <w:r>
        <w:rPr>
          <w:rFonts w:ascii="Arial" w:cs="Arial" w:eastAsia="Arial" w:hAnsi="Arial"/>
          <w:sz w:val="18"/>
          <w:szCs w:val="18"/>
          <w:b w:val="1"/>
          <w:bCs w:val="1"/>
          <w:color w:val="auto"/>
        </w:rPr>
        <w:t>EVERY ONE YEAR</w:t>
      </w:r>
      <w:r>
        <w:rPr>
          <w:rFonts w:ascii="Arial" w:cs="Arial" w:eastAsia="Arial" w:hAnsi="Arial"/>
          <w:sz w:val="18"/>
          <w:szCs w:val="18"/>
          <w:color w:val="auto"/>
        </w:rPr>
        <w:t>,” “</w:t>
      </w:r>
      <w:r>
        <w:rPr>
          <w:rFonts w:ascii="Arial" w:cs="Arial" w:eastAsia="Arial" w:hAnsi="Arial"/>
          <w:sz w:val="18"/>
          <w:szCs w:val="18"/>
          <w:b w:val="1"/>
          <w:bCs w:val="1"/>
          <w:color w:val="auto"/>
        </w:rPr>
        <w:t>EVERY TWO YEARS</w:t>
      </w:r>
      <w:r>
        <w:rPr>
          <w:rFonts w:ascii="Arial" w:cs="Arial" w:eastAsia="Arial" w:hAnsi="Arial"/>
          <w:sz w:val="18"/>
          <w:szCs w:val="18"/>
          <w:color w:val="auto"/>
        </w:rPr>
        <w:t>,” and “</w:t>
      </w:r>
      <w:r>
        <w:rPr>
          <w:rFonts w:ascii="Arial" w:cs="Arial" w:eastAsia="Arial" w:hAnsi="Arial"/>
          <w:sz w:val="18"/>
          <w:szCs w:val="18"/>
          <w:b w:val="1"/>
          <w:bCs w:val="1"/>
          <w:color w:val="auto"/>
        </w:rPr>
        <w:t>EVERY THREE YEARS</w:t>
      </w:r>
      <w:r>
        <w:rPr>
          <w:rFonts w:ascii="Arial" w:cs="Arial" w:eastAsia="Arial" w:hAnsi="Arial"/>
          <w:sz w:val="18"/>
          <w:szCs w:val="18"/>
          <w:color w:val="auto"/>
        </w:rPr>
        <w:t>” for the non-binding, advisory frequency of future Say-on-Pay votes (Proposal 4).</w:t>
      </w:r>
    </w:p>
    <w:p>
      <w:pPr>
        <w:spacing w:after="0" w:line="195"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Proposal No. 3 to approve the Say-On-Pay and Proposal No. 4 to approve the frequency of Say-On-Pay votes are all non-routine matters, but Proposal No. 2 to ratify the selection of Ernst &amp; Young LLP as the independent registered public accounting firm for the Company for the fiscal year ending December 31, 2020 is a “routine” matter.</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left="1020" w:right="279" w:hanging="328"/>
        <w:spacing w:after="0" w:line="30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Proposal No. 1 — To elect three Class III directors to hold office until the 2023 Annual Meeting of Stockholders and until their successors are elected and qualified. Directors shall be elected by a plurality of the votes cast, which means that the three nominees receiving the most “</w:t>
      </w:r>
      <w:r>
        <w:rPr>
          <w:rFonts w:ascii="Arial" w:cs="Arial" w:eastAsia="Arial" w:hAnsi="Arial"/>
          <w:sz w:val="16"/>
          <w:szCs w:val="16"/>
          <w:b w:val="1"/>
          <w:bCs w:val="1"/>
          <w:color w:val="auto"/>
        </w:rPr>
        <w:t>FOR</w:t>
      </w:r>
      <w:r>
        <w:rPr>
          <w:rFonts w:ascii="Arial" w:cs="Arial" w:eastAsia="Arial" w:hAnsi="Arial"/>
          <w:sz w:val="16"/>
          <w:szCs w:val="16"/>
          <w:color w:val="auto"/>
        </w:rPr>
        <w:t>” votes (from the votes of shares present in attendance or represented by proxy and entitled to vote on the election of directors) will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020" w:right="399"/>
        <w:spacing w:after="0" w:line="282" w:lineRule="auto"/>
        <w:rPr>
          <w:sz w:val="20"/>
          <w:szCs w:val="20"/>
          <w:color w:val="auto"/>
        </w:rPr>
      </w:pPr>
      <w:r>
        <w:rPr>
          <w:rFonts w:ascii="Arial" w:cs="Arial" w:eastAsia="Arial" w:hAnsi="Arial"/>
          <w:sz w:val="18"/>
          <w:szCs w:val="18"/>
          <w:color w:val="auto"/>
        </w:rPr>
        <w:t>be elected. “</w:t>
      </w:r>
      <w:r>
        <w:rPr>
          <w:rFonts w:ascii="Arial" w:cs="Arial" w:eastAsia="Arial" w:hAnsi="Arial"/>
          <w:sz w:val="18"/>
          <w:szCs w:val="18"/>
          <w:b w:val="1"/>
          <w:bCs w:val="1"/>
          <w:color w:val="auto"/>
        </w:rPr>
        <w:t>WITHHOLD</w:t>
      </w:r>
      <w:r>
        <w:rPr>
          <w:rFonts w:ascii="Arial" w:cs="Arial" w:eastAsia="Arial" w:hAnsi="Arial"/>
          <w:sz w:val="18"/>
          <w:szCs w:val="18"/>
          <w:color w:val="auto"/>
        </w:rPr>
        <w:t>” votes and broker non-votes will not be counted towards the vote total for this proposal.</w:t>
      </w:r>
    </w:p>
    <w:p>
      <w:pPr>
        <w:spacing w:after="0" w:line="166" w:lineRule="exact"/>
        <w:rPr>
          <w:sz w:val="20"/>
          <w:szCs w:val="20"/>
          <w:color w:val="auto"/>
        </w:rPr>
      </w:pPr>
    </w:p>
    <w:p>
      <w:pPr>
        <w:ind w:left="1020" w:right="139" w:hanging="328"/>
        <w:spacing w:after="0" w:line="27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Proposal No. 2 — To ratify the selection of Ernst &amp; Young LLP as the independent registered public accounting firm of the Company for the fiscal year ending December 31, 2020. The ratification of our Ernst &amp; Young LLP as independent registered public accounting firm for the year ending December 31, 2020 requires the affirmative vote of the majority of the votes cast, which means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the proposal must exceed the number of shares voted “</w:t>
      </w:r>
      <w:r>
        <w:rPr>
          <w:rFonts w:ascii="Arial" w:cs="Arial" w:eastAsia="Arial" w:hAnsi="Arial"/>
          <w:sz w:val="17"/>
          <w:szCs w:val="17"/>
          <w:b w:val="1"/>
          <w:bCs w:val="1"/>
          <w:color w:val="auto"/>
        </w:rPr>
        <w:t>AGAINST</w:t>
      </w:r>
      <w:r>
        <w:rPr>
          <w:rFonts w:ascii="Arial" w:cs="Arial" w:eastAsia="Arial" w:hAnsi="Arial"/>
          <w:sz w:val="17"/>
          <w:szCs w:val="17"/>
          <w:color w:val="auto"/>
        </w:rPr>
        <w:t>” such proposal). Abstentions and broker non-votes are not considered votes cast for the foregoing purpose, and will have no effect on the vote for this proposal. Because Proposal No. 2 is considered a “routine” matter, no broker non-votes are expected in connection with this proposal.</w:t>
      </w:r>
    </w:p>
    <w:p>
      <w:pPr>
        <w:spacing w:after="0" w:line="178" w:lineRule="exact"/>
        <w:rPr>
          <w:rFonts w:ascii="Arial" w:cs="Arial" w:eastAsia="Arial" w:hAnsi="Arial"/>
          <w:sz w:val="17"/>
          <w:szCs w:val="17"/>
          <w:color w:val="auto"/>
        </w:rPr>
      </w:pPr>
    </w:p>
    <w:p>
      <w:pPr>
        <w:ind w:left="1020" w:right="79" w:hanging="328"/>
        <w:spacing w:after="0" w:line="27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Proposal No. 3 — To approve, on a non-binding, advisory basis, the Say-On-Pay proposal. The Say-On-Pay Proposal requires the affirmative vote of the majority of the votes cast, which means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the proposal must exceed the number of shares voted “</w:t>
      </w:r>
      <w:r>
        <w:rPr>
          <w:rFonts w:ascii="Arial" w:cs="Arial" w:eastAsia="Arial" w:hAnsi="Arial"/>
          <w:sz w:val="17"/>
          <w:szCs w:val="17"/>
          <w:b w:val="1"/>
          <w:bCs w:val="1"/>
          <w:color w:val="auto"/>
        </w:rPr>
        <w:t>AGAINST</w:t>
      </w:r>
      <w:r>
        <w:rPr>
          <w:rFonts w:ascii="Arial" w:cs="Arial" w:eastAsia="Arial" w:hAnsi="Arial"/>
          <w:sz w:val="17"/>
          <w:szCs w:val="17"/>
          <w:color w:val="auto"/>
        </w:rPr>
        <w:t>” such proposal). Abstentions have the same effect as a vote “AGAINST” such proposal. Broker non-votes are not considered votes cast for the foregoing purpose, and will have no effect on the vote for this proposal.</w:t>
      </w:r>
    </w:p>
    <w:p>
      <w:pPr>
        <w:spacing w:after="0" w:line="176" w:lineRule="exact"/>
        <w:rPr>
          <w:rFonts w:ascii="Arial" w:cs="Arial" w:eastAsia="Arial" w:hAnsi="Arial"/>
          <w:sz w:val="17"/>
          <w:szCs w:val="17"/>
          <w:color w:val="auto"/>
        </w:rPr>
      </w:pPr>
    </w:p>
    <w:p>
      <w:pPr>
        <w:ind w:left="1020" w:right="99" w:hanging="328"/>
        <w:spacing w:after="0" w:line="288"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Proposal No. 4 — To approve, on a non-binding, advisory basis, whether a Say-on-Pay vote should occur every one (1) year, every two (2) years or every three (3) years. The approval on the frequency of future Say-On-Pay votes requires that the option of every one year, every two years or every three years must receive the affirmative vote of the holders of a majority in voting power of the shares of the Company’s common stock which are present in attendance online during the 2020 Annual Meeting or by proxy and entitled to vote on such proposal will be determined to be the stockholders’ recommended frequency for future advisory votes on executive compensation. If none of the frequency alternatives (one year, two years or three years) receives a majority vote, the Company will consider the frequency that receives the highest number of votes by stockholders to be the frequency that has been selected by its stockholders. Abstentions and broker non-votes are not considered votes cast for the foregoing purpose, and will have no effect on the vote for this proposal.</w:t>
      </w:r>
    </w:p>
    <w:p>
      <w:pPr>
        <w:spacing w:after="0" w:line="168" w:lineRule="exact"/>
        <w:rPr>
          <w:rFonts w:ascii="Arial" w:cs="Arial" w:eastAsia="Arial" w:hAnsi="Arial"/>
          <w:sz w:val="16"/>
          <w:szCs w:val="16"/>
          <w:color w:val="auto"/>
        </w:rPr>
      </w:pPr>
    </w:p>
    <w:p>
      <w:pPr>
        <w:ind w:left="1020" w:right="59"/>
        <w:spacing w:after="0" w:line="273" w:lineRule="auto"/>
        <w:rPr>
          <w:rFonts w:ascii="Arial" w:cs="Arial" w:eastAsia="Arial" w:hAnsi="Arial"/>
          <w:sz w:val="16"/>
          <w:szCs w:val="16"/>
          <w:color w:val="auto"/>
        </w:rPr>
      </w:pPr>
      <w:r>
        <w:rPr>
          <w:rFonts w:ascii="Arial" w:cs="Arial" w:eastAsia="Arial" w:hAnsi="Arial"/>
          <w:sz w:val="17"/>
          <w:szCs w:val="17"/>
          <w:color w:val="auto"/>
        </w:rPr>
        <w:t>Because votes on Proposals No. 3 and 4 are advisory, they will not be binding on the Board of Directors, the compensation committee of the Board of Directors or the Company. With respect to Proposal No. 3, the Board of Directors will review the voting results and take them into consideration when making future decisions about executive compensation. With respect to Proposal No. 4, the Board of Directors may decide that it is in the best interests of the Company and its stockholders to hold a stockholder advisory vote on executive compensation more or less frequently than the option recommended by stockholders.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229" w:lineRule="exact"/>
        <w:rPr>
          <w:sz w:val="20"/>
          <w:szCs w:val="20"/>
          <w:color w:val="auto"/>
        </w:rPr>
      </w:pPr>
    </w:p>
    <w:p>
      <w:pPr>
        <w:ind w:left="40" w:right="159"/>
        <w:spacing w:after="0" w:line="218" w:lineRule="exact"/>
        <w:rPr>
          <w:sz w:val="20"/>
          <w:szCs w:val="20"/>
          <w:color w:val="auto"/>
        </w:rPr>
      </w:pPr>
      <w:r>
        <w:rPr>
          <w:rFonts w:ascii="Arial" w:cs="Arial" w:eastAsia="Arial" w:hAnsi="Arial"/>
          <w:sz w:val="16"/>
          <w:szCs w:val="16"/>
          <w:color w:val="auto"/>
        </w:rPr>
        <w:t>This year’s Annual Meeting will be held entirely online due to the emerging public health impact of the coronavirus outbreak (COVID</w:t>
      </w:r>
      <w:r>
        <w:rPr>
          <w:rFonts w:ascii="MS PGothic" w:cs="MS PGothic" w:eastAsia="MS PGothic" w:hAnsi="MS PGothic"/>
          <w:sz w:val="16"/>
          <w:szCs w:val="16"/>
          <w:color w:val="auto"/>
        </w:rPr>
        <w:t>‑</w:t>
      </w:r>
      <w:r>
        <w:rPr>
          <w:rFonts w:ascii="Arial" w:cs="Arial" w:eastAsia="Arial" w:hAnsi="Arial"/>
          <w:sz w:val="16"/>
          <w:szCs w:val="16"/>
          <w:color w:val="auto"/>
        </w:rPr>
        <w:t xml:space="preserve">19) and to support the health and well-being of our partners, employees and stockholders. Stockholders of record as of April 15, 2020 will be able to attend and participate in the 2020 Annual Meeting online by registering to attend at </w:t>
      </w:r>
      <w:r>
        <w:rPr>
          <w:rFonts w:ascii="Arial" w:cs="Arial" w:eastAsia="Arial" w:hAnsi="Arial"/>
          <w:sz w:val="16"/>
          <w:szCs w:val="16"/>
          <w:i w:val="1"/>
          <w:iCs w:val="1"/>
          <w:color w:val="auto"/>
        </w:rPr>
        <w:t>register.proxypush.com/ARDX</w:t>
      </w:r>
      <w:r>
        <w:rPr>
          <w:rFonts w:ascii="Arial" w:cs="Arial" w:eastAsia="Arial" w:hAnsi="Arial"/>
          <w:sz w:val="16"/>
          <w:szCs w:val="16"/>
          <w:color w:val="auto"/>
        </w:rPr>
        <w:t xml:space="preserve"> on or before 5:00 p.m. Eastern Time on June 5, 2020. Once you have registered, you will receive a link via the email you registered approximately one hour before the commencement of the 2020 Annual Meeting, and you will be able to join the online Annual Meeting by utilizing the link. To register for the 2020 Annual Meeting, you will need to have your account number which is included on your Notice and your proxy card.</w:t>
      </w:r>
    </w:p>
    <w:p>
      <w:pPr>
        <w:spacing w:after="0" w:line="204"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Even if you plan to attend the 2020 Annual Meeting online, we recommend that you also vote by proxy as described herein so that your vote will be counted if you decide not to attend the 2020 Annual Meeting.</w:t>
      </w:r>
    </w:p>
    <w:p>
      <w:pPr>
        <w:spacing w:after="0" w:line="170" w:lineRule="exact"/>
        <w:rPr>
          <w:sz w:val="20"/>
          <w:szCs w:val="20"/>
          <w:color w:val="auto"/>
        </w:rPr>
      </w:pPr>
    </w:p>
    <w:p>
      <w:pPr>
        <w:ind w:left="40" w:right="119"/>
        <w:spacing w:after="0" w:line="342" w:lineRule="auto"/>
        <w:rPr>
          <w:sz w:val="20"/>
          <w:szCs w:val="20"/>
          <w:color w:val="auto"/>
        </w:rPr>
      </w:pPr>
      <w:r>
        <w:rPr>
          <w:rFonts w:ascii="Arial" w:cs="Arial" w:eastAsia="Arial" w:hAnsi="Arial"/>
          <w:sz w:val="16"/>
          <w:szCs w:val="16"/>
          <w:b w:val="1"/>
          <w:bCs w:val="1"/>
          <w:i w:val="1"/>
          <w:iCs w:val="1"/>
          <w:color w:val="auto"/>
        </w:rPr>
        <w:t xml:space="preserve">Access to the Audio Webcast of the 2020 Annual Meeting. </w:t>
      </w:r>
      <w:r>
        <w:rPr>
          <w:rFonts w:ascii="Arial" w:cs="Arial" w:eastAsia="Arial" w:hAnsi="Arial"/>
          <w:sz w:val="16"/>
          <w:szCs w:val="16"/>
          <w:color w:val="auto"/>
        </w:rPr>
        <w:t>The live audio webcast of the 2020 Annual Meeting will begin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at 8:30 a.m. Pacific Time. Online access to the audio webcast will open approximately fifteen minutes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prior to the start of the 2020 Annual Meeting to allow time for you to log in and test the computer audio system. We encourage our stockholders to access the meeting prior to the start time.</w:t>
      </w:r>
    </w:p>
    <w:p>
      <w:pPr>
        <w:spacing w:after="0" w:line="170"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b w:val="1"/>
          <w:bCs w:val="1"/>
          <w:i w:val="1"/>
          <w:iCs w:val="1"/>
          <w:color w:val="auto"/>
        </w:rPr>
        <w:t xml:space="preserve">Registration and Log in Instructions. </w:t>
      </w:r>
      <w:r>
        <w:rPr>
          <w:rFonts w:ascii="Arial" w:cs="Arial" w:eastAsia="Arial" w:hAnsi="Arial"/>
          <w:sz w:val="17"/>
          <w:szCs w:val="17"/>
          <w:color w:val="auto"/>
        </w:rPr>
        <w:t>To attend the online 2020 Annual Meeting, you will need to register at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register.proxypush.com/ARDX </w:t>
      </w:r>
      <w:r>
        <w:rPr>
          <w:rFonts w:ascii="Arial" w:cs="Arial" w:eastAsia="Arial" w:hAnsi="Arial"/>
          <w:sz w:val="17"/>
          <w:szCs w:val="17"/>
          <w:color w:val="auto"/>
        </w:rPr>
        <w:t>on or before 5:00 p.m. Eastern Time on June 5, 2020. Once you have registered, you will</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 link via the email you registered approximately one hour before the commencement of the 2020 Annual Meeting. In order to register for the online 2020 Annual Meeting, Stockholders will need their unique account number which appears on the Notice and the instructions that accompanied the proxy materials. In the event that you do not have a control number, please contact your broker, bank, or other nominee as soon as possible so that you can be provided with a control number and register to attend the meeting prior to the close of registration on June 5, 2020.</w:t>
      </w:r>
    </w:p>
    <w:p>
      <w:pPr>
        <w:spacing w:after="0" w:line="177"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 xml:space="preserve">Submitting Questions prior to the virtual 2020 Annual Meeting. </w:t>
      </w:r>
      <w:r>
        <w:rPr>
          <w:rFonts w:ascii="Arial" w:cs="Arial" w:eastAsia="Arial" w:hAnsi="Arial"/>
          <w:sz w:val="18"/>
          <w:szCs w:val="18"/>
          <w:color w:val="auto"/>
        </w:rPr>
        <w:t>When you register for the 2020 Annual Meeting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register.proxypush.com/ARDX, </w:t>
      </w:r>
      <w:r>
        <w:rPr>
          <w:rFonts w:ascii="Arial" w:cs="Arial" w:eastAsia="Arial" w:hAnsi="Arial"/>
          <w:sz w:val="18"/>
          <w:szCs w:val="18"/>
          <w:color w:val="auto"/>
        </w:rPr>
        <w:t>you will have the opportunity to submit a question to be answered during the meeting.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the only time that you have the opportunity to submit a question.</w:t>
      </w:r>
    </w:p>
    <w:p>
      <w:pPr>
        <w:spacing w:after="0" w:line="184" w:lineRule="exact"/>
        <w:rPr>
          <w:sz w:val="20"/>
          <w:szCs w:val="20"/>
          <w:color w:val="auto"/>
        </w:rPr>
      </w:pPr>
    </w:p>
    <w:p>
      <w:pPr>
        <w:jc w:val="both"/>
        <w:ind w:left="40" w:right="179"/>
        <w:spacing w:after="0" w:line="263" w:lineRule="auto"/>
        <w:rPr>
          <w:sz w:val="20"/>
          <w:szCs w:val="20"/>
          <w:color w:val="auto"/>
        </w:rPr>
      </w:pPr>
      <w:r>
        <w:rPr>
          <w:rFonts w:ascii="Arial" w:cs="Arial" w:eastAsia="Arial" w:hAnsi="Arial"/>
          <w:sz w:val="18"/>
          <w:szCs w:val="18"/>
          <w:color w:val="auto"/>
        </w:rPr>
        <w:t>If you register to attend the 2020 Annual Meeting, the 2020 Annual Meeting’s Rules of Conduct will be available for your review on the day of the 2020 Annual Meeting via the link to attend the meeting that will be sent to you approximately an hour before the commencement of the meeting.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Technical Assistance. </w:t>
      </w:r>
      <w:r>
        <w:rPr>
          <w:rFonts w:ascii="Arial" w:cs="Arial" w:eastAsia="Arial" w:hAnsi="Arial"/>
          <w:sz w:val="16"/>
          <w:szCs w:val="16"/>
          <w:color w:val="auto"/>
        </w:rPr>
        <w:t>Beginning 15 minutes prior to the start of and during the virtual 2020 Annual Meeting, we will have</w:t>
      </w:r>
    </w:p>
    <w:p>
      <w:pPr>
        <w:spacing w:after="0" w:line="46" w:lineRule="exact"/>
        <w:rPr>
          <w:sz w:val="20"/>
          <w:szCs w:val="20"/>
          <w:color w:val="auto"/>
        </w:rPr>
      </w:pPr>
    </w:p>
    <w:p>
      <w:pPr>
        <w:ind w:left="40" w:right="159" w:firstLine="4"/>
        <w:spacing w:after="0" w:line="295"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support team ready to assist stockholders with any technical difficulties they may have accessing or hearing the virtual meeting. If you register to attend the 2020 Annual Meeting, you will receive a link via the email you registered approximately one hour prior to the commencement of the meeting. The email that includes the link will also include contact information should you require technical support when accessing the virtual meeting or during the virtual meeting.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can I find out the results of the voting at the 2020 Annual Meeting?</w:t>
      </w:r>
    </w:p>
    <w:p>
      <w:pPr>
        <w:spacing w:after="0" w:line="189" w:lineRule="exact"/>
        <w:rPr>
          <w:sz w:val="20"/>
          <w:szCs w:val="20"/>
          <w:color w:val="auto"/>
        </w:rPr>
      </w:pPr>
    </w:p>
    <w:p>
      <w:pPr>
        <w:ind w:left="40" w:right="79"/>
        <w:spacing w:after="0" w:line="224" w:lineRule="exact"/>
        <w:rPr>
          <w:sz w:val="20"/>
          <w:szCs w:val="20"/>
          <w:color w:val="auto"/>
        </w:rPr>
      </w:pPr>
      <w:r>
        <w:rPr>
          <w:rFonts w:ascii="Arial" w:cs="Arial" w:eastAsia="Arial" w:hAnsi="Arial"/>
          <w:sz w:val="17"/>
          <w:szCs w:val="17"/>
          <w:color w:val="auto"/>
        </w:rPr>
        <w:t>We will disclose final voting results in a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with the SEC within four business days after the 2020 Annual Meeting. If final voting results are unavailable at that time, then we intend to file a Current Report on</w:t>
      </w:r>
    </w:p>
    <w:p>
      <w:pPr>
        <w:ind w:left="40" w:right="1079"/>
        <w:spacing w:after="0" w:line="216"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8"/>
          <w:szCs w:val="18"/>
          <w:color w:val="auto"/>
        </w:rPr>
        <w:t>‑</w:t>
      </w:r>
      <w:r>
        <w:rPr>
          <w:rFonts w:ascii="Arial" w:cs="Arial" w:eastAsia="Arial" w:hAnsi="Arial"/>
          <w:sz w:val="18"/>
          <w:szCs w:val="18"/>
          <w:color w:val="auto"/>
        </w:rPr>
        <w:t>K to disclose preliminary voting results and file an amended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within four business days after the date the final voting results are available.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02"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color w:val="auto"/>
        </w:rPr>
        <w:t>We are a “smaller reporting company” as defined in the Securities and Exchange Act of 1934, as amended, or the Exchange Act, and as such, have elected to comply with certain reduced public company reporting requirements. These reduced reporting requirements include reduced disclosure about the company’s executive compensation arrangements. We will remain a smaller reporting company until the last day of the fiscal year in which (1) the market value of our common stock held by non-affiliates exceeds $250 million as of the end of that year’s second fiscal quarter, and our annual revenues exceed $100 million during such fiscal year, or (2) the market value of our common stock held by non-affiliates exceeds $700 million as of the end of that year’s second fiscal quarter.</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89" w:lineRule="exact"/>
        <w:rPr>
          <w:sz w:val="20"/>
          <w:szCs w:val="20"/>
          <w:color w:val="auto"/>
        </w:rPr>
      </w:pPr>
    </w:p>
    <w:p>
      <w:pPr>
        <w:ind w:left="40" w:right="159"/>
        <w:spacing w:after="0" w:line="279" w:lineRule="auto"/>
        <w:rPr>
          <w:sz w:val="20"/>
          <w:szCs w:val="20"/>
          <w:color w:val="auto"/>
        </w:rPr>
      </w:pPr>
      <w:r>
        <w:rPr>
          <w:rFonts w:ascii="Arial" w:cs="Arial" w:eastAsia="Arial" w:hAnsi="Arial"/>
          <w:sz w:val="17"/>
          <w:szCs w:val="17"/>
          <w:color w:val="auto"/>
        </w:rPr>
        <w:t>To be considered for inclusion in the proxy materials for the 2021 Annual Meeting of Stockholders, your proposal must be submitted in writing by December 28, 2020, to the Company’s Corporate Secretary at Ardelyx, Inc., 34175 Ardenwood Blvd., Fremont, CA 94555. However, if the meeting is more than 30 days from June 9, 2021, then the deadline will be a reasonable time before we begin to print and mail our proxy materials for that meeting.</w:t>
      </w:r>
    </w:p>
    <w:p>
      <w:pPr>
        <w:spacing w:after="0" w:line="144" w:lineRule="exact"/>
        <w:rPr>
          <w:sz w:val="20"/>
          <w:szCs w:val="20"/>
          <w:color w:val="auto"/>
        </w:rPr>
      </w:pPr>
    </w:p>
    <w:p>
      <w:pPr>
        <w:ind w:left="40" w:right="279"/>
        <w:spacing w:after="0" w:line="296" w:lineRule="auto"/>
        <w:rPr>
          <w:sz w:val="20"/>
          <w:szCs w:val="20"/>
          <w:color w:val="auto"/>
        </w:rPr>
      </w:pPr>
      <w:r>
        <w:rPr>
          <w:rFonts w:ascii="Arial" w:cs="Arial" w:eastAsia="Arial" w:hAnsi="Arial"/>
          <w:sz w:val="16"/>
          <w:szCs w:val="16"/>
          <w:color w:val="auto"/>
        </w:rPr>
        <w:t>If you wish to submit a proposal before the stockholders or nominate a director at the 2021 Annual Meeting of Stockholders, but you are not requesting that your proposal or nomination be included in the proxy materials for that meeting, then you must follow the procedures set forth in our bylaws and, among other things, notify the Company’s Corporate Secretary in writing between February 14, 2021 and March 15, 2021. However, if the date of the 2021 Annual Meeting of Stockholders is more than 30 days before June 9, 2021, then you must give notice not later than the 90th day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prior to that meeting, and if the date of the 2021 Annual Meeting of Stockholders is more than 60 days after June 9, 2021, you must give notice not later than the 10th day following the day on which public disclosure of that annual meeting date is first made. You are also advised to review our bylaws, which contain additional requirements regarding advance notice of stockholder proposals and director nominations.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board of directors currently consists of nine directors and no vacancies, divided into the following three classes:</w:t>
      </w:r>
    </w:p>
    <w:p>
      <w:pPr>
        <w:spacing w:after="0" w:line="237" w:lineRule="exact"/>
        <w:rPr>
          <w:sz w:val="20"/>
          <w:szCs w:val="20"/>
          <w:color w:val="auto"/>
        </w:rPr>
      </w:pPr>
    </w:p>
    <w:p>
      <w:pPr>
        <w:ind w:left="700" w:right="259" w:hanging="33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I directors are William Bertrand, Jr., Esq., Onaiza Cadoret-Manier and Jan Lundberg, Ph.D., and their terms will expire at the 2021 Annual Meeting of Stockholders;</w:t>
      </w:r>
    </w:p>
    <w:p>
      <w:pPr>
        <w:spacing w:after="0" w:line="170" w:lineRule="exact"/>
        <w:rPr>
          <w:rFonts w:ascii="Arial" w:cs="Arial" w:eastAsia="Arial" w:hAnsi="Arial"/>
          <w:sz w:val="18"/>
          <w:szCs w:val="18"/>
          <w:color w:val="auto"/>
        </w:rPr>
      </w:pPr>
    </w:p>
    <w:p>
      <w:pPr>
        <w:ind w:left="700" w:right="219" w:hanging="33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II directors are Geoffrey A. Block, M.D., David Mott and Michael Raab, and their terms will expire at the 2022 Annual Meeting of Stockholders; and</w:t>
      </w:r>
    </w:p>
    <w:p>
      <w:pPr>
        <w:spacing w:after="0" w:line="170" w:lineRule="exact"/>
        <w:rPr>
          <w:rFonts w:ascii="Arial" w:cs="Arial" w:eastAsia="Arial" w:hAnsi="Arial"/>
          <w:sz w:val="18"/>
          <w:szCs w:val="18"/>
          <w:color w:val="auto"/>
        </w:rPr>
      </w:pPr>
    </w:p>
    <w:p>
      <w:pPr>
        <w:ind w:left="700" w:right="319" w:hanging="33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III directors are Robert Bazemore, Gordon Ringold, Ph.D. and Richard Rodgers, and their terms will expire at the 2020 Annual Meeting.</w:t>
      </w:r>
    </w:p>
    <w:p>
      <w:pPr>
        <w:spacing w:after="0" w:line="170" w:lineRule="exact"/>
        <w:rPr>
          <w:sz w:val="20"/>
          <w:szCs w:val="20"/>
          <w:color w:val="auto"/>
        </w:rPr>
      </w:pPr>
    </w:p>
    <w:p>
      <w:pPr>
        <w:ind w:left="40" w:right="159"/>
        <w:spacing w:after="0" w:line="301" w:lineRule="auto"/>
        <w:rPr>
          <w:sz w:val="20"/>
          <w:szCs w:val="20"/>
          <w:color w:val="auto"/>
        </w:rPr>
      </w:pPr>
      <w:r>
        <w:rPr>
          <w:rFonts w:ascii="Arial" w:cs="Arial" w:eastAsia="Arial" w:hAnsi="Arial"/>
          <w:sz w:val="16"/>
          <w:szCs w:val="16"/>
          <w:color w:val="auto"/>
        </w:rPr>
        <w:t>Our current Class III directors, Robert Bazemore, Gordon Ringold, Ph.D. and Richard Rodgers, have been nominated to serve as Class III directors and have agreed to stand for election. If the nominees for Class III are elected at the 2020 Annual Meeting, then each nominee will serve for a three-year term expiring at the 2023 Annual Meeting of Stockholders, and until his successor is elected and qualified, or until his earlier death, resignation or removal.</w:t>
      </w:r>
    </w:p>
    <w:p>
      <w:pPr>
        <w:spacing w:after="0" w:line="157" w:lineRule="exact"/>
        <w:rPr>
          <w:sz w:val="20"/>
          <w:szCs w:val="20"/>
          <w:color w:val="auto"/>
        </w:rPr>
      </w:pPr>
    </w:p>
    <w:p>
      <w:pPr>
        <w:ind w:left="40" w:right="279"/>
        <w:spacing w:after="0" w:line="254" w:lineRule="auto"/>
        <w:rPr>
          <w:sz w:val="20"/>
          <w:szCs w:val="20"/>
          <w:color w:val="auto"/>
        </w:rPr>
      </w:pPr>
      <w:r>
        <w:rPr>
          <w:rFonts w:ascii="Arial" w:cs="Arial" w:eastAsia="Arial" w:hAnsi="Arial"/>
          <w:sz w:val="18"/>
          <w:szCs w:val="18"/>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the three nominees for Class III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195"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following is a brief biography and discussion of the specific attributes, qualifications, experience and skills of each nominee for director and each director whose term will continue after the 2020 Annual Meeting. Our board of directors and management encourage each nominee for director and each continuing director to attend the 2020 Annual Meeting.</w:t>
      </w:r>
    </w:p>
    <w:p>
      <w:pPr>
        <w:spacing w:after="0" w:line="145" w:lineRule="exact"/>
        <w:rPr>
          <w:sz w:val="20"/>
          <w:szCs w:val="20"/>
          <w:color w:val="auto"/>
        </w:rPr>
      </w:pPr>
    </w:p>
    <w:p>
      <w:pPr>
        <w:jc w:val="center"/>
        <w:ind w:left="1500" w:right="420"/>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THREE CLASS III NOMINEES FOR DIRECTOR.</w:t>
      </w:r>
    </w:p>
    <w:p>
      <w:pPr>
        <w:spacing w:after="0" w:line="162" w:lineRule="exact"/>
        <w:rPr>
          <w:sz w:val="20"/>
          <w:szCs w:val="20"/>
          <w:color w:val="auto"/>
        </w:rPr>
      </w:pPr>
    </w:p>
    <w:p>
      <w:pPr>
        <w:ind w:left="40" w:right="219"/>
        <w:spacing w:after="0" w:line="282" w:lineRule="auto"/>
        <w:rPr>
          <w:sz w:val="20"/>
          <w:szCs w:val="20"/>
          <w:color w:val="auto"/>
        </w:rPr>
      </w:pPr>
      <w:r>
        <w:rPr>
          <w:rFonts w:ascii="Arial" w:cs="Arial" w:eastAsia="Arial" w:hAnsi="Arial"/>
          <w:sz w:val="18"/>
          <w:szCs w:val="18"/>
          <w:b w:val="1"/>
          <w:bCs w:val="1"/>
          <w:color w:val="auto"/>
        </w:rPr>
        <w:t xml:space="preserve">CLASS III NOMINEES FOR DIRECTOR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be elected for a three-year term expiring at the 2023 Annual Meeting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of Stockholders</w:t>
      </w:r>
    </w:p>
    <w:p>
      <w:pPr>
        <w:spacing w:after="0" w:line="162"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b w:val="1"/>
          <w:bCs w:val="1"/>
          <w:color w:val="auto"/>
        </w:rPr>
        <w:t>Robert Bazemore</w:t>
      </w:r>
      <w:r>
        <w:rPr>
          <w:rFonts w:ascii="Arial" w:cs="Arial" w:eastAsia="Arial" w:hAnsi="Arial"/>
          <w:sz w:val="16"/>
          <w:szCs w:val="16"/>
          <w:color w:val="auto"/>
        </w:rPr>
        <w:t>, age 52, was appointed to our board of directors in June 2016. Mr. Bazemore has served as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Executive Officer and a director of Epizyme, Inc. (Nasdaq: EPZM) since September 2015. Prior to joining Epizyme, Mr. Bazemore served as Chief Operating Officer of Synageva BioPharma Corp., which was acquired by Alexion Pharmaceuticals (Nasdaq: ALXN) for $8.4 billion in July 2015. Prior to that, Mr. Bazemore was President of Janssen Biotech, part of the Janssen Pharmaceutical Companies of Johnson &amp; Johnson (NYSE: JNJ). Mr. Bazemore currently serves on the board of directors of Epizime, Inc. and Neon Therapeutics, Inc. (Nasdaq: NTGN). Mr. Bazemore received his B.S. in Biochemistry from the University of Georgia. Mr. Bazemore has demonstrated his ability to dedicate sufficient time and focus on his duties as a director of Ardelyx, including his role on the compensation committee. As President, Chief Executive Officer and a director of Epizyme, Mr. Bazemore does not serve on any Epizyme board committees, and accordingly serves only on board committees for Ardelyx and Neon. In the past year, Mr. Bazemore has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attended 100% of the meetings for our board of directors and one of two meetings of our compensation committee. In accordance with our board’s standard practice, Mr. Bazemore reviews scheduled Ardelyx board and committee meeting dates a year in advance to confirm availability to participate and attend all board and committee meetings. Mr. Bazemore does not serve on the board of any privately-held companies. Our board of directors and compensation committee also believe that Mr. Bazemore provides great value to the board and compensation committee and contributes significantly to discussions and decision-making. Mr. Bazemore has extensive experience in the life sciences industry, including significant experience with commercial stage life science companies, and Mr. Bazemore also has significant current executive experience at Epizyme. Accordingly, our board of directors believes that Mr. Bazemore’s contributions as director are substantial, based upon his business expertise acquired in successfully holding executive and leadership positions in life sciences companies, and his demonstrated reliability and commitment to service on our board and compensation committee. We believe that Mr. Bazemore is qualified to serve on our board of directors due to his significant life science industry experience, including as a chief executive officer, and service on the boards of directors of life sciences companies.</w:t>
      </w:r>
    </w:p>
    <w:p>
      <w:pPr>
        <w:spacing w:after="0" w:line="182"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b w:val="1"/>
          <w:bCs w:val="1"/>
          <w:color w:val="auto"/>
        </w:rPr>
        <w:t>Gordon Ringold, Ph.D.</w:t>
      </w:r>
      <w:r>
        <w:rPr>
          <w:rFonts w:ascii="Arial" w:cs="Arial" w:eastAsia="Arial" w:hAnsi="Arial"/>
          <w:sz w:val="16"/>
          <w:szCs w:val="16"/>
          <w:color w:val="auto"/>
        </w:rPr>
        <w:t>, age 69, was appointed to our board of directors in June 2014. Dr. Ringold has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CEO of Quadriga BioSciences, Inc., a biotechnology company, since January 2015. From March 2000 to December 2013, Dr. Ringold served as Chairman and Chief Executive Officer of Alavita, Inc., a biotechnology company. From June 2001 until September 2016, Dr. Ringold served as a director of Alexza Pharmaceuticals, Inc. (Nasdaq: ALXA). Dr. Ringold received a Ph.D. in microbiology from the University of California, San Francisco, in the laboratory of</w:t>
      </w:r>
    </w:p>
    <w:p>
      <w:pPr>
        <w:spacing w:after="0" w:line="2"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Dr. Harold Varmus before joining the Stanford University School of Medicine, Department of Pharmacology. Dr. Ringold also received a B.S. in biology from the University of California, Santa Cruz. We believe that Dr. Ringold is qualified to serve on our board of directors due to his significant life science industry experience, including as a chief executive officer, and service on other boards of directors of publicly-traded life sciences companies.</w:t>
      </w:r>
    </w:p>
    <w:p>
      <w:pPr>
        <w:spacing w:after="0" w:line="172" w:lineRule="exact"/>
        <w:rPr>
          <w:sz w:val="20"/>
          <w:szCs w:val="20"/>
          <w:color w:val="auto"/>
        </w:rPr>
      </w:pPr>
    </w:p>
    <w:p>
      <w:pPr>
        <w:ind w:left="40" w:right="99"/>
        <w:spacing w:after="0" w:line="288" w:lineRule="auto"/>
        <w:rPr>
          <w:sz w:val="20"/>
          <w:szCs w:val="20"/>
          <w:color w:val="auto"/>
        </w:rPr>
      </w:pPr>
      <w:r>
        <w:rPr>
          <w:rFonts w:ascii="Arial" w:cs="Arial" w:eastAsia="Arial" w:hAnsi="Arial"/>
          <w:sz w:val="16"/>
          <w:szCs w:val="16"/>
          <w:b w:val="1"/>
          <w:bCs w:val="1"/>
          <w:color w:val="auto"/>
        </w:rPr>
        <w:t>Richard Rodgers</w:t>
      </w:r>
      <w:r>
        <w:rPr>
          <w:rFonts w:ascii="Arial" w:cs="Arial" w:eastAsia="Arial" w:hAnsi="Arial"/>
          <w:sz w:val="16"/>
          <w:szCs w:val="16"/>
          <w:color w:val="auto"/>
        </w:rPr>
        <w:t>, age 53, has served on our board of directors since March 2014. From March 2010 until August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Rodgers was co-founder, Executive Vice President, Chief Financial Officer, Secretary and Treasurer of Tesaro, Inc. (Nasdaq: TSRO).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a pharmaceutical company, in January 2008. Mr. Rodgers has held finance and accounting positions at several private and public companies, including Arthur Anderson &amp; Co. Mr. Rodgers currently serves as a director of Rexahn Pharmaceuticals, Inc. (NYSE: RNN).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CLASS 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2021 Annual Meeting of Stockholders</w:t>
      </w:r>
    </w:p>
    <w:p>
      <w:pPr>
        <w:spacing w:after="0" w:line="225" w:lineRule="exact"/>
        <w:rPr>
          <w:sz w:val="20"/>
          <w:szCs w:val="20"/>
          <w:color w:val="auto"/>
        </w:rPr>
      </w:pPr>
    </w:p>
    <w:p>
      <w:pPr>
        <w:jc w:val="both"/>
        <w:ind w:left="40" w:right="159"/>
        <w:spacing w:after="0" w:line="289" w:lineRule="auto"/>
        <w:rPr>
          <w:sz w:val="20"/>
          <w:szCs w:val="20"/>
          <w:color w:val="auto"/>
        </w:rPr>
      </w:pPr>
      <w:r>
        <w:rPr>
          <w:rFonts w:ascii="Arial" w:cs="Arial" w:eastAsia="Arial" w:hAnsi="Arial"/>
          <w:sz w:val="16"/>
          <w:szCs w:val="16"/>
          <w:b w:val="1"/>
          <w:bCs w:val="1"/>
          <w:color w:val="auto"/>
        </w:rPr>
        <w:t>William Bertrand, Jr., Esq.</w:t>
      </w:r>
      <w:r>
        <w:rPr>
          <w:rFonts w:ascii="Arial" w:cs="Arial" w:eastAsia="Arial" w:hAnsi="Arial"/>
          <w:sz w:val="16"/>
          <w:szCs w:val="16"/>
          <w:color w:val="auto"/>
        </w:rPr>
        <w:t>, age 55, was appointed to our board of directors in October 2015. Mr. Bertrand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Operating Officer at Adaptimmune Therapeutics Plc (Nasdaq: ADAP) since March 2017. From October 2015 to September 2016, Mr. Bertrand served as the Executive Vice President, General Counsel of Infinity Pharmaceuticals, Inc.</w:t>
      </w:r>
    </w:p>
    <w:p>
      <w:pPr>
        <w:spacing w:after="0" w:line="2" w:lineRule="exact"/>
        <w:rPr>
          <w:sz w:val="20"/>
          <w:szCs w:val="20"/>
          <w:color w:val="auto"/>
        </w:rPr>
      </w:pPr>
    </w:p>
    <w:p>
      <w:pPr>
        <w:ind w:left="40" w:right="79"/>
        <w:spacing w:after="0" w:line="251" w:lineRule="auto"/>
        <w:rPr>
          <w:sz w:val="20"/>
          <w:szCs w:val="20"/>
          <w:color w:val="auto"/>
        </w:rPr>
      </w:pPr>
      <w:r>
        <w:rPr>
          <w:rFonts w:ascii="Arial" w:cs="Arial" w:eastAsia="Arial" w:hAnsi="Arial"/>
          <w:sz w:val="18"/>
          <w:szCs w:val="18"/>
          <w:color w:val="auto"/>
        </w:rPr>
        <w:t>(Nasdaq: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pursued a 12 year career at Medimmune Limited, a biotechnology company and subsidiary of AstraZeneca Plc (NYSE:AZN),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193" w:lineRule="exact"/>
        <w:rPr>
          <w:sz w:val="20"/>
          <w:szCs w:val="20"/>
          <w:color w:val="auto"/>
        </w:rPr>
      </w:pPr>
    </w:p>
    <w:p>
      <w:pPr>
        <w:ind w:left="40" w:right="179"/>
        <w:spacing w:after="0" w:line="314" w:lineRule="auto"/>
        <w:rPr>
          <w:sz w:val="20"/>
          <w:szCs w:val="20"/>
          <w:color w:val="auto"/>
        </w:rPr>
      </w:pPr>
      <w:r>
        <w:rPr>
          <w:rFonts w:ascii="Arial" w:cs="Arial" w:eastAsia="Arial" w:hAnsi="Arial"/>
          <w:sz w:val="16"/>
          <w:szCs w:val="16"/>
          <w:b w:val="1"/>
          <w:bCs w:val="1"/>
          <w:color w:val="auto"/>
        </w:rPr>
        <w:t>Onaiza Cadoret-Manier</w:t>
      </w:r>
      <w:r>
        <w:rPr>
          <w:rFonts w:ascii="Arial" w:cs="Arial" w:eastAsia="Arial" w:hAnsi="Arial"/>
          <w:sz w:val="16"/>
          <w:szCs w:val="16"/>
          <w:color w:val="auto"/>
        </w:rPr>
        <w:t>, age 56, was appointed to our board of directors in March 2020. Ms. Cadoret-Manier has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chief corporate development and commercial officer at Ionis Pharmaceuticals (Nasdaq: IONS), since January 2020. Ms. Cadoret-Manier previously was the chief commercial officer for Grail Biosciences, an early detection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genomics company, from June 2018 until June 2019. Prior to Grail, from April 2011 until June 2018, she was vice president of the respiratory franchise at Genentech. Ms. Cadoret-Manier also has held multiple senior management positions overseeing corporate strategy, alliances, and marketing and sales for numerous disease areas for Genentech, Pfizer and Amylin Pharmaceuticals. She has an MBA from the University of Chicago and a bachelor’s degree in economics and accounting from City University of New York Queens College. We believe that Ms. Cadoret-Manier is qualified to serve on our board of directors due to her extensive commercial and operational experience with life sciences companies.</w:t>
      </w:r>
    </w:p>
    <w:p>
      <w:pPr>
        <w:spacing w:after="0" w:line="160"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b w:val="1"/>
          <w:bCs w:val="1"/>
          <w:color w:val="auto"/>
        </w:rPr>
        <w:t>Jan Lundberg, Ph.D.</w:t>
      </w:r>
      <w:r>
        <w:rPr>
          <w:rFonts w:ascii="Arial" w:cs="Arial" w:eastAsia="Arial" w:hAnsi="Arial"/>
          <w:sz w:val="16"/>
          <w:szCs w:val="16"/>
          <w:color w:val="auto"/>
        </w:rPr>
        <w:t>, age 66, was appointed to our board of directors in March 2018. Dr. Lundberg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Lilly Research Laboratories and Executive Vice President of Science and Technology for Eli Lilly and Company (NYSE: LLY) from January 2010 to March 2018. Prior to joining Lilly he served for ten years as global head of discovery research at AstraZeneca Plc (NYSE: AZN), where he was a member of the senior executive team. Dr. Lundberg also served as a professor at the Karolinska Institute’s department of pharmacology in Sweden, and was a cofounder of biotechnology company, Aerocrine. Dr. Lundberg currently serves on the board of directors of several privately held life sciences companies and non-profit organizations. Dr. Lundberg was instrumental in the establishment of the Innovative Medicines Initiative in Europe and the Accelerating Medicines Partnership with National Institutes of Health. Dr. Lundberg received a B.S.M. in medicine from the University of Gothenberg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CLASS 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2022 Annual Meeting of Stockholders</w:t>
      </w:r>
    </w:p>
    <w:p>
      <w:pPr>
        <w:spacing w:after="0" w:line="225" w:lineRule="exact"/>
        <w:rPr>
          <w:sz w:val="20"/>
          <w:szCs w:val="20"/>
          <w:color w:val="auto"/>
        </w:rPr>
      </w:pPr>
    </w:p>
    <w:p>
      <w:pPr>
        <w:ind w:left="40" w:right="119"/>
        <w:spacing w:after="0" w:line="269" w:lineRule="auto"/>
        <w:rPr>
          <w:sz w:val="20"/>
          <w:szCs w:val="20"/>
          <w:color w:val="auto"/>
        </w:rPr>
      </w:pPr>
      <w:r>
        <w:rPr>
          <w:rFonts w:ascii="Arial" w:cs="Arial" w:eastAsia="Arial" w:hAnsi="Arial"/>
          <w:sz w:val="17"/>
          <w:szCs w:val="17"/>
          <w:b w:val="1"/>
          <w:bCs w:val="1"/>
          <w:color w:val="auto"/>
        </w:rPr>
        <w:t>Geoffrey A. Block, M.D.</w:t>
      </w:r>
      <w:r>
        <w:rPr>
          <w:rFonts w:ascii="Arial" w:cs="Arial" w:eastAsia="Arial" w:hAnsi="Arial"/>
          <w:sz w:val="17"/>
          <w:szCs w:val="17"/>
          <w:color w:val="auto"/>
        </w:rPr>
        <w:t>, age 54, was appointed to our board of directors in March 2019. Dr. Block has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 Chief Medical Officer of U.S. Renal Care since February 2020. Prior to that, Dr. Block served as Vice President, Nephrology of Reata Pharmaceuticals, Inc. (Nasdaq: RETA) from January 2019 to January 2020. Prior to that, Dr. Block held a variety of positions with the Denver Nephrology Division at Colorado Kidney Care/Denver Nephrologists, most recently serving as the Director of Clinical Research from 1998 to 2018. Dr. Block served as an associate professor in medicine at the University of Colorado Health Sciences Center from 2008 to 2018. Prior to that, Dr. Block served as an attending physician at St. Joseph’s Hospital and as the medical director of the DaVita-Lowry Hemodialysis Unit. Dr. Block received his M.D. from the University of Cincinnati College of Medicine and completed his fellowship in nephrology at that the University of Michigan at Ann Arbor. We believe that Dr. Block is qualified to serve on our board of directors due to his extensive experience in the field of nephrology, and his unique ability to understand the treatment options, needs and challenges for the patients we expect to serve.</w:t>
      </w:r>
    </w:p>
    <w:p>
      <w:pPr>
        <w:spacing w:after="0" w:line="182"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b w:val="1"/>
          <w:bCs w:val="1"/>
          <w:color w:val="auto"/>
        </w:rPr>
        <w:t>David Mott</w:t>
      </w:r>
      <w:r>
        <w:rPr>
          <w:rFonts w:ascii="Arial" w:cs="Arial" w:eastAsia="Arial" w:hAnsi="Arial"/>
          <w:sz w:val="17"/>
          <w:szCs w:val="17"/>
          <w:color w:val="auto"/>
        </w:rPr>
        <w:t>, age 54, has served on our board of directors since March 2009 and as chairman of the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chairman of the board of directors for Adaptimmune (Nasdaq:ADAP), Epizyme, Inc. (Nasdaq:EPZM), Imara Inc. (Nasdaq:IMRA) and Mersana Therapeutics, Inc. (Nasdaq:MRSN) and as a member of the board of directors of several privately held life sciences companies.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180" w:lineRule="exact"/>
        <w:rPr>
          <w:sz w:val="20"/>
          <w:szCs w:val="20"/>
          <w:color w:val="auto"/>
        </w:rPr>
      </w:pPr>
    </w:p>
    <w:p>
      <w:pPr>
        <w:ind w:left="40" w:right="219"/>
        <w:spacing w:after="0" w:line="314" w:lineRule="auto"/>
        <w:rPr>
          <w:sz w:val="20"/>
          <w:szCs w:val="20"/>
          <w:color w:val="auto"/>
        </w:rPr>
      </w:pPr>
      <w:r>
        <w:rPr>
          <w:rFonts w:ascii="Arial" w:cs="Arial" w:eastAsia="Arial" w:hAnsi="Arial"/>
          <w:sz w:val="16"/>
          <w:szCs w:val="16"/>
          <w:b w:val="1"/>
          <w:bCs w:val="1"/>
          <w:color w:val="auto"/>
        </w:rPr>
        <w:t>Michael Raab</w:t>
      </w:r>
      <w:r>
        <w:rPr>
          <w:rFonts w:ascii="Arial" w:cs="Arial" w:eastAsia="Arial" w:hAnsi="Arial"/>
          <w:sz w:val="16"/>
          <w:szCs w:val="16"/>
          <w:color w:val="auto"/>
        </w:rPr>
        <w:t>, age 55, has served as our President and Chief Executive Officer and a director since March 2009. From</w:t>
      </w:r>
      <w:r>
        <w:rPr>
          <w:rFonts w:ascii="Arial" w:cs="Arial" w:eastAsia="Arial" w:hAnsi="Arial"/>
          <w:sz w:val="16"/>
          <w:szCs w:val="16"/>
          <w:b w:val="1"/>
          <w:bCs w:val="1"/>
          <w:color w:val="auto"/>
        </w:rPr>
        <w:t xml:space="preserve"> </w:t>
      </w:r>
      <w:r>
        <w:rPr>
          <w:rFonts w:ascii="Arial" w:cs="Arial" w:eastAsia="Arial" w:hAnsi="Arial"/>
          <w:sz w:val="16"/>
          <w:szCs w:val="16"/>
          <w:color w:val="auto"/>
        </w:rPr>
        <w:t>2002 to 2009, Mr. Raab was a partner at NEA, where he focused on investments in the biotechnology and pharmaceutical sectors. Prior to joining NEA, Mr. Raab spent 15 years in commercial and operating leadership roles in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a director of Tempest Therapeutics, a biotechnology company. Mr. Raab currently serves as a member of both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jc w:val="both"/>
        <w:ind w:left="40" w:right="99"/>
        <w:spacing w:after="0" w:line="287" w:lineRule="auto"/>
        <w:rPr>
          <w:sz w:val="20"/>
          <w:szCs w:val="20"/>
          <w:color w:val="auto"/>
        </w:rPr>
      </w:pPr>
      <w:r>
        <w:rPr>
          <w:rFonts w:ascii="Arial" w:cs="Arial" w:eastAsia="Arial" w:hAnsi="Arial"/>
          <w:sz w:val="16"/>
          <w:szCs w:val="16"/>
          <w:color w:val="auto"/>
        </w:rPr>
        <w:t>The audit committee of our board of directors has selected Ernst &amp; Young LLP, or EY, as our independent registered public accounting firm for the year ending December 31, 2020, and is seeking ratification of such selection by our stockholders at the 2020 Annual Meeting. EY has audited our financial statements since the fiscal year ended December 31, 2014.</w:t>
      </w:r>
    </w:p>
    <w:p>
      <w:pPr>
        <w:spacing w:after="0" w:line="2" w:lineRule="exact"/>
        <w:rPr>
          <w:sz w:val="20"/>
          <w:szCs w:val="20"/>
          <w:color w:val="auto"/>
        </w:rPr>
      </w:pPr>
    </w:p>
    <w:p>
      <w:pPr>
        <w:ind w:left="40" w:right="499"/>
        <w:spacing w:after="0" w:line="323" w:lineRule="auto"/>
        <w:rPr>
          <w:sz w:val="20"/>
          <w:szCs w:val="20"/>
          <w:color w:val="auto"/>
        </w:rPr>
      </w:pPr>
      <w:r>
        <w:rPr>
          <w:rFonts w:ascii="Arial" w:cs="Arial" w:eastAsia="Arial" w:hAnsi="Arial"/>
          <w:sz w:val="16"/>
          <w:szCs w:val="16"/>
          <w:color w:val="auto"/>
        </w:rPr>
        <w:t>Representatives of EY are expected to be present in attendance online at the 2020 Annual Meeting. They will have an opportunity to make a statement if they so desire and will be available to respond to appropriate questions.</w:t>
      </w:r>
    </w:p>
    <w:p>
      <w:pPr>
        <w:spacing w:after="0" w:line="138"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17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The affirmative vote of a majority of the shares cast at the 2020 Annual Meeting will be required to ratify the selection of EY.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VOTE “FOR” PROPOSAL NO. 2.</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 and Related Fees</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For the fiscal years ended December 31, 2019 and 2018, EY billed the approximate fees set forth below. All fees included below were approved by the audit committee.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8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90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$1,646,800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$ 909,200</w:t>
            </w:r>
          </w:p>
        </w:tc>
      </w:tr>
      <w:tr>
        <w:trPr>
          <w:trHeight w:val="216"/>
        </w:trPr>
        <w:tc>
          <w:tcPr>
            <w:tcW w:w="9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8"/>
                <w:szCs w:val="8"/>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w:t>
            </w:r>
            <w:r>
              <w:rPr>
                <w:rFonts w:ascii="Arial" w:cs="Arial" w:eastAsia="Arial" w:hAnsi="Arial"/>
                <w:sz w:val="8"/>
                <w:szCs w:val="8"/>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w:t>
            </w:r>
          </w:p>
        </w:tc>
      </w:tr>
      <w:tr>
        <w:trPr>
          <w:trHeight w:val="217"/>
        </w:trPr>
        <w:tc>
          <w:tcPr>
            <w:tcW w:w="90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 All Fees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1,679,875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$ 913,065</w:t>
            </w: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94" w:lineRule="exact"/>
        <w:rPr>
          <w:sz w:val="20"/>
          <w:szCs w:val="20"/>
          <w:color w:val="auto"/>
        </w:rPr>
      </w:pPr>
    </w:p>
    <w:p>
      <w:pPr>
        <w:ind w:left="360" w:right="139" w:hanging="316"/>
        <w:spacing w:after="0" w:line="25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category consists of fees and expenses for professional services rendered for the audit of our annual financial statements, reviews of our interim quarterly reports, accounting and financial reporting consultations, and the issuance of consent and comfort letters in connection with statutory and regulatory filings or engagements. In 2019, Audit Fees also included fees and expenses rendered for the first integrated audit of our annual financial statements and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right="739" w:hanging="316"/>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category consists of fees for professional services rendered by EY for tax compliance, tax advice and tax planning.</w:t>
      </w:r>
    </w:p>
    <w:p>
      <w:pPr>
        <w:spacing w:after="0" w:line="170" w:lineRule="exact"/>
        <w:rPr>
          <w:rFonts w:ascii="Arial" w:cs="Arial" w:eastAsia="Arial" w:hAnsi="Arial"/>
          <w:sz w:val="18"/>
          <w:szCs w:val="18"/>
          <w:color w:val="auto"/>
        </w:rPr>
      </w:pPr>
    </w:p>
    <w:p>
      <w:pPr>
        <w:ind w:left="360" w:hanging="316"/>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category consists of fees related to accessing EY’s online research database.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http://ir.ardelyx.com/corporate-governance. The policy provides that before an independent registered public accounting firm is engaged by Ardelyx or its subsidiaries to render audit or non-audit services, the audit committee must review the terms of the proposed engagement and pre-approve the engagement. Audit committee pre-approval of audit and non-audit services is not required if the engagement for the services is entered into pursuant to the pre-approval policies and procedures established by the audit committee regarding Ardelyx’s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management. The audit committee may delegate to one or more designated members of the audit committee the authority to grant pre-approvals, provided such approvals are presented to the audit committee at a subsequent meeting. Audit committee pre-approval of non-audit services (other than review and attest services) also will not be required if such services fall within available exceptions established by the SEC. The audit committee has considered the role of EY in providing audit and audit-related services to the Company and has concluded that such services are compatible with EY’s role as the Company’s independent registered public accounting firm.</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184"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8"/>
          <w:szCs w:val="18"/>
          <w:color w:val="auto"/>
        </w:rPr>
        <w:t>The primary purpose of the audit committee is to oversee our financial reporting processes on behalf of our board of directors. The audit committee’s functions are more fully described in its charter, which is available on our website at http://ir.ardelyx.com/corporate-governance.</w:t>
      </w:r>
    </w:p>
    <w:p>
      <w:pPr>
        <w:spacing w:after="0" w:line="184" w:lineRule="exact"/>
        <w:rPr>
          <w:sz w:val="20"/>
          <w:szCs w:val="20"/>
          <w:color w:val="auto"/>
        </w:rPr>
      </w:pPr>
    </w:p>
    <w:p>
      <w:pPr>
        <w:ind w:left="40" w:right="139"/>
        <w:spacing w:after="0" w:line="269" w:lineRule="auto"/>
        <w:rPr>
          <w:sz w:val="20"/>
          <w:szCs w:val="20"/>
          <w:color w:val="auto"/>
        </w:rPr>
      </w:pPr>
      <w:r>
        <w:rPr>
          <w:rFonts w:ascii="Arial" w:cs="Arial" w:eastAsia="Arial" w:hAnsi="Arial"/>
          <w:sz w:val="17"/>
          <w:szCs w:val="17"/>
          <w:color w:val="auto"/>
        </w:rPr>
        <w:t>In fulfilling its oversight responsibilities, the audit committee reviewed and discussed with management the Company’s audited financial statements for the fiscal year ended December 31, 2019 and the audited internal controls over financial reporting as of December 31, 2019. The audit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committee has discussed with EY their independence, and received from EY the written disclosures and the letter required by PCAOB Ethics and Independence Rule 3526, “Communication with Audit Committees Concerning Independence.” Finally, the audit committee discussed with EY, with and without management present, the scope and results of EY’s audit of the financial statements for the fiscal year ended December 31, 2019 and internal controls over financial reporting as of December 31, 2019.</w:t>
      </w:r>
    </w:p>
    <w:p>
      <w:pPr>
        <w:spacing w:after="0" w:line="185" w:lineRule="exact"/>
        <w:rPr>
          <w:sz w:val="20"/>
          <w:szCs w:val="20"/>
          <w:color w:val="auto"/>
        </w:rPr>
      </w:pPr>
    </w:p>
    <w:p>
      <w:pPr>
        <w:jc w:val="both"/>
        <w:ind w:left="40" w:right="139"/>
        <w:spacing w:after="0" w:line="220" w:lineRule="exact"/>
        <w:rPr>
          <w:sz w:val="20"/>
          <w:szCs w:val="20"/>
          <w:color w:val="auto"/>
        </w:rPr>
      </w:pPr>
      <w:r>
        <w:rPr>
          <w:rFonts w:ascii="Arial" w:cs="Arial" w:eastAsia="Arial" w:hAnsi="Arial"/>
          <w:sz w:val="18"/>
          <w:szCs w:val="18"/>
          <w:color w:val="auto"/>
        </w:rPr>
        <w:t>Based on these reviews and discussions, the audit committee has recommended to our board of directors that such audited financial statements be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for filing with the SEC.</w:t>
      </w:r>
    </w:p>
    <w:p>
      <w:pPr>
        <w:spacing w:after="0" w:line="20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Rodgers, Chair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Bertrand, Jr., Esq.</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Mott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jc w:val="both"/>
        <w:ind w:left="40" w:right="79" w:firstLine="441"/>
        <w:spacing w:after="0" w:line="259" w:lineRule="auto"/>
        <w:rPr>
          <w:sz w:val="20"/>
          <w:szCs w:val="20"/>
          <w:color w:val="auto"/>
        </w:rPr>
      </w:pPr>
      <w:r>
        <w:rPr>
          <w:rFonts w:ascii="Arial" w:cs="Arial" w:eastAsia="Arial" w:hAnsi="Arial"/>
          <w:sz w:val="18"/>
          <w:szCs w:val="18"/>
          <w:color w:val="auto"/>
        </w:rPr>
        <w:t>In accordance with Section 14A of the Exchange Act, the Company is providing stockholders an opportunity to cast a non-binding, advisory vote to approve the compensation of our Named Executive Officers, or NEOs (sometimes referred to as a “Say-on-Pay” vote). Accordingly, you have the opportunity to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to “</w:t>
      </w:r>
      <w:r>
        <w:rPr>
          <w:rFonts w:ascii="Arial" w:cs="Arial" w:eastAsia="Arial" w:hAnsi="Arial"/>
          <w:sz w:val="18"/>
          <w:szCs w:val="18"/>
          <w:b w:val="1"/>
          <w:bCs w:val="1"/>
          <w:color w:val="auto"/>
        </w:rPr>
        <w:t>ABSTAIN</w:t>
      </w:r>
      <w:r>
        <w:rPr>
          <w:rFonts w:ascii="Arial" w:cs="Arial" w:eastAsia="Arial" w:hAnsi="Arial"/>
          <w:sz w:val="18"/>
          <w:szCs w:val="18"/>
          <w:color w:val="auto"/>
        </w:rPr>
        <w:t>” from voting on the following non-binding resolution at the 2020 Annual Meeting:</w:t>
      </w:r>
    </w:p>
    <w:p>
      <w:pPr>
        <w:spacing w:after="0" w:line="187" w:lineRule="exact"/>
        <w:rPr>
          <w:sz w:val="20"/>
          <w:szCs w:val="20"/>
          <w:color w:val="auto"/>
        </w:rPr>
      </w:pPr>
    </w:p>
    <w:p>
      <w:pPr>
        <w:jc w:val="both"/>
        <w:ind w:left="480" w:right="99"/>
        <w:spacing w:after="0" w:line="259" w:lineRule="auto"/>
        <w:rPr>
          <w:sz w:val="20"/>
          <w:szCs w:val="20"/>
          <w:color w:val="auto"/>
        </w:rPr>
      </w:pPr>
      <w:r>
        <w:rPr>
          <w:rFonts w:ascii="Arial" w:cs="Arial" w:eastAsia="Arial" w:hAnsi="Arial"/>
          <w:sz w:val="18"/>
          <w:szCs w:val="18"/>
          <w:color w:val="auto"/>
        </w:rPr>
        <w:t>“Resolved, that the stockholders approve, on an advisory basis, the compensation of the Company’s named executive officers as disclosed in the Company’s proxy statement for the 2020 Annual Meeting of Stockholders pursuant to the compensation disclosure rules of the SEC, including the accompanying compensation tables and the related narrative disclosure in the proxy statement.”</w:t>
      </w:r>
    </w:p>
    <w:p>
      <w:pPr>
        <w:spacing w:after="0" w:line="187" w:lineRule="exact"/>
        <w:rPr>
          <w:sz w:val="20"/>
          <w:szCs w:val="20"/>
          <w:color w:val="auto"/>
        </w:rPr>
      </w:pPr>
    </w:p>
    <w:p>
      <w:pPr>
        <w:ind w:left="40" w:right="119" w:firstLine="441"/>
        <w:spacing w:after="0" w:line="291" w:lineRule="auto"/>
        <w:rPr>
          <w:sz w:val="20"/>
          <w:szCs w:val="20"/>
          <w:color w:val="auto"/>
        </w:rPr>
      </w:pPr>
      <w:r>
        <w:rPr>
          <w:rFonts w:ascii="Arial" w:cs="Arial" w:eastAsia="Arial" w:hAnsi="Arial"/>
          <w:sz w:val="16"/>
          <w:szCs w:val="16"/>
          <w:color w:val="auto"/>
        </w:rPr>
        <w:t>In deciding how to vote on this proposal, you are encouraged to review the accompanying compensation tables and the related narrative disclosure. As described in detail in the section entitled “Executive Compensation,”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40" w:right="139" w:firstLine="441"/>
        <w:spacing w:after="0" w:line="273" w:lineRule="auto"/>
        <w:rPr>
          <w:sz w:val="20"/>
          <w:szCs w:val="20"/>
          <w:color w:val="auto"/>
        </w:rPr>
      </w:pPr>
      <w:r>
        <w:rPr>
          <w:rFonts w:ascii="Arial" w:cs="Arial" w:eastAsia="Arial" w:hAnsi="Arial"/>
          <w:sz w:val="17"/>
          <w:szCs w:val="17"/>
          <w:color w:val="auto"/>
        </w:rPr>
        <w:t>Approval, on a non-binding, advisory basis, of the compensation of our NEOs, as disclosed in this Proxy Statement pursuant to the compensation disclosure rules of the SEC, requires the affirmative vote of the majority of shares of common stock present online live or represented by proxy at the 2020 Annual Meeting and entitled to vote on such proposal. Abstentions and broker non-votes will be counted towards a quorum. Abstentions will have the same effect as an “Against” vote for purposes of determining whether this matter has been approved. Broker non-votes will not be counted for any purpose in determining whether this matter has been approved.</w:t>
      </w:r>
    </w:p>
    <w:p>
      <w:pPr>
        <w:spacing w:after="0" w:line="178" w:lineRule="exact"/>
        <w:rPr>
          <w:sz w:val="20"/>
          <w:szCs w:val="20"/>
          <w:color w:val="auto"/>
        </w:rPr>
      </w:pPr>
    </w:p>
    <w:p>
      <w:pPr>
        <w:ind w:left="40" w:right="179" w:firstLine="441"/>
        <w:spacing w:after="0" w:line="273" w:lineRule="auto"/>
        <w:rPr>
          <w:sz w:val="20"/>
          <w:szCs w:val="20"/>
          <w:color w:val="auto"/>
        </w:rPr>
      </w:pPr>
      <w:r>
        <w:rPr>
          <w:rFonts w:ascii="Arial" w:cs="Arial" w:eastAsia="Arial" w:hAnsi="Arial"/>
          <w:sz w:val="17"/>
          <w:szCs w:val="17"/>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2021 annual meeting of stockholders.</w:t>
      </w:r>
    </w:p>
    <w:p>
      <w:pPr>
        <w:spacing w:after="0" w:line="178" w:lineRule="exact"/>
        <w:rPr>
          <w:sz w:val="20"/>
          <w:szCs w:val="20"/>
          <w:color w:val="auto"/>
        </w:rPr>
      </w:pPr>
    </w:p>
    <w:p>
      <w:pPr>
        <w:jc w:val="center"/>
        <w:ind w:left="1500" w:right="100"/>
        <w:spacing w:after="0" w:line="308" w:lineRule="auto"/>
        <w:rPr>
          <w:sz w:val="20"/>
          <w:szCs w:val="20"/>
          <w:color w:val="auto"/>
        </w:rPr>
      </w:pPr>
      <w:r>
        <w:rPr>
          <w:rFonts w:ascii="Arial" w:cs="Arial" w:eastAsia="Arial" w:hAnsi="Arial"/>
          <w:sz w:val="17"/>
          <w:szCs w:val="17"/>
          <w:b w:val="1"/>
          <w:bCs w:val="1"/>
          <w:i w:val="1"/>
          <w:iCs w:val="1"/>
          <w:color w:val="auto"/>
        </w:rPr>
        <w:t xml:space="preserve">THE BOARD OF DIRECTORS RECOMMENDS A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APPROVAL OF THE COMPENSATION OF THE NAMED EXECUTIVE OFFICERS, AS DISCLOSED IN THIS PROXY STATEMENT.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FREQUENCY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ADVISORY VOTE TO APPROVE EXECUTIVE COMPENSATION</w:t>
      </w:r>
    </w:p>
    <w:p>
      <w:pPr>
        <w:spacing w:after="0" w:line="211" w:lineRule="exact"/>
        <w:rPr>
          <w:sz w:val="20"/>
          <w:szCs w:val="20"/>
          <w:color w:val="auto"/>
        </w:rPr>
      </w:pPr>
    </w:p>
    <w:p>
      <w:pPr>
        <w:ind w:left="40" w:right="79" w:firstLine="441"/>
        <w:spacing w:after="0" w:line="296" w:lineRule="auto"/>
        <w:rPr>
          <w:sz w:val="20"/>
          <w:szCs w:val="20"/>
          <w:color w:val="auto"/>
        </w:rPr>
      </w:pPr>
      <w:r>
        <w:rPr>
          <w:rFonts w:ascii="Arial" w:cs="Arial" w:eastAsia="Arial" w:hAnsi="Arial"/>
          <w:sz w:val="16"/>
          <w:szCs w:val="16"/>
          <w:color w:val="auto"/>
        </w:rPr>
        <w:t>In accordance with Section 14A of the Exchange Act, the Company is providing stockholders an opportunity to cast a non-binding, advisory vote on the frequency of future stockholder advisory votes to approve the compensation paid to the Company’s named executive officers, as disclosed pursuant to the compensation disclosure rules of the SEC. Accordingly, you have the opportunity to vote on whether the Company should hold an advisory vote on executive compensation “</w:t>
      </w:r>
      <w:r>
        <w:rPr>
          <w:rFonts w:ascii="Arial" w:cs="Arial" w:eastAsia="Arial" w:hAnsi="Arial"/>
          <w:sz w:val="16"/>
          <w:szCs w:val="16"/>
          <w:b w:val="1"/>
          <w:bCs w:val="1"/>
          <w:color w:val="auto"/>
        </w:rPr>
        <w:t>EVERY ONE YEAR</w:t>
      </w:r>
      <w:r>
        <w:rPr>
          <w:rFonts w:ascii="Arial" w:cs="Arial" w:eastAsia="Arial" w:hAnsi="Arial"/>
          <w:sz w:val="16"/>
          <w:szCs w:val="16"/>
          <w:color w:val="auto"/>
        </w:rPr>
        <w:t>,” “</w:t>
      </w:r>
      <w:r>
        <w:rPr>
          <w:rFonts w:ascii="Arial" w:cs="Arial" w:eastAsia="Arial" w:hAnsi="Arial"/>
          <w:sz w:val="16"/>
          <w:szCs w:val="16"/>
          <w:b w:val="1"/>
          <w:bCs w:val="1"/>
          <w:color w:val="auto"/>
        </w:rPr>
        <w:t>EVERY TWO YEARS</w:t>
      </w:r>
      <w:r>
        <w:rPr>
          <w:rFonts w:ascii="Arial" w:cs="Arial" w:eastAsia="Arial" w:hAnsi="Arial"/>
          <w:sz w:val="16"/>
          <w:szCs w:val="16"/>
          <w:color w:val="auto"/>
        </w:rPr>
        <w:t>” or “</w:t>
      </w:r>
      <w:r>
        <w:rPr>
          <w:rFonts w:ascii="Arial" w:cs="Arial" w:eastAsia="Arial" w:hAnsi="Arial"/>
          <w:sz w:val="16"/>
          <w:szCs w:val="16"/>
          <w:b w:val="1"/>
          <w:bCs w:val="1"/>
          <w:color w:val="auto"/>
        </w:rPr>
        <w:t>EVERY THREE YEARS</w:t>
      </w:r>
      <w:r>
        <w:rPr>
          <w:rFonts w:ascii="Arial" w:cs="Arial" w:eastAsia="Arial" w:hAnsi="Arial"/>
          <w:sz w:val="16"/>
          <w:szCs w:val="16"/>
          <w:color w:val="auto"/>
        </w:rPr>
        <w:t xml:space="preserve"> or to “</w:t>
      </w:r>
      <w:r>
        <w:rPr>
          <w:rFonts w:ascii="Arial" w:cs="Arial" w:eastAsia="Arial" w:hAnsi="Arial"/>
          <w:sz w:val="16"/>
          <w:szCs w:val="16"/>
          <w:b w:val="1"/>
          <w:bCs w:val="1"/>
          <w:color w:val="auto"/>
        </w:rPr>
        <w:t>ABSTAIN</w:t>
      </w:r>
      <w:r>
        <w:rPr>
          <w:rFonts w:ascii="Arial" w:cs="Arial" w:eastAsia="Arial" w:hAnsi="Arial"/>
          <w:sz w:val="16"/>
          <w:szCs w:val="16"/>
          <w:color w:val="auto"/>
        </w:rPr>
        <w:t>” from voting.</w:t>
      </w:r>
    </w:p>
    <w:p>
      <w:pPr>
        <w:spacing w:after="0" w:line="161" w:lineRule="exact"/>
        <w:rPr>
          <w:sz w:val="20"/>
          <w:szCs w:val="20"/>
          <w:color w:val="auto"/>
        </w:rPr>
      </w:pPr>
    </w:p>
    <w:p>
      <w:pPr>
        <w:ind w:left="40" w:right="439" w:firstLine="441"/>
        <w:spacing w:after="0" w:line="275" w:lineRule="auto"/>
        <w:rPr>
          <w:sz w:val="20"/>
          <w:szCs w:val="20"/>
          <w:color w:val="auto"/>
        </w:rPr>
      </w:pPr>
      <w:r>
        <w:rPr>
          <w:rFonts w:ascii="Arial" w:cs="Arial" w:eastAsia="Arial" w:hAnsi="Arial"/>
          <w:sz w:val="17"/>
          <w:szCs w:val="17"/>
          <w:color w:val="auto"/>
        </w:rPr>
        <w:t>The Board of Directors believes that a frequency of every one year for future advisory votes on executive compensation is the optimal interval for conducting and responding to a “Say-on-Pay” vote. The Board of Directors believes that an annual advisory “Say-on-Pay” vote will allow the stockholders to provide timely, direct input on the Company’s executive compensation philosophy, policies, and practices as disclosed in the Company’s proxy statement each year. Currently, the Company conducts a "Say-on-Pay" vote every one year.</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40" w:right="79" w:firstLine="441"/>
        <w:spacing w:after="0" w:line="290" w:lineRule="auto"/>
        <w:rPr>
          <w:sz w:val="20"/>
          <w:szCs w:val="20"/>
          <w:color w:val="auto"/>
        </w:rPr>
      </w:pPr>
      <w:r>
        <w:rPr>
          <w:rFonts w:ascii="Arial" w:cs="Arial" w:eastAsia="Arial" w:hAnsi="Arial"/>
          <w:sz w:val="16"/>
          <w:szCs w:val="16"/>
          <w:color w:val="auto"/>
        </w:rPr>
        <w:t>To constitute the recommendation of the stockholders, on a non-binding and advisory basis, for the frequency of future advisory votes on executive compensation, the applicable “Every One Year,” “Every Two Years” or “Every Three Years” option must receive the affirmative vote of the majority of shares of common stock present online live or represented by proxy at the 2020 Annual Meeting and entitled to vote on such proposal. However, if none of the frequency options (one year, two years or three years) receives such vote, the option of one year, two years or three years that receives the greatest number of votes duly cast will be considered to be the stockholders’ recommended frequency of future advisory votes on executive compensation. Abstentions and broker non-votes will be counted towards a quorum, but will otherwise not be counted for any purpose in determining the stockholders’ recommendation.</w:t>
      </w:r>
    </w:p>
    <w:p>
      <w:pPr>
        <w:spacing w:after="0" w:line="165" w:lineRule="exact"/>
        <w:rPr>
          <w:sz w:val="20"/>
          <w:szCs w:val="20"/>
          <w:color w:val="auto"/>
        </w:rPr>
      </w:pPr>
    </w:p>
    <w:p>
      <w:pPr>
        <w:ind w:left="40" w:right="219" w:firstLine="441"/>
        <w:spacing w:after="0" w:line="296" w:lineRule="auto"/>
        <w:rPr>
          <w:sz w:val="20"/>
          <w:szCs w:val="20"/>
          <w:color w:val="auto"/>
        </w:rPr>
      </w:pPr>
      <w:r>
        <w:rPr>
          <w:rFonts w:ascii="Arial" w:cs="Arial" w:eastAsia="Arial" w:hAnsi="Arial"/>
          <w:sz w:val="16"/>
          <w:szCs w:val="16"/>
          <w:color w:val="auto"/>
        </w:rPr>
        <w:t>While your vote on this proposal is advisory and will not be binding on the Board of Directors, the Compensation Committee of the Board of Directors, or the Company, the Compensation Committee and the Board of Directors will take into consideration the outcome of the vote when deciding the frequency of future advisory votes on executive compensation. However, the Board of Directors may decide that it is in the best interests of the Company and its stockholders to hold a “Say-on-Pay” vote more or less frequently than the option recommended by the stockholders.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non-binding “frequency” vote is required to be submitted to our stockholders at least once every six years.</w:t>
      </w:r>
    </w:p>
    <w:p>
      <w:pPr>
        <w:spacing w:after="0" w:line="225" w:lineRule="exact"/>
        <w:rPr>
          <w:sz w:val="20"/>
          <w:szCs w:val="20"/>
          <w:color w:val="auto"/>
        </w:rPr>
      </w:pPr>
    </w:p>
    <w:p>
      <w:pPr>
        <w:jc w:val="center"/>
        <w:ind w:left="1520" w:right="100"/>
        <w:spacing w:after="0" w:line="277" w:lineRule="auto"/>
        <w:rPr>
          <w:sz w:val="20"/>
          <w:szCs w:val="20"/>
          <w:color w:val="auto"/>
        </w:rPr>
      </w:pPr>
      <w:r>
        <w:rPr>
          <w:rFonts w:ascii="Arial" w:cs="Arial" w:eastAsia="Arial" w:hAnsi="Arial"/>
          <w:sz w:val="18"/>
          <w:szCs w:val="18"/>
          <w:b w:val="1"/>
          <w:bCs w:val="1"/>
          <w:i w:val="1"/>
          <w:iCs w:val="1"/>
          <w:color w:val="auto"/>
        </w:rPr>
        <w:t xml:space="preserve">THE BOARD OF DIRECTORS RECOMMENDS A VOTE FOR THE OPTION OF EVERY </w:t>
      </w:r>
      <w:r>
        <w:rPr>
          <w:rFonts w:ascii="Arial" w:cs="Arial" w:eastAsia="Arial" w:hAnsi="Arial"/>
          <w:sz w:val="18"/>
          <w:szCs w:val="18"/>
          <w:b w:val="1"/>
          <w:bCs w:val="1"/>
          <w:i w:val="1"/>
          <w:iCs w:val="1"/>
          <w:u w:val="single" w:color="auto"/>
          <w:color w:val="auto"/>
        </w:rPr>
        <w:t>ONE YEAR</w:t>
      </w:r>
      <w:r>
        <w:rPr>
          <w:rFonts w:ascii="Arial" w:cs="Arial" w:eastAsia="Arial" w:hAnsi="Arial"/>
          <w:sz w:val="18"/>
          <w:szCs w:val="18"/>
          <w:b w:val="1"/>
          <w:bCs w:val="1"/>
          <w:i w:val="1"/>
          <w:iCs w:val="1"/>
          <w:color w:val="auto"/>
        </w:rPr>
        <w:t xml:space="preserve"> FOR THE FREQUENCY OF FUTURE ADVISORY VOTES ON EXECUTIVE COMPENSATION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40" w:right="239"/>
        <w:spacing w:after="0" w:line="279" w:lineRule="auto"/>
        <w:rPr>
          <w:sz w:val="20"/>
          <w:szCs w:val="20"/>
          <w:color w:val="auto"/>
        </w:rPr>
      </w:pPr>
      <w:r>
        <w:rPr>
          <w:rFonts w:ascii="Arial" w:cs="Arial" w:eastAsia="Arial" w:hAnsi="Arial"/>
          <w:sz w:val="17"/>
          <w:szCs w:val="17"/>
          <w:color w:val="auto"/>
        </w:rPr>
        <w:t>Our board of directors currently consists of nine members. Our board of directors has determined that all of our directors, as well as each individual nominated by our board of directors for election to our board of directors at the 2020 Annual Meeting, other than Mr. Raab, qualify as “independent” directors in accordance with the Nasdaq listing requirements. Mr. Raab is not considered independent because he is an employee of our company.</w:t>
      </w:r>
    </w:p>
    <w:p>
      <w:pPr>
        <w:spacing w:after="0" w:line="171"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181" w:lineRule="exact"/>
        <w:rPr>
          <w:sz w:val="20"/>
          <w:szCs w:val="20"/>
          <w:color w:val="auto"/>
        </w:rPr>
      </w:pPr>
    </w:p>
    <w:p>
      <w:pPr>
        <w:ind w:left="40" w:right="59"/>
        <w:spacing w:after="0" w:line="311" w:lineRule="auto"/>
        <w:rPr>
          <w:sz w:val="20"/>
          <w:szCs w:val="20"/>
          <w:color w:val="auto"/>
        </w:rPr>
      </w:pPr>
      <w:r>
        <w:rPr>
          <w:rFonts w:ascii="Arial" w:cs="Arial" w:eastAsia="Arial" w:hAnsi="Arial"/>
          <w:sz w:val="16"/>
          <w:szCs w:val="16"/>
          <w:color w:val="auto"/>
        </w:rPr>
        <w:t>As described more fully below, the board of directors has also determined that each current member of the compensation committee, the audit committee and the nominating and corporate governance committee meets the independence standards applicable to those committees prescribed by Nasdaq, the SEC and the Internal Revenue Service.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40" w:right="59"/>
        <w:spacing w:after="0" w:line="311" w:lineRule="auto"/>
        <w:rPr>
          <w:sz w:val="20"/>
          <w:szCs w:val="20"/>
          <w:color w:val="auto"/>
        </w:rPr>
      </w:pPr>
      <w:r>
        <w:rPr>
          <w:rFonts w:ascii="Arial" w:cs="Arial" w:eastAsia="Arial" w:hAnsi="Arial"/>
          <w:sz w:val="16"/>
          <w:szCs w:val="16"/>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Leadership Structure of the Board</w:t>
      </w:r>
    </w:p>
    <w:p>
      <w:pPr>
        <w:spacing w:after="0" w:line="229" w:lineRule="exact"/>
        <w:rPr>
          <w:sz w:val="20"/>
          <w:szCs w:val="20"/>
          <w:color w:val="auto"/>
        </w:rPr>
      </w:pPr>
    </w:p>
    <w:p>
      <w:pPr>
        <w:ind w:left="40" w:right="259"/>
        <w:spacing w:after="0" w:line="255"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Mott currently serves as the Chairman of the Board. In that role, Mr. Mott presides over the executive sessions of the board of directors in which Mr. Raab does not participate and serves as a liaison to Mr. Raab and management on behalf of the board of directors.</w:t>
      </w:r>
    </w:p>
    <w:p>
      <w:pPr>
        <w:spacing w:after="0" w:line="192"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29"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During 2019, the board of directors met five times, the audit committee met six times, the compensation committee met two times and the nominating and corporate governance committee met once. In that year, each director attended at least 75% of the aggregate number of meetings of the board of directors and the committees on which he or she served. As required under Nasdaq rules and regulations, our independent directors meet in regularly scheduled executive sessions at which only independent directors are present.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70" w:lineRule="exact"/>
        <w:rPr>
          <w:sz w:val="20"/>
          <w:szCs w:val="20"/>
          <w:color w:val="auto"/>
        </w:rPr>
      </w:pPr>
    </w:p>
    <w:p>
      <w:pPr>
        <w:ind w:left="820" w:hanging="31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evaluates the independent registered public accounting firm’s qualifications, independence and performance;</w:t>
      </w:r>
    </w:p>
    <w:p>
      <w:pPr>
        <w:spacing w:after="0" w:line="248" w:lineRule="exact"/>
        <w:rPr>
          <w:rFonts w:ascii="Arial" w:cs="Arial" w:eastAsia="Arial" w:hAnsi="Arial"/>
          <w:sz w:val="16"/>
          <w:szCs w:val="16"/>
          <w:color w:val="auto"/>
        </w:rPr>
      </w:pPr>
    </w:p>
    <w:p>
      <w:pPr>
        <w:ind w:left="820" w:hanging="31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225" w:lineRule="exact"/>
        <w:rPr>
          <w:rFonts w:ascii="Arial" w:cs="Arial" w:eastAsia="Arial" w:hAnsi="Arial"/>
          <w:sz w:val="18"/>
          <w:szCs w:val="18"/>
          <w:color w:val="auto"/>
        </w:rPr>
      </w:pPr>
    </w:p>
    <w:p>
      <w:pPr>
        <w:ind w:left="820" w:right="99" w:hanging="31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70" w:lineRule="exact"/>
        <w:rPr>
          <w:rFonts w:ascii="Arial" w:cs="Arial" w:eastAsia="Arial" w:hAnsi="Arial"/>
          <w:sz w:val="18"/>
          <w:szCs w:val="18"/>
          <w:color w:val="auto"/>
        </w:rPr>
      </w:pPr>
    </w:p>
    <w:p>
      <w:pPr>
        <w:ind w:left="820" w:right="79" w:hanging="31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audit and non-audit services;</w:t>
      </w:r>
    </w:p>
    <w:p>
      <w:pPr>
        <w:spacing w:after="0" w:line="170" w:lineRule="exact"/>
        <w:rPr>
          <w:rFonts w:ascii="Arial" w:cs="Arial" w:eastAsia="Arial" w:hAnsi="Arial"/>
          <w:sz w:val="18"/>
          <w:szCs w:val="18"/>
          <w:color w:val="auto"/>
        </w:rPr>
      </w:pPr>
    </w:p>
    <w:p>
      <w:pPr>
        <w:ind w:left="820" w:right="219" w:hanging="31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as required by law;</w:t>
      </w:r>
    </w:p>
    <w:p>
      <w:pPr>
        <w:spacing w:after="0" w:line="170" w:lineRule="exact"/>
        <w:rPr>
          <w:rFonts w:ascii="Arial" w:cs="Arial" w:eastAsia="Arial" w:hAnsi="Arial"/>
          <w:sz w:val="18"/>
          <w:szCs w:val="18"/>
          <w:color w:val="auto"/>
        </w:rPr>
      </w:pPr>
    </w:p>
    <w:p>
      <w:pPr>
        <w:ind w:left="820" w:right="159" w:hanging="317"/>
        <w:spacing w:after="0" w:line="342"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23" w:lineRule="exact"/>
        <w:rPr>
          <w:rFonts w:ascii="Arial" w:cs="Arial" w:eastAsia="Arial" w:hAnsi="Arial"/>
          <w:sz w:val="16"/>
          <w:szCs w:val="16"/>
          <w:color w:val="auto"/>
        </w:rPr>
      </w:pPr>
    </w:p>
    <w:p>
      <w:pPr>
        <w:ind w:left="820" w:hanging="31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w:t>
      </w:r>
    </w:p>
    <w:p>
      <w:pPr>
        <w:spacing w:after="0" w:line="225"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color w:val="auto"/>
        </w:rPr>
        <w:t>In 2019, Messrs. Rodgers and Bertrand and Dr. Annalisa Jenkins served as members of the audit committee. In March 2020, Dr. Jenkins stepped down from the audit committee in connection with her resignation from our board of directors and we appointed Mr. Mott as her successor. Mr. Rodgers serves as the chairperson of the committee. Each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87" w:lineRule="auto"/>
        <w:rPr>
          <w:sz w:val="20"/>
          <w:szCs w:val="20"/>
          <w:color w:val="auto"/>
        </w:rPr>
      </w:pPr>
      <w:r>
        <w:rPr>
          <w:rFonts w:ascii="Arial" w:cs="Arial" w:eastAsia="Arial" w:hAnsi="Arial"/>
          <w:sz w:val="16"/>
          <w:szCs w:val="16"/>
          <w:color w:val="auto"/>
        </w:rPr>
        <w:t>the members of our audit committee during 2019 met, and each of the current members of our audit committee, meets or will meet,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committee during 2019 was, and each of the current members of our audit committee is or will be an “independent director”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http://ir.ardelyx.com/corporate-governance.</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Our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 also approves grants of stock options and other awards under our stock plans. The compensation committee has delegated authority to the Chief Executive Officer to grant stock options to purchase shares of common stock to existing and new non-senior management team employees, with such individual grants to be consistent with equity grant guidelines provided by our compensation consultant and approved by the compensation committee. The compensation committee will review and evaluate, at least annually, the performance of the compensation committee and its members, including compliance of the compensation committee with its charter.</w:t>
      </w:r>
    </w:p>
    <w:p>
      <w:pPr>
        <w:spacing w:after="0" w:line="174" w:lineRule="exact"/>
        <w:rPr>
          <w:sz w:val="20"/>
          <w:szCs w:val="20"/>
          <w:color w:val="auto"/>
        </w:rPr>
      </w:pPr>
    </w:p>
    <w:p>
      <w:pPr>
        <w:ind w:left="40" w:right="179"/>
        <w:spacing w:after="0" w:line="217" w:lineRule="exact"/>
        <w:rPr>
          <w:sz w:val="20"/>
          <w:szCs w:val="20"/>
          <w:color w:val="auto"/>
        </w:rPr>
      </w:pPr>
      <w:r>
        <w:rPr>
          <w:rFonts w:ascii="Arial" w:cs="Arial" w:eastAsia="Arial" w:hAnsi="Arial"/>
          <w:sz w:val="16"/>
          <w:szCs w:val="16"/>
          <w:color w:val="auto"/>
        </w:rPr>
        <w:t>In 2019, Messrs. Mott, Bazemore and Rodgers and Dr. Lundberg served as members of the compensation committee. The current members of our compensation committee are Messrs. Mott, Bazemore and Rodgers and Dr. Lundberg. Mr. Mott serves as the chairman of the committee. Each of the members of our compensation committee during 2019 was, and each of the current members of our compensation committee, is or will be, an “independent director” under the applicable rules and regulations of The Nasdaq Global Market, a “non</w:t>
      </w:r>
      <w:r>
        <w:rPr>
          <w:rFonts w:ascii="MS PGothic" w:cs="MS PGothic" w:eastAsia="MS PGothic" w:hAnsi="MS PGothic"/>
          <w:sz w:val="16"/>
          <w:szCs w:val="16"/>
          <w:color w:val="auto"/>
        </w:rPr>
        <w:t>‑</w:t>
      </w:r>
      <w:r>
        <w:rPr>
          <w:rFonts w:ascii="Arial" w:cs="Arial" w:eastAsia="Arial" w:hAnsi="Arial"/>
          <w:sz w:val="16"/>
          <w:szCs w:val="16"/>
          <w:color w:val="auto"/>
        </w:rPr>
        <w:t>employee director” as defined in Rule 16b</w:t>
      </w:r>
      <w:r>
        <w:rPr>
          <w:rFonts w:ascii="MS PGothic" w:cs="MS PGothic" w:eastAsia="MS PGothic" w:hAnsi="MS PGothic"/>
          <w:sz w:val="16"/>
          <w:szCs w:val="16"/>
          <w:color w:val="auto"/>
        </w:rPr>
        <w:t>‑</w:t>
      </w:r>
      <w:r>
        <w:rPr>
          <w:rFonts w:ascii="Arial" w:cs="Arial" w:eastAsia="Arial" w:hAnsi="Arial"/>
          <w:sz w:val="16"/>
          <w:szCs w:val="16"/>
          <w:color w:val="auto"/>
        </w:rPr>
        <w:t>3 promulgated under the Exchange Act and an “outside director” as that term is defined in Section 162(m) of the U.S. Internal Revenue Code of 1986, as amended, or Section 162(m).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207"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For fiscal year 2019,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40" w:right="139"/>
        <w:spacing w:after="0" w:line="285"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In 2019, Drs. Ringold, Block and Jenkins and Mr. Mott served as members of the nominating and corporate governance committee. In March 2020,</w:t>
      </w:r>
    </w:p>
    <w:p>
      <w:pPr>
        <w:spacing w:after="0" w:line="2" w:lineRule="exact"/>
        <w:rPr>
          <w:sz w:val="20"/>
          <w:szCs w:val="20"/>
          <w:color w:val="auto"/>
        </w:rPr>
      </w:pPr>
    </w:p>
    <w:p>
      <w:pPr>
        <w:ind w:left="40" w:right="439"/>
        <w:spacing w:after="0" w:line="253" w:lineRule="auto"/>
        <w:rPr>
          <w:sz w:val="20"/>
          <w:szCs w:val="20"/>
          <w:color w:val="auto"/>
        </w:rPr>
      </w:pPr>
      <w:r>
        <w:rPr>
          <w:rFonts w:ascii="Arial" w:cs="Arial" w:eastAsia="Arial" w:hAnsi="Arial"/>
          <w:sz w:val="18"/>
          <w:szCs w:val="18"/>
          <w:color w:val="auto"/>
        </w:rPr>
        <w:t>Dr. Jenkins and Mr. Mott stepped down from the nominating and corporate governance committee and we appointed Ms. Cadoret-Manier and Mr. Bertrand as their successors. The current members of our nominating and corporate governance committee are Drs. Ringold and Block and Ms. Cadoret-Manier. Dr. Ringold serves as the chairman of the committee.</w:t>
      </w:r>
    </w:p>
    <w:p>
      <w:pPr>
        <w:spacing w:after="0" w:line="193" w:lineRule="exact"/>
        <w:rPr>
          <w:sz w:val="20"/>
          <w:szCs w:val="20"/>
          <w:color w:val="auto"/>
        </w:rPr>
      </w:pPr>
    </w:p>
    <w:p>
      <w:pPr>
        <w:ind w:left="40" w:right="99"/>
        <w:spacing w:after="0" w:line="271" w:lineRule="auto"/>
        <w:rPr>
          <w:sz w:val="20"/>
          <w:szCs w:val="20"/>
          <w:color w:val="auto"/>
        </w:rPr>
      </w:pPr>
      <w:r>
        <w:rPr>
          <w:rFonts w:ascii="Arial" w:cs="Arial" w:eastAsia="Arial" w:hAnsi="Arial"/>
          <w:sz w:val="17"/>
          <w:szCs w:val="17"/>
          <w:color w:val="auto"/>
        </w:rPr>
        <w:t>Each of the members of our nominating and corporate governance committee during 2019 was, and each of the current members of our nominating and corporate governance committee is, an “independent director” under the applicable rules and regulations of Nasdaq relating to nominating and corporate governance committee independence. Following the 2020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161" w:lineRule="exact"/>
        <w:rPr>
          <w:sz w:val="20"/>
          <w:szCs w:val="20"/>
          <w:color w:val="auto"/>
        </w:rPr>
      </w:pPr>
    </w:p>
    <w:p>
      <w:pPr>
        <w:ind w:left="820" w:hanging="31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experience in corporate management, such as serving as an officer or former officer of a publicly held company;</w:t>
      </w:r>
    </w:p>
    <w:p>
      <w:pPr>
        <w:spacing w:after="0" w:line="248" w:lineRule="exact"/>
        <w:rPr>
          <w:rFonts w:ascii="Arial" w:cs="Arial" w:eastAsia="Arial" w:hAnsi="Arial"/>
          <w:sz w:val="16"/>
          <w:szCs w:val="16"/>
          <w:color w:val="auto"/>
        </w:rPr>
      </w:pPr>
    </w:p>
    <w:p>
      <w:pPr>
        <w:ind w:left="820" w:hanging="31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225" w:lineRule="exact"/>
        <w:rPr>
          <w:rFonts w:ascii="Arial" w:cs="Arial" w:eastAsia="Arial" w:hAnsi="Arial"/>
          <w:sz w:val="18"/>
          <w:szCs w:val="18"/>
          <w:color w:val="auto"/>
        </w:rPr>
      </w:pPr>
    </w:p>
    <w:p>
      <w:pPr>
        <w:ind w:left="820" w:right="399" w:hanging="31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70" w:lineRule="exact"/>
        <w:rPr>
          <w:rFonts w:ascii="Arial" w:cs="Arial" w:eastAsia="Arial" w:hAnsi="Arial"/>
          <w:sz w:val="18"/>
          <w:szCs w:val="18"/>
          <w:color w:val="auto"/>
        </w:rPr>
      </w:pPr>
    </w:p>
    <w:p>
      <w:pPr>
        <w:ind w:left="820" w:hanging="31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25"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At this time, our nominating and corporate governance committee does not have a policy with regard to the consideration of director candidates recommended by our stockholders, but expects to adopt such a policy in the future. Until such a policy is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39"/>
        <w:spacing w:after="0" w:line="257" w:lineRule="auto"/>
        <w:rPr>
          <w:sz w:val="20"/>
          <w:szCs w:val="20"/>
          <w:color w:val="auto"/>
        </w:rPr>
      </w:pPr>
      <w:r>
        <w:rPr>
          <w:rFonts w:ascii="Arial" w:cs="Arial" w:eastAsia="Arial" w:hAnsi="Arial"/>
          <w:sz w:val="18"/>
          <w:szCs w:val="18"/>
          <w:color w:val="auto"/>
        </w:rPr>
        <w:t>adopted, our board of directors and nominating and corporate governance committee will consider candidates recommended by our stockholders on a case-by-case basis.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40" w:right="419"/>
        <w:spacing w:after="0" w:line="296"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The reference to our web address does not constitute incorporation by reference of the information contained at or available through our website.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29" w:lineRule="exact"/>
        <w:rPr>
          <w:sz w:val="20"/>
          <w:szCs w:val="20"/>
          <w:color w:val="auto"/>
        </w:rPr>
      </w:pPr>
    </w:p>
    <w:p>
      <w:pPr>
        <w:ind w:left="40" w:right="99"/>
        <w:spacing w:after="0" w:line="286" w:lineRule="auto"/>
        <w:rPr>
          <w:sz w:val="20"/>
          <w:szCs w:val="20"/>
          <w:color w:val="auto"/>
        </w:rPr>
      </w:pPr>
      <w:r>
        <w:rPr>
          <w:rFonts w:ascii="Arial" w:cs="Arial" w:eastAsia="Arial" w:hAnsi="Arial"/>
          <w:sz w:val="17"/>
          <w:szCs w:val="17"/>
          <w:color w:val="auto"/>
        </w:rPr>
        <w:t>Our board of directors has a policy of encouraging director attendance at our annual meetings of stockholders, but attendance is not mandatory. Our board of directors and management team encourage all of our directors to attend the 2020 Annual Meeting. All of our then-serving directors attended our 2019 annual meeting of stockholders.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jc w:val="both"/>
        <w:ind w:left="40" w:right="99"/>
        <w:spacing w:after="0" w:line="259" w:lineRule="auto"/>
        <w:rPr>
          <w:sz w:val="20"/>
          <w:szCs w:val="20"/>
          <w:color w:val="auto"/>
        </w:rPr>
      </w:pPr>
      <w:r>
        <w:rPr>
          <w:rFonts w:ascii="Arial" w:cs="Arial" w:eastAsia="Arial" w:hAnsi="Arial"/>
          <w:sz w:val="18"/>
          <w:szCs w:val="18"/>
          <w:color w:val="auto"/>
        </w:rPr>
        <w:t>A stockholder may communicate with the board of directors, or an individual director, by sending written correspondence to the Company’s Chief Legal and Administrative Officer at Ardelyx, Inc., 34175 Ardenwood Blvd., Fremont, CA 94555. The Chief Legal and Administrative Officer will review such correspondence and forward it to the board of directors, or an individual director, as appropriate.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color w:val="auto"/>
        </w:rPr>
        <w:t>During 2019, Messrs. Mott, Bazemore and Rodgers and Dr. Lundberg served as members of our compensation committee. None of Messrs. Mott, Bazemore or Rodgers or Dr. Lundberg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0" w:right="299"/>
        <w:spacing w:after="0" w:line="301" w:lineRule="auto"/>
        <w:rPr>
          <w:sz w:val="20"/>
          <w:szCs w:val="20"/>
          <w:color w:val="auto"/>
        </w:rPr>
      </w:pPr>
      <w:r>
        <w:rPr>
          <w:rFonts w:ascii="Arial" w:cs="Arial" w:eastAsia="Arial" w:hAnsi="Arial"/>
          <w:sz w:val="16"/>
          <w:szCs w:val="16"/>
          <w:color w:val="auto"/>
        </w:rPr>
        <w:t>The following is a description of transactions either entered into since January 1, 2019 or entered into prior to January 1, 2019 which have continuing obligations and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Participation in Public Offering</w:t>
      </w:r>
    </w:p>
    <w:p>
      <w:pPr>
        <w:spacing w:after="0" w:line="229" w:lineRule="exact"/>
        <w:rPr>
          <w:sz w:val="20"/>
          <w:szCs w:val="20"/>
          <w:color w:val="auto"/>
        </w:rPr>
      </w:pPr>
    </w:p>
    <w:p>
      <w:pPr>
        <w:ind w:left="40" w:right="79"/>
        <w:spacing w:after="0" w:line="284" w:lineRule="auto"/>
        <w:rPr>
          <w:sz w:val="20"/>
          <w:szCs w:val="20"/>
          <w:color w:val="auto"/>
        </w:rPr>
      </w:pPr>
      <w:r>
        <w:rPr>
          <w:rFonts w:ascii="Arial" w:cs="Arial" w:eastAsia="Arial" w:hAnsi="Arial"/>
          <w:sz w:val="16"/>
          <w:szCs w:val="16"/>
          <w:color w:val="auto"/>
        </w:rPr>
        <w:t>In connection with our December 2019 public offering of 23,000,000 shares of common stock at a price to the public of $6.25 per share, certain of our principal stockholders purchased shares of our common stock on the same terms as the other shares offered and sold in the public offering. The purchasers included the following principal stockholders: 800,000 shares of common stock were purchased by entities associated with New Enterprise Associates for an aggregate purchase price of $5 million; 4,000,000 shares of common stock were purchased by entities associated with Deerfield for an aggregate purchase price of $25 million; 4,000,000 shares of common stock were purchased by RA Capital Management, L.P. for an aggregate purchase price of $25 million; 3,000,000 shares of common stock were purchased by Adage Capital</w:t>
      </w:r>
    </w:p>
    <w:p>
      <w:pPr>
        <w:spacing w:after="0" w:line="2" w:lineRule="exact"/>
        <w:rPr>
          <w:sz w:val="20"/>
          <w:szCs w:val="20"/>
          <w:color w:val="auto"/>
        </w:rPr>
      </w:pPr>
    </w:p>
    <w:p>
      <w:pPr>
        <w:ind w:left="40" w:right="159"/>
        <w:spacing w:after="0" w:line="260" w:lineRule="auto"/>
        <w:rPr>
          <w:sz w:val="20"/>
          <w:szCs w:val="20"/>
          <w:color w:val="auto"/>
        </w:rPr>
      </w:pPr>
      <w:r>
        <w:rPr>
          <w:rFonts w:ascii="Arial" w:cs="Arial" w:eastAsia="Arial" w:hAnsi="Arial"/>
          <w:sz w:val="18"/>
          <w:szCs w:val="18"/>
          <w:color w:val="auto"/>
        </w:rPr>
        <w:t>Partners, L.P. for an aggregate purchase price of 18.75 million; and 1,600,000 shares of common stock were purchased by entities associated with Rock Springs Capital for an aggregate purchase of $10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29"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40" w:right="139"/>
        <w:spacing w:after="0" w:line="288"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Our board of directors has approved a compensation policy for our non-employee directors, or the Director Compensation Program, which is periodically reviewed with consultation and recommendations provided by Pearl Meyer. Pursuant to the Director Compensation Program, we do not pay director fees to directors who are employees. Retainers are paid to our non-employee directors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 In June 2019, our non-employee directors received an annual retainer of $40,000. Our non-employee Chairman received an additional annual cash retainer in the amount of $30,000 per year. Non-employee directors received additional annual retainers of $10,000 for serving on the audit committee (or $20,000 for serving as the chair of the audit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 The retainers paid in June 2019 reflected the periodic assessment of our Director Compensation Program with analysis and recommendations by Pearl Meyer in December 2018, followed by our compensation committee recommendation, and our board of directors approval in March 2019 of an increase in the annual retainer for non-employee directors from $35,000 to $40,000; the increase in the annual cash retainer for our Chairman from $25,000 to $30,000; and the increase for serving on the nominating and corporate governance committee to from $4,000 to $5,000 (or from $8,000 to $10,000 for serving as the chair of the nominating and corporate governance committee).</w:t>
      </w:r>
    </w:p>
    <w:p>
      <w:pPr>
        <w:spacing w:after="0" w:line="174" w:lineRule="exact"/>
        <w:rPr>
          <w:sz w:val="20"/>
          <w:szCs w:val="20"/>
          <w:color w:val="auto"/>
        </w:rPr>
      </w:pPr>
    </w:p>
    <w:p>
      <w:pPr>
        <w:ind w:left="40" w:right="199"/>
        <w:spacing w:after="0" w:line="293" w:lineRule="auto"/>
        <w:rPr>
          <w:sz w:val="20"/>
          <w:szCs w:val="20"/>
          <w:color w:val="auto"/>
        </w:rPr>
      </w:pPr>
      <w:r>
        <w:rPr>
          <w:rFonts w:ascii="Arial" w:cs="Arial" w:eastAsia="Arial" w:hAnsi="Arial"/>
          <w:sz w:val="16"/>
          <w:szCs w:val="16"/>
          <w:color w:val="auto"/>
        </w:rPr>
        <w:t>In lieu of a cash retainer, each non-employee director will also have the ability to elect to receive a stock award consisting of that number of fully vested shares of common stock calculated by dividing the amount of the cash retainer by the fair market value of the common stock on the date of our annual meeting of stockholders, rounded to the nearest whole share. For 2019, each of Drs. Lundberg and Jenkins and Messrs. Bertrand, Mott and Rodgers elected to receive a stock award in lieu of their respective 2019 annual cash retainers as calculated pursuant to the preceding sentence. Members of our board of directors are also reimbursed for reasonable travel and other out-of-pocket expenses.</w:t>
      </w:r>
    </w:p>
    <w:p>
      <w:pPr>
        <w:spacing w:after="0" w:line="164" w:lineRule="exact"/>
        <w:rPr>
          <w:sz w:val="20"/>
          <w:szCs w:val="20"/>
          <w:color w:val="auto"/>
        </w:rPr>
      </w:pPr>
    </w:p>
    <w:p>
      <w:pPr>
        <w:ind w:left="40" w:right="199"/>
        <w:spacing w:after="0" w:line="296" w:lineRule="auto"/>
        <w:rPr>
          <w:sz w:val="20"/>
          <w:szCs w:val="20"/>
          <w:color w:val="auto"/>
        </w:rPr>
      </w:pPr>
      <w:r>
        <w:rPr>
          <w:rFonts w:ascii="Arial" w:cs="Arial" w:eastAsia="Arial" w:hAnsi="Arial"/>
          <w:sz w:val="16"/>
          <w:szCs w:val="16"/>
          <w:color w:val="auto"/>
        </w:rPr>
        <w:t>Following the periodic assessment of our Director Compensation Program in December 2018, with analysis and recommendations by Pearl Meyer, in March 2019, our compensation committee recommended, and our board of directors approved a change in the manner in which the number of shares of our common stock subject to the initial appointment stock option grant and the ongoing stock option grant will be determined. Beginning in March 2019, upon initial appointment or election to our board of directors, under the Director Compensation Program each non-employee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director will be automatically granted an option to purchase shares of our common stock with a grant date fair value of $240,000, but with a maximum number of 75,000 shares. In addition, each continuing non-employee director who has been serving on our board of directors for at least six months as of the date of any annual meeting of our stockholders and who will continue to serve as a non-employee director immediately following such meeting is automatically granted an option to purchase shares of our common stock with a grant date fair value of $120,000, but with a maximum number of 50,000 shares. Each initial non-employee director stock option vests with respect to 1/36th of the shares on each monthly anniversary of the grant date, subject to the non-employee director’s continued service on our board of directors through such date. Each annual stock option granted to our non-employee directors, vests with respect to 1/12th of the shares on each monthly anniversary of the grant date, subject to acceleration in full immediately prior to the next annual stockholders meeting, subject to the non-employee director’s continued service on our board of directors through such date. The Director Compensation Program also provides that upon a “Change in Control” of Ardelyx (as defined in our equity incentive plan), all outstanding equity awards granted under an equity incentive plan maintained by Ardelyx that are held by a non-employee director will become fully vested and/or exercisable.</w:t>
      </w:r>
    </w:p>
    <w:p>
      <w:pPr>
        <w:spacing w:after="0" w:line="174"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color w:val="auto"/>
        </w:rPr>
        <w:t>During 2019, each of our non-employee directors, other than Dr. Block, was granted an annual option to purchase 50,000 shares of our common stock in June 2019 pursuant to the Director Compensation Program. Dr. Block was appointed to our board of directors in March 2019, at which time he was granted an option to purchase 75,000 shares of our common stock. Ms. Cadoret-Manier was appointed to our board of directors in March 2020, at which time she was granted an option to purchase 65,890 shares of our common stock.</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98"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The following table sets forth information for the year ended December 31, 2019 regarding the compensation awarded to, earned by or paid to our non-employee directors. Because Ms. Cadoret-Manier was appointed to our board of directors in March 2020, and did not receive any compensation during the year ended December 31, 2019, she is omitted from the table below.</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180" w:type="dxa"/>
            <w:vAlign w:val="bottom"/>
          </w:tcPr>
          <w:p>
            <w:pPr>
              <w:jc w:val="center"/>
              <w:ind w:left="1028"/>
              <w:spacing w:after="0"/>
              <w:rPr>
                <w:sz w:val="20"/>
                <w:szCs w:val="20"/>
                <w:color w:val="auto"/>
              </w:rPr>
            </w:pPr>
            <w:r>
              <w:rPr>
                <w:rFonts w:ascii="Arial" w:cs="Arial" w:eastAsia="Arial" w:hAnsi="Arial"/>
                <w:sz w:val="14"/>
                <w:szCs w:val="14"/>
                <w:b w:val="1"/>
                <w:bCs w:val="1"/>
                <w:color w:val="auto"/>
                <w:w w:val="91"/>
              </w:rPr>
              <w:t>Fees Earned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ind w:left="1028"/>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71"/>
        </w:trPr>
        <w:tc>
          <w:tcPr>
            <w:tcW w:w="1600" w:type="dxa"/>
            <w:vAlign w:val="bottom"/>
            <w:vMerge w:val="continue"/>
          </w:tcPr>
          <w:p>
            <w:pPr>
              <w:spacing w:after="0"/>
              <w:rPr>
                <w:sz w:val="14"/>
                <w:szCs w:val="14"/>
                <w:color w:val="auto"/>
              </w:rPr>
            </w:pPr>
          </w:p>
        </w:tc>
        <w:tc>
          <w:tcPr>
            <w:tcW w:w="2180" w:type="dxa"/>
            <w:vAlign w:val="bottom"/>
          </w:tcPr>
          <w:p>
            <w:pPr>
              <w:jc w:val="center"/>
              <w:ind w:left="1028"/>
              <w:spacing w:after="0"/>
              <w:rPr>
                <w:sz w:val="20"/>
                <w:szCs w:val="20"/>
                <w:color w:val="auto"/>
              </w:rPr>
            </w:pPr>
            <w:r>
              <w:rPr>
                <w:rFonts w:ascii="Arial" w:cs="Arial" w:eastAsia="Arial" w:hAnsi="Arial"/>
                <w:sz w:val="14"/>
                <w:szCs w:val="14"/>
                <w:b w:val="1"/>
                <w:bCs w:val="1"/>
                <w:color w:val="auto"/>
                <w:w w:val="94"/>
              </w:rPr>
              <w:t>Cash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Awards </w:t>
            </w:r>
            <w:r>
              <w:rPr>
                <w:rFonts w:ascii="Arial" w:cs="Arial" w:eastAsia="Arial" w:hAnsi="Arial"/>
                <w:sz w:val="14"/>
                <w:szCs w:val="14"/>
                <w:b w:val="1"/>
                <w:bCs w:val="1"/>
                <w:color w:val="auto"/>
                <w:w w:val="89"/>
                <w:vertAlign w:val="superscript"/>
              </w:rPr>
              <w:t>(1)</w:t>
            </w:r>
            <w:r>
              <w:rPr>
                <w:rFonts w:ascii="Arial" w:cs="Arial" w:eastAsia="Arial" w:hAnsi="Arial"/>
                <w:sz w:val="14"/>
                <w:szCs w:val="14"/>
                <w:b w:val="1"/>
                <w:bCs w:val="1"/>
                <w:color w:val="auto"/>
                <w:w w:val="89"/>
              </w:rPr>
              <w:t xml:space="preserve"> ($)</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0</wp:posOffset>
            </wp:positionV>
            <wp:extent cx="45262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26280" cy="14605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tbl>
      <w:tblPr>
        <w:tblLayout w:type="fixed"/>
        <w:tblInd w:w="940" w:type="dxa"/>
        <w:tblCellMar>
          <w:top w:w="0" w:type="dxa"/>
          <w:left w:w="0" w:type="dxa"/>
          <w:bottom w:w="0" w:type="dxa"/>
          <w:right w:w="0" w:type="dxa"/>
        </w:tblCellMar>
      </w:tblPr>
      <w:tr>
        <w:trPr>
          <w:trHeight w:val="195"/>
        </w:trPr>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Bazemore</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47,500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William Bertrand, Jr.</w:t>
            </w: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Geoffrey A. Block, M.D.</w:t>
            </w:r>
          </w:p>
        </w:tc>
        <w:tc>
          <w:tcPr>
            <w:tcW w:w="980" w:type="dxa"/>
            <w:vAlign w:val="bottom"/>
          </w:tcPr>
          <w:p>
            <w:pPr>
              <w:jc w:val="right"/>
              <w:spacing w:after="0"/>
              <w:rPr>
                <w:sz w:val="20"/>
                <w:szCs w:val="20"/>
                <w:color w:val="auto"/>
              </w:rPr>
            </w:pPr>
            <w:r>
              <w:rPr>
                <w:rFonts w:ascii="Arial" w:cs="Arial" w:eastAsia="Arial" w:hAnsi="Arial"/>
                <w:sz w:val="18"/>
                <w:szCs w:val="18"/>
                <w:color w:val="auto"/>
              </w:rPr>
              <w:t>55,000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Annalisa Jenkins, MBBS, FRCP</w:t>
            </w:r>
            <w:r>
              <w:rPr>
                <w:rFonts w:ascii="Arial" w:cs="Arial" w:eastAsia="Arial" w:hAnsi="Arial"/>
                <w:sz w:val="8"/>
                <w:szCs w:val="8"/>
                <w:color w:val="auto"/>
                <w:w w:val="98"/>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55,000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Jan Lundberg, Ph.D.</w:t>
            </w:r>
          </w:p>
        </w:tc>
        <w:tc>
          <w:tcPr>
            <w:tcW w:w="980" w:type="dxa"/>
            <w:vAlign w:val="bottom"/>
          </w:tcPr>
          <w:p>
            <w:pPr>
              <w:jc w:val="right"/>
              <w:spacing w:after="0"/>
              <w:rPr>
                <w:sz w:val="20"/>
                <w:szCs w:val="20"/>
                <w:color w:val="auto"/>
              </w:rPr>
            </w:pPr>
            <w:r>
              <w:rPr>
                <w:rFonts w:ascii="Arial" w:cs="Arial" w:eastAsia="Arial" w:hAnsi="Arial"/>
                <w:sz w:val="18"/>
                <w:szCs w:val="18"/>
                <w:color w:val="auto"/>
              </w:rPr>
              <w:t>47,500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David Mott</w:t>
            </w:r>
          </w:p>
        </w:tc>
        <w:tc>
          <w:tcPr>
            <w:tcW w:w="9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Gordon Ringold, Ph.D.</w:t>
            </w: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Richard Rodgers</w:t>
            </w:r>
          </w:p>
        </w:tc>
        <w:tc>
          <w:tcPr>
            <w:tcW w:w="980" w:type="dxa"/>
            <w:vAlign w:val="bottom"/>
          </w:tcPr>
          <w:p>
            <w:pPr>
              <w:jc w:val="right"/>
              <w:spacing w:after="0"/>
              <w:rPr>
                <w:sz w:val="20"/>
                <w:szCs w:val="20"/>
                <w:color w:val="auto"/>
              </w:rPr>
            </w:pPr>
            <w:r>
              <w:rPr>
                <w:rFonts w:ascii="Arial" w:cs="Arial" w:eastAsia="Arial" w:hAnsi="Arial"/>
                <w:sz w:val="18"/>
                <w:szCs w:val="18"/>
                <w:color w:val="auto"/>
              </w:rPr>
              <w:t>67,500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-822325</wp:posOffset>
            </wp:positionV>
            <wp:extent cx="45262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26280" cy="13716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-548005</wp:posOffset>
            </wp:positionV>
            <wp:extent cx="45262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26280" cy="13716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-273685</wp:posOffset>
            </wp:positionV>
            <wp:extent cx="45262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2628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340"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124"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340"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94,485</w:t>
            </w:r>
          </w:p>
        </w:tc>
        <w:tc>
          <w:tcPr>
            <w:tcW w:w="160" w:type="dxa"/>
            <w:vAlign w:val="bottom"/>
          </w:tcPr>
          <w:p>
            <w:pPr>
              <w:spacing w:after="0"/>
              <w:rPr>
                <w:sz w:val="16"/>
                <w:szCs w:val="16"/>
                <w:color w:val="auto"/>
              </w:rPr>
            </w:pPr>
          </w:p>
        </w:tc>
        <w:tc>
          <w:tcPr>
            <w:tcW w:w="1120" w:type="dxa"/>
            <w:vAlign w:val="bottom"/>
            <w:tcBorders>
              <w:top w:val="single" w:sz="8" w:color="auto"/>
            </w:tcBorders>
          </w:tcPr>
          <w:p>
            <w:pPr>
              <w:ind w:left="90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141,985</w:t>
            </w:r>
          </w:p>
        </w:tc>
      </w:tr>
      <w:tr>
        <w:trPr>
          <w:trHeight w:val="216"/>
        </w:trPr>
        <w:tc>
          <w:tcPr>
            <w:tcW w:w="1060" w:type="dxa"/>
            <w:vAlign w:val="bottom"/>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144,485</w:t>
            </w:r>
          </w:p>
        </w:tc>
      </w:tr>
      <w:tr>
        <w:trPr>
          <w:trHeight w:val="216"/>
        </w:trPr>
        <w:tc>
          <w:tcPr>
            <w:tcW w:w="1060" w:type="dxa"/>
            <w:vAlign w:val="bottom"/>
          </w:tcPr>
          <w:p>
            <w:pPr>
              <w:jc w:val="right"/>
              <w:spacing w:after="0"/>
              <w:rPr>
                <w:sz w:val="20"/>
                <w:szCs w:val="20"/>
                <w:color w:val="auto"/>
              </w:rPr>
            </w:pPr>
            <w:r>
              <w:rPr>
                <w:rFonts w:ascii="Arial" w:cs="Arial" w:eastAsia="Arial" w:hAnsi="Arial"/>
                <w:sz w:val="18"/>
                <w:szCs w:val="18"/>
                <w:color w:val="auto"/>
              </w:rPr>
              <w:t>175,508</w:t>
            </w:r>
          </w:p>
        </w:tc>
        <w:tc>
          <w:tcPr>
            <w:tcW w:w="16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230,508</w:t>
            </w:r>
          </w:p>
        </w:tc>
      </w:tr>
      <w:tr>
        <w:trPr>
          <w:trHeight w:val="216"/>
        </w:trPr>
        <w:tc>
          <w:tcPr>
            <w:tcW w:w="1060" w:type="dxa"/>
            <w:vAlign w:val="bottom"/>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149,485</w:t>
            </w:r>
          </w:p>
        </w:tc>
      </w:tr>
      <w:tr>
        <w:trPr>
          <w:trHeight w:val="216"/>
        </w:trPr>
        <w:tc>
          <w:tcPr>
            <w:tcW w:w="1060" w:type="dxa"/>
            <w:vAlign w:val="bottom"/>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141,985</w:t>
            </w:r>
          </w:p>
        </w:tc>
      </w:tr>
      <w:tr>
        <w:trPr>
          <w:trHeight w:val="216"/>
        </w:trPr>
        <w:tc>
          <w:tcPr>
            <w:tcW w:w="1060" w:type="dxa"/>
            <w:vAlign w:val="bottom"/>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184,485</w:t>
            </w:r>
          </w:p>
        </w:tc>
      </w:tr>
      <w:tr>
        <w:trPr>
          <w:trHeight w:val="216"/>
        </w:trPr>
        <w:tc>
          <w:tcPr>
            <w:tcW w:w="1060" w:type="dxa"/>
            <w:vAlign w:val="bottom"/>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144,485</w:t>
            </w:r>
          </w:p>
        </w:tc>
      </w:tr>
      <w:tr>
        <w:trPr>
          <w:trHeight w:val="230"/>
        </w:trPr>
        <w:tc>
          <w:tcPr>
            <w:tcW w:w="1060" w:type="dxa"/>
            <w:vAlign w:val="bottom"/>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161,985</w:t>
            </w:r>
          </w:p>
        </w:tc>
      </w:tr>
    </w:tbl>
    <w:p>
      <w:pPr>
        <w:spacing w:after="0" w:line="200" w:lineRule="exact"/>
        <w:rPr>
          <w:sz w:val="20"/>
          <w:szCs w:val="20"/>
          <w:color w:val="auto"/>
        </w:rPr>
      </w:pPr>
    </w:p>
    <w:p>
      <w:pPr>
        <w:sectPr>
          <w:pgSz w:w="11900" w:h="16838" w:orient="portrait"/>
          <w:cols w:equalWidth="0" w:num="3">
            <w:col w:w="4560" w:space="40"/>
            <w:col w:w="100" w:space="60"/>
            <w:col w:w="4259"/>
          </w:cols>
          <w:pgMar w:left="1440" w:top="125" w:right="1440" w:bottom="1440" w:gutter="0" w:footer="0" w:header="0"/>
          <w:type w:val="continuous"/>
        </w:sectPr>
      </w:pPr>
    </w:p>
    <w:p>
      <w:pPr>
        <w:spacing w:after="0" w:line="15" w:lineRule="exact"/>
        <w:rPr>
          <w:sz w:val="20"/>
          <w:szCs w:val="20"/>
          <w:color w:val="auto"/>
        </w:rPr>
      </w:pPr>
    </w:p>
    <w:p>
      <w:pPr>
        <w:ind w:left="360" w:right="119" w:hanging="316"/>
        <w:spacing w:after="0" w:line="291"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the non-employee members of our board of directors during 2019 as computed in accordance with ASC 718. The assumptions used in calculating the grant date fair value of the stock option reported in the Option Awards column are set forth in Note 8 to the audited financial statements included in our Annual Report on Form 10 - K filed on March 6, 2020.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w:t>
      </w:r>
    </w:p>
    <w:p>
      <w:pPr>
        <w:spacing w:after="0" w:line="166" w:lineRule="exact"/>
        <w:rPr>
          <w:rFonts w:ascii="Arial" w:cs="Arial" w:eastAsia="Arial" w:hAnsi="Arial"/>
          <w:sz w:val="16"/>
          <w:szCs w:val="16"/>
          <w:color w:val="auto"/>
        </w:rPr>
      </w:pPr>
    </w:p>
    <w:p>
      <w:pPr>
        <w:ind w:left="360" w:right="99" w:hanging="316"/>
        <w:spacing w:after="0" w:line="291"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the Director Compensation Program, each of Drs. Lundberg and Jenkins and Messrs. Bertrand, Mott and Rodgers elected to receive a stock award in lieu of their respective 2019 annual cash retainers. The fully vested stock awards consisted of 17,335, 20,072, 18,248, 32,846 and 24,635 shares of our common stock for Drs. Lundberg and Jenkins and Messrs. Bertrand, Mott, and Rodgers, respectively. The number of shares of our common stock issued was calculated by dividing the annual retainer otherwise payable in cash at the 2019 Annual Meeting of Stockholders as reported in this column by $2.74, which was the closing trading price of our common stock on the date of the 2019 Annual Meeting of Stockholders, rounded down to the nearest whole share.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 Dr. Jenkins stepped down from our board of directors in March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December 31, 2019, each of our non-employee directors held the following outstanding options:</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Shares Subject to</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Bazemore</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William Bertrand, Jr.</w:t>
            </w:r>
          </w:p>
        </w:tc>
        <w:tc>
          <w:tcPr>
            <w:tcW w:w="132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A. Block, M.D.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Annalisa Jenkins, MBBS, FRCP</w:t>
            </w:r>
          </w:p>
        </w:tc>
        <w:tc>
          <w:tcPr>
            <w:tcW w:w="132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Lundberg, Ph.D.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David Mott</w:t>
            </w:r>
          </w:p>
        </w:tc>
        <w:tc>
          <w:tcPr>
            <w:tcW w:w="1320" w:type="dxa"/>
            <w:vAlign w:val="bottom"/>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Ringold, Ph.D.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Richard Rodgers</w:t>
            </w:r>
          </w:p>
        </w:tc>
        <w:tc>
          <w:tcPr>
            <w:tcW w:w="1320" w:type="dxa"/>
            <w:vAlign w:val="bottom"/>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Because Ms. Cadoret-Manier was appointed to our board of directors in March 2020, and did not hold outstanding options as of December 31, 2019, she is omitted from the table above.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sets forth information regarding our executive officers as of March 31, 2020.</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4"/>
                <w:szCs w:val="14"/>
                <w:color w:val="auto"/>
              </w:rPr>
            </w:pPr>
          </w:p>
        </w:tc>
        <w:tc>
          <w:tcPr>
            <w:tcW w:w="4820" w:type="dxa"/>
            <w:vAlign w:val="bottom"/>
          </w:tcPr>
          <w:p>
            <w:pPr>
              <w:ind w:left="208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Raab</w:t>
            </w:r>
          </w:p>
        </w:tc>
        <w:tc>
          <w:tcPr>
            <w:tcW w:w="2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55</w:t>
            </w:r>
          </w:p>
        </w:tc>
        <w:tc>
          <w:tcPr>
            <w:tcW w:w="18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Keith Santorelli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Acting Principal Financial and Accounting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Elizabeth Grammer, Esq.</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Chief Legal and Administrative Officer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David Rosenbaum, Ph.D.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Chief Development Officer</w:t>
            </w:r>
          </w:p>
        </w:tc>
      </w:tr>
    </w:tbl>
    <w:p>
      <w:pPr>
        <w:spacing w:after="0" w:line="20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The following biographical information is furnished with regard to our executive officers (except for Mr. Raab, whose biographical information appears above under “Class II Directors”) as of March 31, 2020:</w:t>
      </w:r>
    </w:p>
    <w:p>
      <w:pPr>
        <w:spacing w:after="0" w:line="166" w:lineRule="exact"/>
        <w:rPr>
          <w:sz w:val="20"/>
          <w:szCs w:val="20"/>
          <w:color w:val="auto"/>
        </w:rPr>
      </w:pPr>
    </w:p>
    <w:p>
      <w:pPr>
        <w:ind w:left="40" w:right="159"/>
        <w:spacing w:after="0" w:line="285" w:lineRule="auto"/>
        <w:rPr>
          <w:sz w:val="20"/>
          <w:szCs w:val="20"/>
          <w:color w:val="auto"/>
        </w:rPr>
      </w:pPr>
      <w:r>
        <w:rPr>
          <w:rFonts w:ascii="Arial" w:cs="Arial" w:eastAsia="Arial" w:hAnsi="Arial"/>
          <w:sz w:val="16"/>
          <w:szCs w:val="16"/>
          <w:b w:val="1"/>
          <w:bCs w:val="1"/>
          <w:color w:val="auto"/>
        </w:rPr>
        <w:t xml:space="preserve">Keith Santorelli </w:t>
      </w:r>
      <w:r>
        <w:rPr>
          <w:rFonts w:ascii="Arial" w:cs="Arial" w:eastAsia="Arial" w:hAnsi="Arial"/>
          <w:sz w:val="16"/>
          <w:szCs w:val="16"/>
          <w:color w:val="auto"/>
        </w:rPr>
        <w:t>has served as our acting principal financial and accounting officer since March 2020. Mr. Santorelli is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Public Accountant with over 25 years of finance and accounting experience. Mr. Santorelli is President and Lead Consultant at Thomas Advisory Partners, LLC, a consultancy. Prior to joining the Company on an interim contract basis, Mr. Santorelli served as chief accounting officer and chief financial officer and/or held executive-level finance roles at various privately held and publicly traded companies, including most recently at Dicerna Pharmaceuticals, Inc., where Mr. Santorelli served as Vice President, Finance and Corporate Controller from November 2016 to May 2018.</w:t>
      </w:r>
    </w:p>
    <w:p>
      <w:pPr>
        <w:spacing w:after="0" w:line="3" w:lineRule="exact"/>
        <w:rPr>
          <w:sz w:val="20"/>
          <w:szCs w:val="20"/>
          <w:color w:val="auto"/>
        </w:rPr>
      </w:pPr>
    </w:p>
    <w:p>
      <w:pPr>
        <w:ind w:left="40" w:right="139"/>
        <w:spacing w:after="0" w:line="260" w:lineRule="auto"/>
        <w:rPr>
          <w:sz w:val="20"/>
          <w:szCs w:val="20"/>
          <w:color w:val="auto"/>
        </w:rPr>
      </w:pPr>
      <w:r>
        <w:rPr>
          <w:rFonts w:ascii="Arial" w:cs="Arial" w:eastAsia="Arial" w:hAnsi="Arial"/>
          <w:sz w:val="18"/>
          <w:szCs w:val="18"/>
          <w:color w:val="auto"/>
        </w:rPr>
        <w:t>Mr. Santorelli holds a Bachelor’s degree in Accountancy from the University of Massachusetts, as well as a Master of Arts degree from McGill University.</w:t>
      </w:r>
    </w:p>
    <w:p>
      <w:pPr>
        <w:spacing w:after="0" w:line="181"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b w:val="1"/>
          <w:bCs w:val="1"/>
          <w:color w:val="auto"/>
        </w:rPr>
        <w:t xml:space="preserve">Elizabeth Grammer, Esq., </w:t>
      </w:r>
      <w:r>
        <w:rPr>
          <w:rFonts w:ascii="Arial" w:cs="Arial" w:eastAsia="Arial" w:hAnsi="Arial"/>
          <w:sz w:val="16"/>
          <w:szCs w:val="16"/>
          <w:color w:val="auto"/>
        </w:rPr>
        <w:t>has served as our Chief Legal and Administrative Officer since January 2020, and formerly as</w:t>
      </w:r>
      <w:r>
        <w:rPr>
          <w:rFonts w:ascii="Arial" w:cs="Arial" w:eastAsia="Arial" w:hAnsi="Arial"/>
          <w:sz w:val="16"/>
          <w:szCs w:val="16"/>
          <w:b w:val="1"/>
          <w:bCs w:val="1"/>
          <w:color w:val="auto"/>
        </w:rPr>
        <w:t xml:space="preserve"> </w:t>
      </w:r>
      <w:r>
        <w:rPr>
          <w:rFonts w:ascii="Arial" w:cs="Arial" w:eastAsia="Arial" w:hAnsi="Arial"/>
          <w:sz w:val="16"/>
          <w:szCs w:val="16"/>
          <w:color w:val="auto"/>
        </w:rPr>
        <w:t>our General Counsel since May 2014, and as our vice president responsible for legal affairs from December 2012 until May 2014. From 2006 to December 2012, Ms. Grammer served as an independent outside corporate counsel for public and private biotechnology companies, including Ardelyx from January 2010 until December 2012. From 2001 to 2006,</w:t>
      </w:r>
    </w:p>
    <w:p>
      <w:pPr>
        <w:spacing w:after="0" w:line="2" w:lineRule="exact"/>
        <w:rPr>
          <w:sz w:val="20"/>
          <w:szCs w:val="20"/>
          <w:color w:val="auto"/>
        </w:rPr>
      </w:pPr>
    </w:p>
    <w:p>
      <w:pPr>
        <w:ind w:left="40" w:right="119"/>
        <w:spacing w:after="0" w:line="302" w:lineRule="auto"/>
        <w:rPr>
          <w:sz w:val="20"/>
          <w:szCs w:val="20"/>
          <w:color w:val="auto"/>
        </w:rPr>
      </w:pPr>
      <w:r>
        <w:rPr>
          <w:rFonts w:ascii="Arial" w:cs="Arial" w:eastAsia="Arial" w:hAnsi="Arial"/>
          <w:sz w:val="16"/>
          <w:szCs w:val="16"/>
          <w:color w:val="auto"/>
        </w:rPr>
        <w:t>Ms. Grammer served as Vice President and General Counsel of Trine Pharmaceuticals, Inc., a biopharmaceutical company. In addition, Ms. Grammer previously served as independent outside corporate counsel to GelTex Pharmaceuticals, a biopharmaceutical company. Ms. Grammer received a B.A. from Boston University and a J.D. from Stanford Law School.</w:t>
      </w:r>
    </w:p>
    <w:p>
      <w:pPr>
        <w:spacing w:after="0" w:line="151"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color w:val="auto"/>
        </w:rPr>
        <w:t xml:space="preserve">David Rosenbaum, Ph.D., </w:t>
      </w:r>
      <w:r>
        <w:rPr>
          <w:rFonts w:ascii="Arial" w:cs="Arial" w:eastAsia="Arial" w:hAnsi="Arial"/>
          <w:sz w:val="18"/>
          <w:szCs w:val="18"/>
          <w:color w:val="auto"/>
        </w:rPr>
        <w:t>has served as our Chief Development Officer since January 2017 and formerly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responsible for drug development from January 2010 to January 2017. From 2003 to 2008, 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or NEOs. As a “smaller reporting company” as defined in Item 10(f), we are not required to include a Compensation Discussion and Analysis section and have elected to comply with the scaled disclosure requirements applicable to smaller reporting companies.</w:t>
      </w:r>
    </w:p>
    <w:p>
      <w:pPr>
        <w:spacing w:after="0" w:line="187"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NEOs for fiscal year 2019 were as follows:</w:t>
      </w:r>
    </w:p>
    <w:p>
      <w:pPr>
        <w:spacing w:after="0" w:line="225" w:lineRule="exact"/>
        <w:rPr>
          <w:sz w:val="20"/>
          <w:szCs w:val="20"/>
          <w:color w:val="auto"/>
        </w:rPr>
      </w:pP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Michael Raab, President and Chief Executive Officer;</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David Rosenbaum, Ph.D., Chief Development Officer; and</w:t>
      </w:r>
    </w:p>
    <w:p>
      <w:pPr>
        <w:spacing w:after="0" w:line="225" w:lineRule="exact"/>
        <w:rPr>
          <w:rFonts w:ascii="Arial" w:cs="Arial" w:eastAsia="Arial" w:hAnsi="Arial"/>
          <w:sz w:val="18"/>
          <w:szCs w:val="18"/>
          <w:color w:val="auto"/>
        </w:rPr>
      </w:pPr>
    </w:p>
    <w:p>
      <w:pPr>
        <w:ind w:left="820" w:hanging="31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Elizabeth Grammer, Esq., Chief Legal and Administrative Officer.</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2019 Summary Compensation Table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NEOs for services performed in the year ended December 31,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(1)</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 </w:t>
            </w:r>
            <w:r>
              <w:rPr>
                <w:rFonts w:ascii="Arial" w:cs="Arial" w:eastAsia="Arial" w:hAnsi="Arial"/>
                <w:sz w:val="14"/>
                <w:szCs w:val="14"/>
                <w:b w:val="1"/>
                <w:bCs w:val="1"/>
                <w:color w:val="auto"/>
                <w:w w:val="92"/>
                <w:vertAlign w:val="superscript"/>
              </w:rPr>
              <w:t>(1)</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(2)</w:t>
            </w:r>
          </w:p>
        </w:tc>
        <w:tc>
          <w:tcPr>
            <w:tcW w:w="14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595,000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740,922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1,728,922</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&amp; Chief Executive Officer</w:t>
            </w:r>
          </w:p>
        </w:tc>
        <w:tc>
          <w:tcPr>
            <w:tcW w:w="5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575,000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2,541,683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205,563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4,182,246</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David Rosenbaum, Ph.D.</w:t>
            </w:r>
          </w:p>
        </w:tc>
        <w:tc>
          <w:tcPr>
            <w:tcW w:w="56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89"/>
              </w:rPr>
              <w:t>428,250</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195,408</w:t>
            </w:r>
          </w:p>
        </w:tc>
        <w:tc>
          <w:tcPr>
            <w:tcW w:w="1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189,000</w:t>
            </w:r>
          </w:p>
        </w:tc>
        <w:tc>
          <w:tcPr>
            <w:tcW w:w="1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812,658</w:t>
            </w:r>
          </w:p>
        </w:tc>
        <w:tc>
          <w:tcPr>
            <w:tcW w:w="0" w:type="dxa"/>
            <w:vAlign w:val="bottom"/>
          </w:tcPr>
          <w:p>
            <w:pPr>
              <w:spacing w:after="0"/>
              <w:rPr>
                <w:sz w:val="1"/>
                <w:szCs w:val="1"/>
                <w:color w:val="auto"/>
              </w:rPr>
            </w:pPr>
          </w:p>
        </w:tc>
      </w:tr>
      <w:tr>
        <w:trPr>
          <w:trHeight w:val="230"/>
        </w:trPr>
        <w:tc>
          <w:tcPr>
            <w:tcW w:w="3540" w:type="dxa"/>
            <w:vAlign w:val="bottom"/>
            <w:gridSpan w:val="2"/>
          </w:tcPr>
          <w:p>
            <w:pPr>
              <w:ind w:left="340"/>
              <w:spacing w:after="0"/>
              <w:rPr>
                <w:sz w:val="20"/>
                <w:szCs w:val="20"/>
                <w:color w:val="auto"/>
              </w:rPr>
            </w:pPr>
            <w:r>
              <w:rPr>
                <w:rFonts w:ascii="Arial" w:cs="Arial" w:eastAsia="Arial" w:hAnsi="Arial"/>
                <w:sz w:val="18"/>
                <w:szCs w:val="18"/>
                <w:i w:val="1"/>
                <w:iCs w:val="1"/>
                <w:color w:val="auto"/>
              </w:rPr>
              <w:t>Chief Development Officer</w:t>
            </w:r>
          </w:p>
        </w:tc>
        <w:tc>
          <w:tcPr>
            <w:tcW w:w="5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414,000</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430,000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760,156</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107,640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1,711,796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Grammer, Esq.</w:t>
            </w:r>
          </w:p>
        </w:tc>
        <w:tc>
          <w:tcPr>
            <w:tcW w:w="5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414,000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791,408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Chief Legal and Administrative Officer</w:t>
            </w:r>
          </w:p>
        </w:tc>
        <w:tc>
          <w:tcPr>
            <w:tcW w:w="5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1,694,156</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59" w:hanging="316"/>
        <w:spacing w:after="0" w:line="218" w:lineRule="exact"/>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reported in the Stock Awards and Option Awards columns represent the grant date fair value of the restricted stock units and stock options granted to our NEOs as computed in accordance with ASC 718. The assumptions used in calculating the grant date fair value of the restricted stock units and stock options reported in the Stock Awards and Option Awards columns are set forth in Note 8 to the audited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6, 2020. The amounts reported in this column exclude the impact of forfeitures related to service-based vesting conditions. For the restricted stock units granted in 2018 that are subject to performance conditions, the value is based on the probable outcome of such performance conditions and also equals the value of the award at the grant date assuming the highest level of achievement of performance conditions.</w:t>
      </w:r>
    </w:p>
    <w:p>
      <w:pPr>
        <w:ind w:left="360" w:right="699"/>
        <w:spacing w:after="0" w:line="323" w:lineRule="auto"/>
        <w:rPr>
          <w:rFonts w:ascii="Arial" w:cs="Arial" w:eastAsia="Arial" w:hAnsi="Arial"/>
          <w:sz w:val="16"/>
          <w:szCs w:val="16"/>
          <w:color w:val="auto"/>
        </w:rPr>
      </w:pPr>
      <w:r>
        <w:rPr>
          <w:rFonts w:ascii="Arial" w:cs="Arial" w:eastAsia="Arial" w:hAnsi="Arial"/>
          <w:sz w:val="16"/>
          <w:szCs w:val="16"/>
          <w:color w:val="auto"/>
        </w:rPr>
        <w:t>Note that the amounts reported in these columns reflect the accounting cost for these equity awards and do not correspond to the actual economic value that may be received by the NEOs from the equity awards.</w:t>
      </w:r>
    </w:p>
    <w:p>
      <w:pPr>
        <w:spacing w:after="0" w:line="138" w:lineRule="exact"/>
        <w:rPr>
          <w:rFonts w:ascii="Arial" w:cs="Arial" w:eastAsia="Arial" w:hAnsi="Arial"/>
          <w:sz w:val="16"/>
          <w:szCs w:val="16"/>
          <w:color w:val="auto"/>
        </w:rPr>
      </w:pPr>
    </w:p>
    <w:p>
      <w:pPr>
        <w:ind w:left="360" w:right="99" w:hanging="316"/>
        <w:spacing w:after="0" w:line="257"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reported in the Non-Equity Incentive Plan Compensation column represent the annual cash performance-based bonuses earned by our NEOs pursuant to the achievement of certain company and individual performance objectives. Please see the description of the annual performance bonuses paid to our NEOs in “— Narrative to 2019 Summary Compensation Table and Outstanding Equity Awards at 2019 Fiscal Year-End — Terms and Conditions of Annual Bonuses”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229"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and unvested restricted stock units for each of the NEOs outstanding as of December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375"/>
              <w:spacing w:after="0"/>
              <w:rPr>
                <w:sz w:val="20"/>
                <w:szCs w:val="20"/>
                <w:color w:val="auto"/>
              </w:rPr>
            </w:pPr>
            <w:r>
              <w:rPr>
                <w:rFonts w:ascii="Arial" w:cs="Arial" w:eastAsia="Arial" w:hAnsi="Arial"/>
                <w:sz w:val="14"/>
                <w:szCs w:val="14"/>
                <w:b w:val="1"/>
                <w:bCs w:val="1"/>
                <w:color w:val="auto"/>
                <w:w w:val="90"/>
              </w:rPr>
              <w:t>Vesting</w:t>
            </w:r>
          </w:p>
        </w:tc>
        <w:tc>
          <w:tcPr>
            <w:tcW w:w="11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860" w:type="dxa"/>
            <w:vAlign w:val="bottom"/>
            <w:gridSpan w:val="2"/>
          </w:tcPr>
          <w:p>
            <w:pPr>
              <w:jc w:val="center"/>
              <w:ind w:left="83"/>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160" w:type="dxa"/>
            <w:vAlign w:val="bottom"/>
            <w:gridSpan w:val="3"/>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3"/>
              </w:rPr>
              <w:t>(#)</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Expiration</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 as</w:t>
            </w: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55"/>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Exercisable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Unexercisable</w:t>
            </w:r>
          </w:p>
        </w:tc>
        <w:tc>
          <w:tcPr>
            <w:tcW w:w="68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860" w:type="dxa"/>
            <w:vAlign w:val="bottom"/>
            <w:gridSpan w:val="2"/>
          </w:tcPr>
          <w:p>
            <w:pPr>
              <w:jc w:val="center"/>
              <w:ind w:left="63"/>
              <w:spacing w:after="0"/>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(4)</w:t>
            </w:r>
          </w:p>
        </w:tc>
        <w:tc>
          <w:tcPr>
            <w:tcW w:w="0" w:type="dxa"/>
            <w:vAlign w:val="bottom"/>
          </w:tcPr>
          <w:p>
            <w:pPr>
              <w:spacing w:after="0"/>
              <w:rPr>
                <w:sz w:val="1"/>
                <w:szCs w:val="1"/>
                <w:color w:val="auto"/>
              </w:rPr>
            </w:pPr>
          </w:p>
        </w:tc>
      </w:tr>
      <w:tr>
        <w:trPr>
          <w:trHeight w:val="196"/>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Michael Raab</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9/15/2010</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10/26/2020</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8/1/2011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267,892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8/11/2021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1/6/2015</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1/6/2025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1/15/2016</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294,981</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1/15/2026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1/19/2017</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231,977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86,164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1/19/2027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8/9/2017</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79,535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8/9/2027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9"/>
        </w:trPr>
        <w:tc>
          <w:tcPr>
            <w:tcW w:w="1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1/16/2018</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187,041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203,307</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1/16/2028</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7/26/2018</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7/26/2028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7/26/2018</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1,501,000</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1/17/2019</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104,270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350,730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1/17/2029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Arial" w:cs="Arial" w:eastAsia="Arial" w:hAnsi="Arial"/>
                <w:sz w:val="16"/>
                <w:szCs w:val="16"/>
                <w:color w:val="auto"/>
              </w:rPr>
              <w:t>David Rosenbaum, Ph.D.</w:t>
            </w: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1/6/2015</w:t>
            </w:r>
          </w:p>
        </w:tc>
        <w:tc>
          <w:tcPr>
            <w:tcW w:w="160" w:type="dxa"/>
            <w:vAlign w:val="bottom"/>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12,620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1/6/2025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1/15/2016 </w:t>
            </w:r>
            <w:r>
              <w:rPr>
                <w:rFonts w:ascii="Arial" w:cs="Arial" w:eastAsia="Arial" w:hAnsi="Arial"/>
                <w:sz w:val="8"/>
                <w:szCs w:val="8"/>
                <w:color w:val="auto"/>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88,494</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1,883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10.55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1/15/2026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40" w:type="dxa"/>
            <w:vAlign w:val="bottom"/>
          </w:tcPr>
          <w:p>
            <w:pPr>
              <w:spacing w:after="0"/>
              <w:rPr>
                <w:sz w:val="17"/>
                <w:szCs w:val="17"/>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1/19/2017 </w:t>
            </w:r>
            <w:r>
              <w:rPr>
                <w:rFonts w:ascii="Arial" w:cs="Arial" w:eastAsia="Arial" w:hAnsi="Arial"/>
                <w:sz w:val="8"/>
                <w:szCs w:val="8"/>
                <w:color w:val="auto"/>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77,325</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28,722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1/19/2027</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1840" w:type="dxa"/>
            <w:vAlign w:val="bottom"/>
          </w:tcPr>
          <w:p>
            <w:pPr>
              <w:spacing w:after="0"/>
              <w:rPr>
                <w:sz w:val="24"/>
                <w:szCs w:val="24"/>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8/9/2017 </w:t>
            </w:r>
            <w:r>
              <w:rPr>
                <w:rFonts w:ascii="Arial" w:cs="Arial" w:eastAsia="Arial" w:hAnsi="Arial"/>
                <w:sz w:val="8"/>
                <w:szCs w:val="8"/>
                <w:color w:val="auto"/>
              </w:rPr>
              <w:t>(2)</w:t>
            </w:r>
          </w:p>
        </w:tc>
        <w:tc>
          <w:tcPr>
            <w:tcW w:w="1120" w:type="dxa"/>
            <w:vAlign w:val="bottom"/>
          </w:tcPr>
          <w:p>
            <w:pPr>
              <w:jc w:val="right"/>
              <w:spacing w:after="0"/>
              <w:rPr>
                <w:sz w:val="20"/>
                <w:szCs w:val="20"/>
                <w:color w:val="auto"/>
              </w:rPr>
            </w:pPr>
            <w:r>
              <w:rPr>
                <w:rFonts w:ascii="Arial" w:cs="Arial" w:eastAsia="Arial" w:hAnsi="Arial"/>
                <w:sz w:val="16"/>
                <w:szCs w:val="16"/>
                <w:color w:val="auto"/>
              </w:rPr>
              <w:t>26,512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8/9/2027</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1"/>
        </w:trPr>
        <w:tc>
          <w:tcPr>
            <w:tcW w:w="1840" w:type="dxa"/>
            <w:vAlign w:val="bottom"/>
          </w:tcPr>
          <w:p>
            <w:pPr>
              <w:spacing w:after="0"/>
              <w:rPr>
                <w:sz w:val="24"/>
                <w:szCs w:val="24"/>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1/16/2018 </w:t>
            </w:r>
            <w:r>
              <w:rPr>
                <w:rFonts w:ascii="Arial" w:cs="Arial" w:eastAsia="Arial" w:hAnsi="Arial"/>
                <w:sz w:val="8"/>
                <w:szCs w:val="8"/>
                <w:color w:val="auto"/>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56,112</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60,992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7.10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1/16/2028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7/26/2018 </w:t>
            </w:r>
            <w:r>
              <w:rPr>
                <w:rFonts w:ascii="Arial" w:cs="Arial" w:eastAsia="Arial" w:hAnsi="Arial"/>
                <w:sz w:val="8"/>
                <w:szCs w:val="8"/>
                <w:color w:val="auto"/>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19,383</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35,347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4.30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7/26/2028</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7/26/2018 </w:t>
            </w:r>
            <w:r>
              <w:rPr>
                <w:rFonts w:ascii="Arial" w:cs="Arial" w:eastAsia="Arial" w:hAnsi="Arial"/>
                <w:sz w:val="8"/>
                <w:szCs w:val="8"/>
                <w:color w:val="auto"/>
              </w:rPr>
              <w:t>(3)</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750,500</w:t>
            </w:r>
          </w:p>
        </w:tc>
        <w:tc>
          <w:tcPr>
            <w:tcW w:w="0" w:type="dxa"/>
            <w:vAlign w:val="bottom"/>
          </w:tcPr>
          <w:p>
            <w:pPr>
              <w:spacing w:after="0"/>
              <w:rPr>
                <w:sz w:val="1"/>
                <w:szCs w:val="1"/>
                <w:color w:val="auto"/>
              </w:rPr>
            </w:pPr>
          </w:p>
        </w:tc>
      </w:tr>
      <w:tr>
        <w:trPr>
          <w:trHeight w:val="206"/>
        </w:trPr>
        <w:tc>
          <w:tcPr>
            <w:tcW w:w="1840" w:type="dxa"/>
            <w:vAlign w:val="bottom"/>
          </w:tcPr>
          <w:p>
            <w:pPr>
              <w:spacing w:after="0"/>
              <w:rPr>
                <w:sz w:val="17"/>
                <w:szCs w:val="17"/>
                <w:color w:val="auto"/>
              </w:rPr>
            </w:pPr>
          </w:p>
        </w:tc>
        <w:tc>
          <w:tcPr>
            <w:tcW w:w="1320" w:type="dxa"/>
            <w:vAlign w:val="bottom"/>
            <w:gridSpan w:val="4"/>
          </w:tcPr>
          <w:p>
            <w:pPr>
              <w:jc w:val="right"/>
              <w:ind w:right="15"/>
              <w:spacing w:after="0"/>
              <w:rPr>
                <w:sz w:val="20"/>
                <w:szCs w:val="20"/>
                <w:color w:val="auto"/>
              </w:rPr>
            </w:pPr>
            <w:r>
              <w:rPr>
                <w:rFonts w:ascii="Arial" w:cs="Arial" w:eastAsia="Arial" w:hAnsi="Arial"/>
                <w:sz w:val="16"/>
                <w:szCs w:val="16"/>
                <w:color w:val="auto"/>
              </w:rPr>
              <w:t xml:space="preserve">1/17/2019 </w:t>
            </w:r>
            <w:r>
              <w:rPr>
                <w:rFonts w:ascii="Arial" w:cs="Arial" w:eastAsia="Arial" w:hAnsi="Arial"/>
                <w:sz w:val="8"/>
                <w:szCs w:val="8"/>
                <w:color w:val="auto"/>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27,500</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92,500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1/17/2029</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Elizabeth Grammer, Esq.</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11/11/2012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11/11/2022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12/6/2012</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12/6/2022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1/6/2015</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1/6/2025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1/15/2016</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100,561</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1/15/2026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1/19/2017</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57,994</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21,541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1/19/2027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9"/>
        </w:trPr>
        <w:tc>
          <w:tcPr>
            <w:tcW w:w="1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8/9/2017</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19,884</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8/9/2027</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1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1/16/2018</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56,112</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60,992</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1/16/2028</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7/26/2018</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35,347</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7/26/2028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7/26/2018</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750,500</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1/17/2019</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1/17/2029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39" w:hanging="316"/>
        <w:spacing w:after="0" w:line="308"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option vests and becomes exercisable in substantially equal monthly installments over four years from the vesting commencement date, subject to the holder continuing to provide services to us through each such date.</w:t>
      </w:r>
    </w:p>
    <w:p>
      <w:pPr>
        <w:spacing w:after="0" w:line="146" w:lineRule="exact"/>
        <w:rPr>
          <w:rFonts w:ascii="Arial" w:cs="Arial" w:eastAsia="Arial" w:hAnsi="Arial"/>
          <w:sz w:val="17"/>
          <w:szCs w:val="17"/>
          <w:color w:val="auto"/>
        </w:rPr>
      </w:pPr>
    </w:p>
    <w:p>
      <w:pPr>
        <w:ind w:left="360" w:right="59" w:hanging="316"/>
        <w:spacing w:after="0" w:line="263"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option vested as to two-thirds of the shares subject to the equity award on December 31, 2018 and the remaining one-third of the shares subject to the option vested on June 1, 2019, subject to the holder continuing to provide services to us through each such date.</w:t>
      </w:r>
    </w:p>
    <w:p>
      <w:pPr>
        <w:spacing w:after="0" w:line="183" w:lineRule="exact"/>
        <w:rPr>
          <w:rFonts w:ascii="Arial" w:cs="Arial" w:eastAsia="Arial" w:hAnsi="Arial"/>
          <w:sz w:val="18"/>
          <w:szCs w:val="18"/>
          <w:color w:val="auto"/>
        </w:rPr>
      </w:pPr>
    </w:p>
    <w:p>
      <w:pPr>
        <w:ind w:left="360" w:right="219" w:hanging="316"/>
        <w:spacing w:after="0" w:line="286"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restricted stock units vest in full upon the acceptance for filing by the U.S. Food and Drug Administration of our new drug application for tenapanor for the treatment of hyperphosphatemia, which must occur on or before December 31, 2020, subject to the holder continuing to provide services to us through the vesting date.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right="339" w:hanging="316"/>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value of shares or units of shares that have not vested is calculated based on the closing trading price of our common stock as of December 31, 2019, which was $7.505.</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Narrative to 2019 Summary Compensation Table and Outstanding Equity Awards at 2019 Fiscal Year End</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Terms and Conditions of Employment Arrangements with our NEOs</w:t>
      </w:r>
    </w:p>
    <w:p>
      <w:pPr>
        <w:spacing w:after="0" w:line="225"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We have entered into agreements with each of the NEOs in connection with his or her employment with us. These agreements set forth the terms and conditions of employment of each named executive officer, including base salary, initial equity award grants, and standard employee benefit plan participation.</w:t>
      </w:r>
    </w:p>
    <w:p>
      <w:pPr>
        <w:spacing w:after="0" w:line="184" w:lineRule="exact"/>
        <w:rPr>
          <w:sz w:val="20"/>
          <w:szCs w:val="20"/>
          <w:color w:val="auto"/>
        </w:rPr>
      </w:pPr>
    </w:p>
    <w:p>
      <w:pPr>
        <w:ind w:left="40" w:right="279"/>
        <w:spacing w:after="0" w:line="273" w:lineRule="auto"/>
        <w:rPr>
          <w:sz w:val="20"/>
          <w:szCs w:val="20"/>
          <w:color w:val="auto"/>
        </w:rPr>
      </w:pPr>
      <w:r>
        <w:rPr>
          <w:rFonts w:ascii="Arial" w:cs="Arial" w:eastAsia="Arial" w:hAnsi="Arial"/>
          <w:sz w:val="17"/>
          <w:szCs w:val="17"/>
          <w:color w:val="auto"/>
        </w:rPr>
        <w:t>Our board of directors or the compensation committee reviews each NEO’s base salary from time to time to ensure compensation adequately reflects the NEO’s qualifications, experience, role and responsibilities. For fiscal year 2019, Mr. Raab’s annual base salary was $595,000, Dr. Rosenbaum’s annual base salary was $428,250 and Ms. Grammer’s annual base salary was $414,000. In addition, for 2019, Mr. Raab, Dr. Rosenbaum and Ms. Grammer each had an annual bonus target of 60%, 40% and 40%, respectively, of base salary awarded based on the achievement of certain corporate performance goals set by the board of directors.</w:t>
      </w:r>
    </w:p>
    <w:p>
      <w:pPr>
        <w:spacing w:after="0" w:line="178" w:lineRule="exact"/>
        <w:rPr>
          <w:sz w:val="20"/>
          <w:szCs w:val="20"/>
          <w:color w:val="auto"/>
        </w:rPr>
      </w:pPr>
    </w:p>
    <w:p>
      <w:pPr>
        <w:ind w:left="40" w:right="439"/>
        <w:spacing w:after="0" w:line="263" w:lineRule="auto"/>
        <w:rPr>
          <w:sz w:val="20"/>
          <w:szCs w:val="20"/>
          <w:color w:val="auto"/>
        </w:rPr>
      </w:pPr>
      <w:r>
        <w:rPr>
          <w:rFonts w:ascii="Arial" w:cs="Arial" w:eastAsia="Arial" w:hAnsi="Arial"/>
          <w:sz w:val="18"/>
          <w:szCs w:val="18"/>
          <w:color w:val="auto"/>
        </w:rPr>
        <w:t>In June 2014, we entered into an amended and restated employment agreement with Mr. Raab. We also entered into an amended and restated change in control severance agreement with Dr. Rosenbaum and Ms. Grammer effective January 2017 and January 2018, respectively.</w:t>
      </w:r>
    </w:p>
    <w:p>
      <w:pPr>
        <w:spacing w:after="0" w:line="184" w:lineRule="exact"/>
        <w:rPr>
          <w:sz w:val="20"/>
          <w:szCs w:val="20"/>
          <w:color w:val="auto"/>
        </w:rPr>
      </w:pPr>
    </w:p>
    <w:p>
      <w:pPr>
        <w:ind w:left="40" w:right="379"/>
        <w:spacing w:after="0" w:line="286" w:lineRule="auto"/>
        <w:rPr>
          <w:sz w:val="20"/>
          <w:szCs w:val="20"/>
          <w:color w:val="auto"/>
        </w:rPr>
      </w:pPr>
      <w:r>
        <w:rPr>
          <w:rFonts w:ascii="Arial" w:cs="Arial" w:eastAsia="Arial" w:hAnsi="Arial"/>
          <w:sz w:val="16"/>
          <w:szCs w:val="16"/>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w:t>
      </w:r>
    </w:p>
    <w:p>
      <w:pPr>
        <w:spacing w:after="0" w:line="1" w:lineRule="exact"/>
        <w:rPr>
          <w:sz w:val="20"/>
          <w:szCs w:val="20"/>
          <w:color w:val="auto"/>
        </w:rPr>
      </w:pPr>
    </w:p>
    <w:p>
      <w:pPr>
        <w:ind w:left="40" w:right="119"/>
        <w:spacing w:after="0" w:line="285" w:lineRule="auto"/>
        <w:rPr>
          <w:sz w:val="20"/>
          <w:szCs w:val="20"/>
          <w:color w:val="auto"/>
        </w:rPr>
      </w:pPr>
      <w:r>
        <w:rPr>
          <w:rFonts w:ascii="Arial" w:cs="Arial" w:eastAsia="Arial" w:hAnsi="Arial"/>
          <w:sz w:val="16"/>
          <w:szCs w:val="16"/>
          <w:color w:val="auto"/>
        </w:rPr>
        <w:t>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174"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Under each of Dr. Rosenbaum’s and Ms. Grammer’s amended and restated change in control severance agreement, in the event Dr. Rosenbaum’s or Ms. Grammer’s, as applicable, employment with us is involuntarily terminated for reason other than cause or he/she resigns for good reason, in each case more than three months prior to or more than 12 months after a change in control, then Dr. Rosenbaum or Ms. Grammer, as applicable, will receive: (i) continued payment of his/her annual base salary as in effect immediately prior to such termination for a period of nine months; and (ii) payment of healthcare continuation costs for him/her and his/her eligible dependents for up to 12 months following the date of such termination. In the event Dr. Rosenbaum’s or Ms. Grammer’s employment, as applicable, with us is involuntarily terminated for reason other than cause or he/she resigns for good reason, in each case within three months prior to and 12 months after a change in control, then Dr. Rosenbaum or Ms. Grammer, as applicable, will receive: (i) a lump sum amount equal to the sum of his/her base salary as in effect immediately prior to such termination and his target annual bonus for the year of termination; (ii) payment of healthcare continuation costs for him/her and his/her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Dr. Rosenbaum’s or Ms. Grammer’s timely execution and non-revocation of a general release of claims against the Company and its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19"/>
        <w:spacing w:after="0" w:line="277" w:lineRule="auto"/>
        <w:rPr>
          <w:sz w:val="20"/>
          <w:szCs w:val="20"/>
          <w:color w:val="auto"/>
        </w:rPr>
      </w:pPr>
      <w:r>
        <w:rPr>
          <w:rFonts w:ascii="Arial" w:cs="Arial" w:eastAsia="Arial" w:hAnsi="Arial"/>
          <w:sz w:val="18"/>
          <w:szCs w:val="18"/>
          <w:color w:val="auto"/>
        </w:rPr>
        <w:t>affiliates, continued compliance with his confidential information agreement and a two-year post-termination nonsolicitation restrictive covenant.</w:t>
      </w:r>
    </w:p>
    <w:p>
      <w:pPr>
        <w:spacing w:after="0" w:line="170" w:lineRule="exact"/>
        <w:rPr>
          <w:sz w:val="20"/>
          <w:szCs w:val="20"/>
          <w:color w:val="auto"/>
        </w:rPr>
      </w:pPr>
    </w:p>
    <w:p>
      <w:pPr>
        <w:ind w:left="40" w:right="179"/>
        <w:spacing w:after="0" w:line="283" w:lineRule="auto"/>
        <w:rPr>
          <w:sz w:val="20"/>
          <w:szCs w:val="20"/>
          <w:color w:val="auto"/>
        </w:rPr>
      </w:pPr>
      <w:r>
        <w:rPr>
          <w:rFonts w:ascii="Arial" w:cs="Arial" w:eastAsia="Arial" w:hAnsi="Arial"/>
          <w:sz w:val="16"/>
          <w:szCs w:val="16"/>
          <w:color w:val="auto"/>
        </w:rPr>
        <w:t>For the purposes of Mr. Raab’s amended and restated employment agreement and each of Dr. Rosenbaum’s and Ms. Grammer’s amended and restated change in control severance agreement, “cause” means (i) the NEO’s theft, dishonesty or falsification of any employment or company records that is non-trivial in nature; (ii) malicious or reckless disclosure of our confidential or proprietary information or any material breach by the NEO of his/her obligations under his/her proprietary information and inventions assignment agreement with us; (iii) the conviction of the NEO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him with important matters or otherwise work effectively with him/her, (B) substantially contributed to our loss of significant revenues or business opportunities, or</w:t>
      </w:r>
    </w:p>
    <w:p>
      <w:pPr>
        <w:spacing w:after="0" w:line="6" w:lineRule="exact"/>
        <w:rPr>
          <w:sz w:val="20"/>
          <w:szCs w:val="20"/>
          <w:color w:val="auto"/>
        </w:rPr>
      </w:pPr>
    </w:p>
    <w:p>
      <w:pPr>
        <w:ind w:left="40" w:right="239" w:firstLine="4"/>
        <w:spacing w:after="0" w:line="273" w:lineRule="auto"/>
        <w:tabs>
          <w:tab w:leader="none" w:pos="3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significantly and detrimentally affected the business or reputation of our company or any of our subsidiaries; and/or (iv) the willful failure or refusal by the NEO to follow the reasonable and lawful directives of the board of directors, provided such willful failure or refusal continues after his receipt of reasonable notice in writing of such failure or refusal and a reasonable opportunity of not less than 30 days to correct the problem.</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the purposes of Mr. Raab’s amended and restated employment agreement and each of Dr. Rosenbaum’s and</w:t>
      </w:r>
    </w:p>
    <w:p>
      <w:pPr>
        <w:spacing w:after="0" w:line="35"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Ms. Grammer’s amended and restated change in control severance agreement, “good reason” means the occurrence of: (i) a material diminution in the NEO’s authority, duties, or responsibilities, which substantially reduces the nature or character of his/her position; (ii) a reduction by us of his/her base salary as in effect immediately prior to such reduction; (iii) a relocation of his/her principal office to a location more than 50 miles from the location of our principal office as of immediately prior to such relocation, except for required travel by him/her on company business; or (iv) any material breach by us of any provision of the NEO’s employment agreement or offer letter which we do not cure within 30 days following written notice from the NEO, provided that in order for “good reason” to exist, each of the following conditions must be met: (i) the foregoing good reason conditions must have occurred without the NEO’s express written consent;</w:t>
      </w:r>
    </w:p>
    <w:p>
      <w:pPr>
        <w:spacing w:after="0" w:line="5" w:lineRule="exact"/>
        <w:rPr>
          <w:sz w:val="20"/>
          <w:szCs w:val="20"/>
          <w:color w:val="auto"/>
        </w:rPr>
      </w:pPr>
    </w:p>
    <w:p>
      <w:pPr>
        <w:ind w:left="300" w:hanging="256"/>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NEO must provide written notice to us of such condition within 30 days of the initial existence of the condition;</w:t>
      </w:r>
    </w:p>
    <w:p>
      <w:pPr>
        <w:spacing w:after="0" w:line="20" w:lineRule="exact"/>
        <w:rPr>
          <w:rFonts w:ascii="Arial" w:cs="Arial" w:eastAsia="Arial" w:hAnsi="Arial"/>
          <w:sz w:val="17"/>
          <w:szCs w:val="17"/>
          <w:color w:val="auto"/>
        </w:rPr>
      </w:pPr>
    </w:p>
    <w:p>
      <w:pPr>
        <w:ind w:left="40" w:right="59" w:firstLine="4"/>
        <w:spacing w:after="0" w:line="255" w:lineRule="auto"/>
        <w:tabs>
          <w:tab w:leader="none" w:pos="3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condition specified in such notice must remain uncorrected for 30 days after receipt of such notice; and (iv) the date of the NEO’s resignation of employment must occur within 60 days after the initial existence of the condition specified in such notice.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Terms and Conditions of Annual Bonuses</w:t>
      </w:r>
    </w:p>
    <w:p>
      <w:pPr>
        <w:spacing w:after="0" w:line="225" w:lineRule="exact"/>
        <w:rPr>
          <w:sz w:val="20"/>
          <w:szCs w:val="20"/>
          <w:color w:val="auto"/>
        </w:rPr>
      </w:pPr>
    </w:p>
    <w:p>
      <w:pPr>
        <w:ind w:left="40" w:right="59"/>
        <w:spacing w:after="0" w:line="301" w:lineRule="auto"/>
        <w:rPr>
          <w:sz w:val="20"/>
          <w:szCs w:val="20"/>
          <w:color w:val="auto"/>
        </w:rPr>
      </w:pPr>
      <w:r>
        <w:rPr>
          <w:rFonts w:ascii="Arial" w:cs="Arial" w:eastAsia="Arial" w:hAnsi="Arial"/>
          <w:sz w:val="16"/>
          <w:szCs w:val="16"/>
          <w:color w:val="auto"/>
        </w:rPr>
        <w:t>For 2019, our NEOs were eligible to receive performance-based cash incentives pursuant to the achievement of certain corporate performance objectives. The performance goals for these annual performance cash bonuses were evaluated by our compensation committee and approved by our board of directors. The determination of the amount of bonuses paid to our NEOs generally reflects a number of considerations, including the performance of the company against corporate goals.</w:t>
      </w:r>
    </w:p>
    <w:p>
      <w:pPr>
        <w:spacing w:after="0" w:line="157"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For determining performance bonus amounts for our NEOs for 2019, our board of directors set certain corporate performance goals. In setting these goals, our board of directors considered the status of our research and discovery programs and our financial status. Each NEO’s target bonus opportunity is expressed as a percentage of base salary which can be achieved by meeting corporate performance goals. Our board of directors or our compensation committee has historically reviewed these target percentages to ensure they are adequate, but does not follow a formula. Instead, our board of directors or our compensation committee has set these rates based on each participating executive’s experience in her or his role with our company and the level of responsibility held by each executive, which the board of directors or our compensation committee believe directly correlates to her or his ability to influence corporate results. For fiscal year 2019, our board of directors used a guideline target bonus opportunity of 60% of base salary for Mr. Raab and 40% of base salary for Dr. Rosenbaum and Ms. Grammer.</w:t>
      </w:r>
    </w:p>
    <w:p>
      <w:pPr>
        <w:spacing w:after="0" w:line="185"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compensation committee determined that the company’s performance against its 2019 corporate goals be set at 110% to reflect the company’s overall performance during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Following its review and determinations of corporate and individual achievements for 2019, the compensation committee awarded cash bonuses to Dr. Rosenbaum and Ms. Grammer in amounts equal to 110% of each of their target bonuses for 2019, and the board of directors awarded cash bonuses to Mr. Raab in the amount equal to 110% of his target bonus for 2019. The NEOs’ 2019 bonuses are set forth in the “2019 Summary Compensation Table” above.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Terms and Conditions of Equity Award Grants</w:t>
      </w:r>
    </w:p>
    <w:p>
      <w:pPr>
        <w:spacing w:after="0" w:line="225" w:lineRule="exact"/>
        <w:rPr>
          <w:sz w:val="20"/>
          <w:szCs w:val="20"/>
          <w:color w:val="auto"/>
        </w:rPr>
      </w:pPr>
    </w:p>
    <w:p>
      <w:pPr>
        <w:jc w:val="both"/>
        <w:ind w:left="40" w:right="339"/>
        <w:spacing w:after="0" w:line="287" w:lineRule="auto"/>
        <w:rPr>
          <w:sz w:val="20"/>
          <w:szCs w:val="20"/>
          <w:color w:val="auto"/>
        </w:rPr>
      </w:pPr>
      <w:r>
        <w:rPr>
          <w:rFonts w:ascii="Arial" w:cs="Arial" w:eastAsia="Arial" w:hAnsi="Arial"/>
          <w:sz w:val="16"/>
          <w:szCs w:val="16"/>
          <w:color w:val="auto"/>
        </w:rPr>
        <w:t>Each of our NEOs received equity award grants in 2019. The table above entitled “Outstanding Equity Awards at 2019 Fiscal Year End” describes the material terms of the awards granted in 2019 and of the other equity awards made in past fiscal years to each NEO. In January 2019, in connection with our annual compensation review, each of Mr. Raab,</w:t>
      </w:r>
    </w:p>
    <w:p>
      <w:pPr>
        <w:spacing w:after="0" w:line="2" w:lineRule="exact"/>
        <w:rPr>
          <w:sz w:val="20"/>
          <w:szCs w:val="20"/>
          <w:color w:val="auto"/>
        </w:rPr>
      </w:pPr>
    </w:p>
    <w:p>
      <w:pPr>
        <w:ind w:left="40" w:right="219"/>
        <w:spacing w:after="0" w:line="273" w:lineRule="auto"/>
        <w:rPr>
          <w:sz w:val="20"/>
          <w:szCs w:val="20"/>
          <w:color w:val="auto"/>
        </w:rPr>
      </w:pPr>
      <w:r>
        <w:rPr>
          <w:rFonts w:ascii="Arial" w:cs="Arial" w:eastAsia="Arial" w:hAnsi="Arial"/>
          <w:sz w:val="17"/>
          <w:szCs w:val="17"/>
          <w:color w:val="auto"/>
        </w:rPr>
        <w:t>Dr. Rosenbaum and Ms. Grammer were granted an option to purchase 455,000, 120,000 and 120,000 shares of our common stock, respectively, under our 2014 Plan at an exercise price equal to $2.32, which was our fair market value of our common stock on the grant date. The options vest and become exercisable in substantially equal monthly installments over four years, subject to the NEO continuing to provide services to us through such dates.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following table provides certain information as of December 31, 2019, with respect to all of our equity compensation plans in effect on that date: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Upon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Options,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Warrants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478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Plan Category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71"/>
        </w:trPr>
        <w:tc>
          <w:tcPr>
            <w:tcW w:w="4780" w:type="dxa"/>
            <w:vAlign w:val="bottom"/>
            <w:gridSpan w:val="4"/>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 xml:space="preserve">(c)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36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1,716,384</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86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8,122,525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2,716,384</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99" w:hanging="316"/>
        <w:spacing w:after="0" w:line="296"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outstanding awards of 849,757 for restricted stock units and (B) 7,272,768 stock options. The weighted average exercise price shown is for stock options; other outstanding awards had no exercise price. No new awards may be made under the 2008 Stock Incentive Plan.</w:t>
      </w:r>
    </w:p>
    <w:p>
      <w:pPr>
        <w:spacing w:after="0" w:line="161" w:lineRule="exact"/>
        <w:rPr>
          <w:rFonts w:ascii="Arial" w:cs="Arial" w:eastAsia="Arial" w:hAnsi="Arial"/>
          <w:sz w:val="16"/>
          <w:szCs w:val="16"/>
          <w:color w:val="auto"/>
        </w:rPr>
      </w:pPr>
    </w:p>
    <w:p>
      <w:pPr>
        <w:ind w:left="360" w:right="139" w:hanging="316"/>
        <w:spacing w:after="0" w:line="289"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Ardelyx, Inc. 2014 Equity Incentive Plan and the Ardelyx, Inc. 2014 Employee Stock Purchase Plan contain “evergreen” provisions, pursuant to which (i) the number of shares of common stock reserved for issuance pursuant to awards under the 2014 Equity Inventive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right="279"/>
        <w:spacing w:after="0" w:line="277" w:lineRule="auto"/>
        <w:rPr>
          <w:sz w:val="20"/>
          <w:szCs w:val="20"/>
          <w:color w:val="auto"/>
        </w:rPr>
      </w:pPr>
      <w:r>
        <w:rPr>
          <w:rFonts w:ascii="Arial" w:cs="Arial" w:eastAsia="Arial" w:hAnsi="Arial"/>
          <w:sz w:val="18"/>
          <w:szCs w:val="18"/>
          <w:color w:val="auto"/>
        </w:rPr>
        <w:t>outstanding (on an as converted basis) on the last day of the immediately preceding fiscal year, and (B) such smaller number of shares of stock as determined by our board of directors.</w:t>
      </w:r>
    </w:p>
    <w:p>
      <w:pPr>
        <w:spacing w:after="0" w:line="170" w:lineRule="exact"/>
        <w:rPr>
          <w:sz w:val="20"/>
          <w:szCs w:val="20"/>
          <w:color w:val="auto"/>
        </w:rPr>
      </w:pPr>
    </w:p>
    <w:p>
      <w:pPr>
        <w:ind w:left="360" w:right="199" w:hanging="316"/>
        <w:spacing w:after="0" w:line="263"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519,578 shares that were available for future issuances as of December 31, 2019 under the 2014 Employee Stock Purchase Plan, which allows eligible employees to purchase shares of common stock with accumulated payroll deductions.</w:t>
      </w:r>
    </w:p>
    <w:p>
      <w:pPr>
        <w:spacing w:after="0" w:line="183" w:lineRule="exact"/>
        <w:rPr>
          <w:rFonts w:ascii="Arial" w:cs="Arial" w:eastAsia="Arial" w:hAnsi="Arial"/>
          <w:sz w:val="18"/>
          <w:szCs w:val="18"/>
          <w:color w:val="auto"/>
        </w:rPr>
      </w:pPr>
    </w:p>
    <w:p>
      <w:pPr>
        <w:ind w:left="360" w:hanging="316"/>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Ardelyx, Inc. 2016 Employment Commencement Incentive Plan.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Material Features of the 2016 Employment Commencement Incentive Plan</w:t>
      </w:r>
    </w:p>
    <w:p>
      <w:pPr>
        <w:spacing w:after="0" w:line="225"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2014 Plan is intended to be exempt from the Nasdaq Listing Rules regarding shareholder approval of stock option and stock purchase plans. A total of 1,000,000 shares of our common stock were reserved for issuance under the 2016 Plan. The 2016 Plan provides for the grant of incentive stock options, non-qualified stock options, restricted stock units, restricted stock awards, stock appreciation rights, and other stock-based and cash-based awards.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As of December 31, 2019, we had not granted any awards under the 2016 Plan, and 1,000,000 shares remained available for future grants.</w:t>
      </w:r>
    </w:p>
    <w:p>
      <w:pPr>
        <w:spacing w:after="0" w:line="174"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188" w:lineRule="exact"/>
        <w:rPr>
          <w:sz w:val="20"/>
          <w:szCs w:val="20"/>
          <w:color w:val="auto"/>
        </w:rPr>
      </w:pPr>
    </w:p>
    <w:p>
      <w:pPr>
        <w:ind w:left="40" w:right="119"/>
        <w:spacing w:after="0" w:line="223" w:lineRule="exact"/>
        <w:rPr>
          <w:sz w:val="20"/>
          <w:szCs w:val="20"/>
          <w:color w:val="auto"/>
        </w:rPr>
      </w:pPr>
      <w:r>
        <w:rPr>
          <w:rFonts w:ascii="Arial" w:cs="Arial" w:eastAsia="Arial" w:hAnsi="Arial"/>
          <w:sz w:val="18"/>
          <w:szCs w:val="18"/>
          <w:color w:val="auto"/>
        </w:rPr>
        <w:t>We filed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with the SEC covering the shares of common stock that may be issued under the 2016 Plan.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5"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our common stock as of April 15, 2020, by:</w:t>
      </w:r>
    </w:p>
    <w:p>
      <w:pPr>
        <w:spacing w:after="0" w:line="89" w:lineRule="exact"/>
        <w:rPr>
          <w:sz w:val="20"/>
          <w:szCs w:val="20"/>
          <w:color w:val="auto"/>
        </w:rPr>
      </w:pPr>
    </w:p>
    <w:p>
      <w:pPr>
        <w:ind w:left="700" w:right="419" w:hanging="332"/>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7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130"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number of shares beneficially owned by each entity, person, director, nominee or executive officer is determined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accordance with the rules of the SEC, and the information is not necessarily indicative of beneficial ownership for any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purpose. Under such rules, beneficial ownership includes any shares over which the individual has sole or shared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voting power or investment power as well as any shares that the individual has the right to acquire within 60 days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April 15, 2020 through the exercise of stock options, warrants or other rights. Except as otherwise indicated, and subject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applicable community property laws, the persons named in the table have sole voting and investment power with respect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shares of common stock held by that person.</w:t>
      </w:r>
    </w:p>
    <w:p>
      <w:pPr>
        <w:spacing w:after="0" w:line="116" w:lineRule="exact"/>
        <w:rPr>
          <w:sz w:val="20"/>
          <w:szCs w:val="20"/>
          <w:color w:val="auto"/>
        </w:rPr>
      </w:pPr>
    </w:p>
    <w:p>
      <w:pPr>
        <w:ind w:left="40" w:right="259"/>
        <w:spacing w:after="0" w:line="272" w:lineRule="auto"/>
        <w:rPr>
          <w:sz w:val="20"/>
          <w:szCs w:val="20"/>
          <w:color w:val="auto"/>
        </w:rPr>
      </w:pPr>
      <w:r>
        <w:rPr>
          <w:rFonts w:ascii="Arial" w:cs="Arial" w:eastAsia="Arial" w:hAnsi="Arial"/>
          <w:sz w:val="17"/>
          <w:szCs w:val="17"/>
          <w:color w:val="auto"/>
        </w:rPr>
        <w:t>The percentage of shares beneficially owned is computed on the basis of 89,056,759 shares of our common stock outstanding as of April 15, 2020. Shares of our common stock that a person has the right to acquire within 60 days of April 15, 2020 pursuant to the exercise of outstanding stock options, warrants or other rights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34175 Ardenwood Blvd., Fremont, CA 94555.</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Beneficial Ownership</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of Beneficial</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Within 60 Days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4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Ownership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Entities Associated with New Enterprise Associates</w:t>
            </w:r>
            <w:r>
              <w:rPr>
                <w:rFonts w:ascii="Arial" w:cs="Arial" w:eastAsia="Arial" w:hAnsi="Arial"/>
                <w:sz w:val="18"/>
                <w:szCs w:val="18"/>
                <w:color w:val="auto"/>
                <w:w w:val="99"/>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16,135,047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1,401,870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17,536,917</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19.39 %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Adage Capital Partners, L.P. </w:t>
            </w:r>
            <w:r>
              <w:rPr>
                <w:rFonts w:ascii="Arial" w:cs="Arial" w:eastAsia="Arial" w:hAnsi="Arial"/>
                <w:sz w:val="18"/>
                <w:szCs w:val="18"/>
                <w:color w:val="auto"/>
                <w:vertAlign w:val="superscript"/>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5,698,342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5,698,342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RA Capital Management, L.P. </w:t>
            </w:r>
            <w:r>
              <w:rPr>
                <w:rFonts w:ascii="Arial" w:cs="Arial" w:eastAsia="Arial" w:hAnsi="Arial"/>
                <w:sz w:val="8"/>
                <w:szCs w:val="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5,358,863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168,225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5,527,088</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8"/>
                <w:szCs w:val="18"/>
                <w:color w:val="auto"/>
                <w:vertAlign w:val="superscript"/>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4,242,362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4,242,362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Entities Associated with Deerfield </w:t>
            </w:r>
            <w:r>
              <w:rPr>
                <w:rFonts w:ascii="Arial" w:cs="Arial" w:eastAsia="Arial" w:hAnsi="Arial"/>
                <w:sz w:val="18"/>
                <w:szCs w:val="18"/>
                <w:color w:val="auto"/>
                <w:vertAlign w:val="superscript"/>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7,004,253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7,004,253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7.87 %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Entities Associated with Rock Springs Capital </w:t>
            </w:r>
            <w:r>
              <w:rPr>
                <w:rFonts w:ascii="Arial" w:cs="Arial" w:eastAsia="Arial" w:hAnsi="Arial"/>
                <w:sz w:val="18"/>
                <w:szCs w:val="18"/>
                <w:color w:val="auto"/>
                <w:vertAlign w:val="superscript"/>
              </w:rPr>
              <w:t>(6)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4,990,187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Michael Raab</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119,297</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(7)</w:t>
            </w:r>
          </w:p>
        </w:tc>
        <w:tc>
          <w:tcPr>
            <w:tcW w:w="1000" w:type="dxa"/>
            <w:vAlign w:val="bottom"/>
          </w:tcPr>
          <w:p>
            <w:pPr>
              <w:jc w:val="right"/>
              <w:spacing w:after="0"/>
              <w:rPr>
                <w:sz w:val="20"/>
                <w:szCs w:val="20"/>
                <w:color w:val="auto"/>
              </w:rPr>
            </w:pPr>
            <w:r>
              <w:rPr>
                <w:rFonts w:ascii="Arial" w:cs="Arial" w:eastAsia="Arial" w:hAnsi="Arial"/>
                <w:sz w:val="18"/>
                <w:szCs w:val="18"/>
                <w:color w:val="auto"/>
              </w:rPr>
              <w:t>1,511,030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1,630,327</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David Rosenbaum, Ph.D. </w:t>
            </w:r>
            <w:r>
              <w:rPr>
                <w:rFonts w:ascii="Arial" w:cs="Arial" w:eastAsia="Arial" w:hAnsi="Arial"/>
                <w:sz w:val="18"/>
                <w:szCs w:val="18"/>
                <w:color w:val="auto"/>
                <w:vertAlign w:val="superscript"/>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432,116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583,312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Elizabeth Grammer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21,498</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412,947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434,445</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David Mott </w:t>
            </w:r>
            <w:r>
              <w:rPr>
                <w:rFonts w:ascii="Arial" w:cs="Arial" w:eastAsia="Arial" w:hAnsi="Arial"/>
                <w:sz w:val="18"/>
                <w:szCs w:val="18"/>
                <w:color w:val="auto"/>
                <w:vertAlign w:val="superscript"/>
              </w:rPr>
              <w:t>(10)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197,566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Robert Bazemore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William Bertrand, Jr.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172,135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Geoffrey A. Block, M.D.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38,750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38,750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Jan M. Lundberg, Ph.D.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Gordon Ringold, Ph.D.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(11)</w:t>
            </w:r>
          </w:p>
        </w:tc>
        <w:tc>
          <w:tcPr>
            <w:tcW w:w="1000" w:type="dxa"/>
            <w:vAlign w:val="bottom"/>
          </w:tcPr>
          <w:p>
            <w:pPr>
              <w:jc w:val="right"/>
              <w:spacing w:after="0"/>
              <w:rPr>
                <w:sz w:val="20"/>
                <w:szCs w:val="20"/>
                <w:color w:val="auto"/>
              </w:rPr>
            </w:pPr>
            <w:r>
              <w:rPr>
                <w:rFonts w:ascii="Arial" w:cs="Arial" w:eastAsia="Arial" w:hAnsi="Arial"/>
                <w:sz w:val="18"/>
                <w:szCs w:val="18"/>
                <w:color w:val="auto"/>
              </w:rPr>
              <w:t>140,000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Richard Rodgers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Onaiza Cadoret-Manier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(11) persons)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564,190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3,086,999</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3,651,189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gridSpan w:val="2"/>
          </w:tcPr>
          <w:p>
            <w:pPr>
              <w:jc w:val="right"/>
              <w:ind w:right="76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141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hanging="316"/>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shares of common stock.</w:t>
      </w:r>
    </w:p>
    <w:p>
      <w:pPr>
        <w:spacing w:after="0" w:line="225" w:lineRule="exact"/>
        <w:rPr>
          <w:sz w:val="20"/>
          <w:szCs w:val="20"/>
          <w:color w:val="auto"/>
        </w:rPr>
      </w:pPr>
    </w:p>
    <w:p>
      <w:pPr>
        <w:ind w:left="360" w:right="99" w:hanging="316"/>
        <w:spacing w:after="0" w:line="218" w:lineRule="exact"/>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(i) 9,569,210 shares held by New Enterprise Associates 12, Limited Partnership (“NEA 12”), and 560,748 shares that may be acquired by NEA 12 upon the exercise of warrants within 60 days of April 15, 2020; (ii) 3,082,186 shares held by New Enterprise Associates 15, L.P. (“NEA 15”), and 420,561 shares that may be acquired by NEA 15 upon the exercise of warrants within 60 days of April 15, 2020; (iii) 3,482,186 shares held by NEA 15 Opportunity Fund, L.P. (“NEA 15</w:t>
      </w:r>
      <w:r>
        <w:rPr>
          <w:rFonts w:ascii="MS PGothic" w:cs="MS PGothic" w:eastAsia="MS PGothic" w:hAnsi="MS PGothic"/>
          <w:sz w:val="16"/>
          <w:szCs w:val="16"/>
          <w:color w:val="auto"/>
        </w:rPr>
        <w:t>‑</w:t>
      </w:r>
      <w:r>
        <w:rPr>
          <w:rFonts w:ascii="Arial" w:cs="Arial" w:eastAsia="Arial" w:hAnsi="Arial"/>
          <w:sz w:val="16"/>
          <w:szCs w:val="16"/>
          <w:color w:val="auto"/>
        </w:rPr>
        <w:t>OF” and collectively with NEA 12 and NEA 15, the “Funds”), and 420,561 shares that may be acquired by NEA 15</w:t>
      </w:r>
      <w:r>
        <w:rPr>
          <w:rFonts w:ascii="MS PGothic" w:cs="MS PGothic" w:eastAsia="MS PGothic" w:hAnsi="MS PGothic"/>
          <w:sz w:val="16"/>
          <w:szCs w:val="16"/>
          <w:color w:val="auto"/>
        </w:rPr>
        <w:t>‑</w:t>
      </w:r>
      <w:r>
        <w:rPr>
          <w:rFonts w:ascii="Arial" w:cs="Arial" w:eastAsia="Arial" w:hAnsi="Arial"/>
          <w:sz w:val="16"/>
          <w:szCs w:val="16"/>
          <w:color w:val="auto"/>
        </w:rPr>
        <w:t>OF upon the exercise of warrants within 60 days of April 15, 2020, and (iv) 1,465 shares held by NEA Ventures 2008, L.P. (“Ven 2008” and collectively with NEA 15</w:t>
      </w:r>
      <w:r>
        <w:rPr>
          <w:rFonts w:ascii="MS PGothic" w:cs="MS PGothic" w:eastAsia="MS PGothic" w:hAnsi="MS PGothic"/>
          <w:sz w:val="16"/>
          <w:szCs w:val="16"/>
          <w:color w:val="auto"/>
        </w:rPr>
        <w:t>‑</w:t>
      </w:r>
      <w:r>
        <w:rPr>
          <w:rFonts w:ascii="Arial" w:cs="Arial" w:eastAsia="Arial" w:hAnsi="Arial"/>
          <w:sz w:val="16"/>
          <w:szCs w:val="16"/>
          <w:color w:val="auto"/>
        </w:rPr>
        <w:t>OF, NEA 12 and NEA 15, the “Funds”). The shares directly held by NEA 12 are indirectly held by NEA Partners 12, L.P. (“NEA Partners 12”), the sole general partner of NEA 12, NEA 12 GP, LLC (“NEA 12 LLC”), the sole general partner of NEA Partners 12 and each of the individual Managers of NEA 12 LLC. The individual managers of NEA 12 LLC (collectively the “NEA 12 Managers”) are Forest Baskett Patrick J. Kerins and Scott D. Sandell. The shares directly held by Ven 2008 are indirectly held by Karen P. Welsh, the general partner of Ven 2008. The shares directly held by NEA 15 are indirectly held by NEA Partners 15, L.P. (“NEA Partners 15”), the sole general partner of NEA 15, NEA 15 GP, LLC (“NEA 15 LLC”), the sole general partner of NEA Partners 15 and each of the individual Managers of NEA 15 LLC. The individual managers of NEA 15 LLC (collectively the “NEA 15 Managers”) are Forest Baskett, Anthony A Florence, Jr., Joshua Makower, Mohamad Makhzoumi, Peter W. Sonsini and Scott D. Sandell. The shares directly held by NEA 15 OF are indirectly held by NEA Partners 15</w:t>
      </w:r>
      <w:r>
        <w:rPr>
          <w:rFonts w:ascii="MS PGothic" w:cs="MS PGothic" w:eastAsia="MS PGothic" w:hAnsi="MS PGothic"/>
          <w:sz w:val="16"/>
          <w:szCs w:val="16"/>
          <w:color w:val="auto"/>
        </w:rPr>
        <w:t>‑</w:t>
      </w:r>
      <w:r>
        <w:rPr>
          <w:rFonts w:ascii="Arial" w:cs="Arial" w:eastAsia="Arial" w:hAnsi="Arial"/>
          <w:sz w:val="16"/>
          <w:szCs w:val="16"/>
          <w:color w:val="auto"/>
        </w:rPr>
        <w:t>OF, L.P. (“NEA Partners 15</w:t>
      </w:r>
      <w:r>
        <w:rPr>
          <w:rFonts w:ascii="MS PGothic" w:cs="MS PGothic" w:eastAsia="MS PGothic" w:hAnsi="MS PGothic"/>
          <w:sz w:val="16"/>
          <w:szCs w:val="16"/>
          <w:color w:val="auto"/>
        </w:rPr>
        <w:t>‑</w:t>
      </w:r>
      <w:r>
        <w:rPr>
          <w:rFonts w:ascii="Arial" w:cs="Arial" w:eastAsia="Arial" w:hAnsi="Arial"/>
          <w:sz w:val="16"/>
          <w:szCs w:val="16"/>
          <w:color w:val="auto"/>
        </w:rPr>
        <w:t>OF”), the sole general partner of NEA 15 OF, NEA 15 LLC, the sole general partner of NEA Partners 15</w:t>
      </w:r>
      <w:r>
        <w:rPr>
          <w:rFonts w:ascii="MS PGothic" w:cs="MS PGothic" w:eastAsia="MS PGothic" w:hAnsi="MS PGothic"/>
          <w:sz w:val="16"/>
          <w:szCs w:val="16"/>
          <w:color w:val="auto"/>
        </w:rPr>
        <w:t>‑</w:t>
      </w:r>
      <w:r>
        <w:rPr>
          <w:rFonts w:ascii="Arial" w:cs="Arial" w:eastAsia="Arial" w:hAnsi="Arial"/>
          <w:sz w:val="16"/>
          <w:szCs w:val="16"/>
          <w:color w:val="auto"/>
        </w:rPr>
        <w:t>OF and each of the NEA 15 Managers. NEA 12, NEA Partners 12 NEA 12 LLC and the NEA 12 Managers share voting and dispositive power with regard to the Company’s securities directly held by NEA 12. NEA 15, NEA Partners 15, NEA 15 LLC and the NEA 15 Managers share voting and dispositive power with regard to the Company’s securities directly held by NEA 15. NEA 15</w:t>
      </w:r>
      <w:r>
        <w:rPr>
          <w:rFonts w:ascii="MS PGothic" w:cs="MS PGothic" w:eastAsia="MS PGothic" w:hAnsi="MS PGothic"/>
          <w:sz w:val="16"/>
          <w:szCs w:val="16"/>
          <w:color w:val="auto"/>
        </w:rPr>
        <w:t>‑</w:t>
      </w:r>
      <w:r>
        <w:rPr>
          <w:rFonts w:ascii="Arial" w:cs="Arial" w:eastAsia="Arial" w:hAnsi="Arial"/>
          <w:sz w:val="16"/>
          <w:szCs w:val="16"/>
          <w:color w:val="auto"/>
        </w:rPr>
        <w:t>OF, NEA Partners 15</w:t>
      </w:r>
      <w:r>
        <w:rPr>
          <w:rFonts w:ascii="MS PGothic" w:cs="MS PGothic" w:eastAsia="MS PGothic" w:hAnsi="MS PGothic"/>
          <w:sz w:val="16"/>
          <w:szCs w:val="16"/>
          <w:color w:val="auto"/>
        </w:rPr>
        <w:t>‑</w:t>
      </w:r>
      <w:r>
        <w:rPr>
          <w:rFonts w:ascii="Arial" w:cs="Arial" w:eastAsia="Arial" w:hAnsi="Arial"/>
          <w:sz w:val="16"/>
          <w:szCs w:val="16"/>
          <w:color w:val="auto"/>
        </w:rPr>
        <w:t>OF, NEA 15 LLC and the NEA 15 Managers share voting and dispositive power with regard to the Company’s securities directly held by NEA 15</w:t>
      </w:r>
      <w:r>
        <w:rPr>
          <w:rFonts w:ascii="MS PGothic" w:cs="MS PGothic" w:eastAsia="MS PGothic" w:hAnsi="MS PGothic"/>
          <w:sz w:val="16"/>
          <w:szCs w:val="16"/>
          <w:color w:val="auto"/>
        </w:rPr>
        <w:t>‑</w:t>
      </w:r>
      <w:r>
        <w:rPr>
          <w:rFonts w:ascii="Arial" w:cs="Arial" w:eastAsia="Arial" w:hAnsi="Arial"/>
          <w:sz w:val="16"/>
          <w:szCs w:val="16"/>
          <w:color w:val="auto"/>
        </w:rPr>
        <w:t>OF. Karen P. Welsh, the general partner of Ven 2008, has voting and dispositive power with regard to the Company’s securities directly held by Ven 2008. All indirect holders of the above referenced shares disclaim beneficial ownership of all applicable shares except to the extent of their actual pecuniary interest therein. The address of NEA 12, NEA 15, NEA 15</w:t>
      </w:r>
      <w:r>
        <w:rPr>
          <w:rFonts w:ascii="MS PGothic" w:cs="MS PGothic" w:eastAsia="MS PGothic" w:hAnsi="MS PGothic"/>
          <w:sz w:val="16"/>
          <w:szCs w:val="16"/>
          <w:color w:val="auto"/>
        </w:rPr>
        <w:t>‑</w:t>
      </w:r>
      <w:r>
        <w:rPr>
          <w:rFonts w:ascii="Arial" w:cs="Arial" w:eastAsia="Arial" w:hAnsi="Arial"/>
          <w:sz w:val="16"/>
          <w:szCs w:val="16"/>
          <w:color w:val="auto"/>
        </w:rPr>
        <w:t>OF and Ven 2008 is 1954 Greenspring Drive, Suite 600, Timonium, MD 21093.</w:t>
      </w:r>
    </w:p>
    <w:p>
      <w:pPr>
        <w:spacing w:after="0" w:line="387" w:lineRule="exact"/>
        <w:rPr>
          <w:rFonts w:ascii="Arial" w:cs="Arial" w:eastAsia="Arial" w:hAnsi="Arial"/>
          <w:sz w:val="16"/>
          <w:szCs w:val="16"/>
          <w:color w:val="auto"/>
        </w:rPr>
      </w:pPr>
    </w:p>
    <w:p>
      <w:pPr>
        <w:ind w:left="360" w:right="179" w:hanging="316"/>
        <w:spacing w:after="0" w:line="290"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5,698,342 shares as reported on Amendment No. 2 to Schedule 13G/A filed with the SEC on February 12, 2020 by Adage Capital Partners, L.P. (“ACP”), Adage Capital Partners GP, L.L.C. (“ACPGP”), Adage Capital Advisors, L.L.C. (“ACA”), Robert Atchinson and Phillip Gross (collectively, the “Adage Reporting Persons”). ACPGP is the general partner of ACP, and may be deemed to own beneficially the shares held by ACP. ACA is the managing member of ACPGP and general partner of ACP, and may be deemed to own beneficially the shares held by ACP. Messrs. Atchinson and Gross are each a managing member of ACA, managing member of ACPGP and general partner of ACP, and may be deemed to own beneficially the shares held by ACP. The principal business of the Adage Reporting Persons is 200 Clarendon Street, 52nd floor, Boston, Massachusetts 02116.</w:t>
      </w:r>
    </w:p>
    <w:p>
      <w:pPr>
        <w:spacing w:after="0" w:line="165" w:lineRule="exact"/>
        <w:rPr>
          <w:rFonts w:ascii="Arial" w:cs="Arial" w:eastAsia="Arial" w:hAnsi="Arial"/>
          <w:sz w:val="16"/>
          <w:szCs w:val="16"/>
          <w:color w:val="auto"/>
        </w:rPr>
      </w:pPr>
    </w:p>
    <w:p>
      <w:pPr>
        <w:ind w:left="360" w:right="199" w:hanging="316"/>
        <w:spacing w:after="0" w:line="289"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5,527,088 shares as reported on Schedule 13G/A filed with the SEC on February 14, 2020 by RA Capital Management, L.P. (“RA Capital”), Peter Kolchinsky and Rajeev Shah. Includes (i) 4,580,361 outstanding shares and 137,944 Warrant Shares underlying warrants held by RA Capital Healthcare Fund, L.P. (the “Fund”) and (ii) 778,502 outstanding shares and 30,281 Warrant Shares underlying warrants held in a separately managed account (the “Account”). 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Securities Exchange Act of 1934 of any securities of the Issuer held by the Fund and the Account. RA Capital has their principal business offices at 200 Berkeley Street, 18th Floor, Boston, MA 02116.</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right="439" w:hanging="316"/>
        <w:spacing w:after="0" w:line="263"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4,242,362 shares as reported on Amendment No. 1 to Schedule 13G/A filed with the SEC on February 5, 2020 by BlackRock, Inc. BlackRock, Inc. has its principal business office at 55 East 52nd Street, New York, NY 10055.</w:t>
      </w:r>
    </w:p>
    <w:p>
      <w:pPr>
        <w:spacing w:after="0" w:line="183" w:lineRule="exact"/>
        <w:rPr>
          <w:rFonts w:ascii="Arial" w:cs="Arial" w:eastAsia="Arial" w:hAnsi="Arial"/>
          <w:sz w:val="18"/>
          <w:szCs w:val="18"/>
          <w:color w:val="auto"/>
        </w:rPr>
      </w:pPr>
    </w:p>
    <w:p>
      <w:pPr>
        <w:ind w:left="360" w:right="99" w:hanging="316"/>
        <w:spacing w:after="0" w:line="270"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7,004,253 shares as reported on Amendment No. 1 to Schedule 13G/A filed with the SEC on February 13, 2020 by Deerfield Mgmt, L.P. (“Deerfield Mgmt”), Deerfield Management Company, L.P. (“Deerfield Management”), Deerfield Special Situations Fund, L.P. (“Special Situations”), Deerfield Partners, L.P. (“Deerfield Partners”) and James E. Flynn (collectively, the “Deerfield Reporting Persons”) pursuant to a joint filing agreement. Deerfield Mgmt is the general partner of Special Situations and Deerfield Partners, and may be deemed to own beneficially the shares held by Special Situations and Deerfield Partners. Deerfield Management is the investment advisor of Special Situations and Deerfield Partners, and may be deemed to own beneficially the shares held by Special Situations and Deerfield Partners. The principal business address of the Deerfield Reporting Persons is 780 Third Avenue, 37th Floor, New York, NY 10017.</w:t>
      </w:r>
    </w:p>
    <w:p>
      <w:pPr>
        <w:spacing w:after="0" w:line="180" w:lineRule="exact"/>
        <w:rPr>
          <w:rFonts w:ascii="Arial" w:cs="Arial" w:eastAsia="Arial" w:hAnsi="Arial"/>
          <w:sz w:val="17"/>
          <w:szCs w:val="17"/>
          <w:color w:val="auto"/>
        </w:rPr>
      </w:pPr>
    </w:p>
    <w:p>
      <w:pPr>
        <w:ind w:left="360" w:right="119" w:hanging="316"/>
        <w:spacing w:after="0" w:line="272"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4,990,187 shares, comprised of (i) 4,850,000 outstanding shares and 140,187 Warrant Shares underlying warrants, as reported on Amendment No. 1 to Schedule 13G/A filed with the SEC on February 14, 2020 on behalf of Rock Springs Capital Management LP, Rock Springs Capital LLC and Rock Springs Capital Master Fund LP (collectively, the “Rock Springs Reporting Persons”) pursuant to a joint filing agreement. The Rock Springs Reporting Persons may be deemed to have shared voting and dispositive power with respect to the shares held by them, and may be deemed beneficial owners of such shares The principal business address of the Rock Springs Reporting Persons is 650 South Exeter, Suite 1070, Baltimore, MD 21202.</w:t>
      </w:r>
    </w:p>
    <w:p>
      <w:pPr>
        <w:spacing w:after="0" w:line="177" w:lineRule="exact"/>
        <w:rPr>
          <w:rFonts w:ascii="Arial" w:cs="Arial" w:eastAsia="Arial" w:hAnsi="Arial"/>
          <w:sz w:val="17"/>
          <w:szCs w:val="17"/>
          <w:color w:val="auto"/>
        </w:rPr>
      </w:pPr>
    </w:p>
    <w:p>
      <w:pPr>
        <w:ind w:left="360" w:right="239" w:hanging="316"/>
        <w:spacing w:after="0" w:line="263"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(i) 8,057 shares directly owned by Mr. Raab, (ii) 110,240 shares owned directly by Michael G. Raab, trustee of the Michael G. Raab Living Trust dated July 25, 2012, (iii) an aggregate of 1,000 shares owned directly by trusts for the benefit of Mr. Raab’s children.</w:t>
      </w:r>
    </w:p>
    <w:p>
      <w:pPr>
        <w:spacing w:after="0" w:line="183" w:lineRule="exact"/>
        <w:rPr>
          <w:rFonts w:ascii="Arial" w:cs="Arial" w:eastAsia="Arial" w:hAnsi="Arial"/>
          <w:sz w:val="18"/>
          <w:szCs w:val="18"/>
          <w:color w:val="auto"/>
        </w:rPr>
      </w:pPr>
    </w:p>
    <w:p>
      <w:pPr>
        <w:ind w:left="360" w:right="279" w:hanging="316"/>
        <w:spacing w:after="0" w:line="286"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(i) 62,966 shares directly owned by Dr. Rosenbaum, (ii) 365,792 shares that may be acquired directly by Dr. Rosenbaum pursuant to the exercise of stock options or the vesting of restricted stock units within 60 days of April 15, 2020, (iii) 77,592 shares owned indirectly owned by David Paul Rosenbaum and Susan Edelstein Rosenbaum, Trustees of the David Paul Rosenbaum Family Trust, (iv) 10,638 shares owned directly by</w:t>
      </w:r>
    </w:p>
    <w:p>
      <w:pPr>
        <w:spacing w:after="0" w:line="1" w:lineRule="exact"/>
        <w:rPr>
          <w:rFonts w:ascii="Arial" w:cs="Arial" w:eastAsia="Arial" w:hAnsi="Arial"/>
          <w:sz w:val="16"/>
          <w:szCs w:val="16"/>
          <w:color w:val="auto"/>
        </w:rPr>
      </w:pPr>
    </w:p>
    <w:p>
      <w:pPr>
        <w:ind w:left="360" w:right="199"/>
        <w:spacing w:after="0" w:line="260" w:lineRule="auto"/>
        <w:rPr>
          <w:rFonts w:ascii="Arial" w:cs="Arial" w:eastAsia="Arial" w:hAnsi="Arial"/>
          <w:sz w:val="16"/>
          <w:szCs w:val="16"/>
          <w:color w:val="auto"/>
        </w:rPr>
      </w:pPr>
      <w:r>
        <w:rPr>
          <w:rFonts w:ascii="Arial" w:cs="Arial" w:eastAsia="Arial" w:hAnsi="Arial"/>
          <w:sz w:val="18"/>
          <w:szCs w:val="18"/>
          <w:color w:val="auto"/>
        </w:rPr>
        <w:t>Dr. Rosenbaum’s spouse, and (v) 66,324 shares that may be acquired directly by Dr. Rosenbaum’s spouse pursuant to the exercise of stock options with 60 days of April 15, 2020.</w:t>
      </w:r>
    </w:p>
    <w:p>
      <w:pPr>
        <w:spacing w:after="0" w:line="185" w:lineRule="exact"/>
        <w:rPr>
          <w:rFonts w:ascii="Arial" w:cs="Arial" w:eastAsia="Arial" w:hAnsi="Arial"/>
          <w:sz w:val="16"/>
          <w:szCs w:val="16"/>
          <w:color w:val="auto"/>
        </w:rPr>
      </w:pPr>
    </w:p>
    <w:p>
      <w:pPr>
        <w:ind w:left="360" w:right="119" w:hanging="316"/>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(i) 19,431 shares directly owned by Ms. Grammer and (ii) 2,066 shares owned directly by Ms. Grammer’s son.</w:t>
      </w:r>
    </w:p>
    <w:p>
      <w:pPr>
        <w:spacing w:after="0" w:line="170" w:lineRule="exact"/>
        <w:rPr>
          <w:rFonts w:ascii="Arial" w:cs="Arial" w:eastAsia="Arial" w:hAnsi="Arial"/>
          <w:sz w:val="18"/>
          <w:szCs w:val="18"/>
          <w:color w:val="auto"/>
        </w:rPr>
      </w:pPr>
    </w:p>
    <w:p>
      <w:pPr>
        <w:ind w:left="360" w:right="299" w:hanging="316"/>
        <w:spacing w:after="0" w:line="286"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Mr. Mott holds the shares and the options for the benefit of entities associated with New Enterprise Associates and disclaims beneficial ownership of all shares held by him, as well as, all shares that he may acquire within 60 days of April 15, 2020, except to the extent of his actual pecuniary interest therein.</w:t>
      </w:r>
    </w:p>
    <w:p>
      <w:pPr>
        <w:spacing w:after="0" w:line="165" w:lineRule="exact"/>
        <w:rPr>
          <w:rFonts w:ascii="Arial" w:cs="Arial" w:eastAsia="Arial" w:hAnsi="Arial"/>
          <w:sz w:val="17"/>
          <w:szCs w:val="17"/>
          <w:color w:val="auto"/>
        </w:rPr>
      </w:pPr>
    </w:p>
    <w:p>
      <w:pPr>
        <w:ind w:left="360" w:right="239" w:hanging="316"/>
        <w:spacing w:after="0" w:line="308"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Consists of (i) 25,000 shares held by the Barthold Family Foundation, for which Dr. Ringold serves as a trustee, and (ii) 10,000 shares held in an individual retirement account for the benefit of Dr. Ringold.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61"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color w:val="auto"/>
        </w:rPr>
        <w:t>To the Company’s knowledge, based solely on a review of the copies of such reports furnished to the Company and written representations that no other reports were required, during the year ended December 31, 2019, all Section 16(a) filing requirements applicable to our officers, directors and greater than 10% beneficial owners were met, except with respect to a late Form 5 filing for David Rosenbaum on February 20, 2020 reporting the disposition of shares of common stock by the reporting person’s spouse, which shares were deemed to be beneficially owned by Dr. Rosenbaum.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225" w:lineRule="exact"/>
        <w:rPr>
          <w:sz w:val="20"/>
          <w:szCs w:val="20"/>
          <w:color w:val="auto"/>
        </w:rPr>
      </w:pPr>
    </w:p>
    <w:p>
      <w:pPr>
        <w:ind w:left="40" w:right="159"/>
        <w:spacing w:after="0" w:line="220" w:lineRule="exact"/>
        <w:rPr>
          <w:sz w:val="20"/>
          <w:szCs w:val="20"/>
          <w:color w:val="auto"/>
        </w:rPr>
      </w:pPr>
      <w:r>
        <w:rPr>
          <w:rFonts w:ascii="Arial" w:cs="Arial" w:eastAsia="Arial" w:hAnsi="Arial"/>
          <w:sz w:val="17"/>
          <w:szCs w:val="17"/>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w:t>
      </w:r>
      <w:r>
        <w:rPr>
          <w:rFonts w:ascii="MS PGothic" w:cs="MS PGothic" w:eastAsia="MS PGothic" w:hAnsi="MS PGothic"/>
          <w:sz w:val="17"/>
          <w:szCs w:val="17"/>
          <w:color w:val="auto"/>
        </w:rPr>
        <w:t>‑</w:t>
      </w:r>
      <w:r>
        <w:rPr>
          <w:rFonts w:ascii="Arial" w:cs="Arial" w:eastAsia="Arial" w:hAnsi="Arial"/>
          <w:sz w:val="17"/>
          <w:szCs w:val="17"/>
          <w:color w:val="auto"/>
        </w:rPr>
        <w:t>1700 or by mail at Ardelyx, Inc., 34175 Ardenwood Blvd., Fremont, CA 94555.</w:t>
      </w:r>
    </w:p>
    <w:p>
      <w:pPr>
        <w:spacing w:after="0" w:line="204"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225"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25" w:lineRule="exact"/>
        <w:rPr>
          <w:sz w:val="20"/>
          <w:szCs w:val="20"/>
          <w:color w:val="auto"/>
        </w:rPr>
      </w:pPr>
    </w:p>
    <w:p>
      <w:pPr>
        <w:ind w:left="40" w:right="199"/>
        <w:spacing w:after="0" w:line="219" w:lineRule="exact"/>
        <w:rPr>
          <w:sz w:val="20"/>
          <w:szCs w:val="20"/>
          <w:color w:val="auto"/>
        </w:rPr>
      </w:pPr>
      <w:r>
        <w:rPr>
          <w:rFonts w:ascii="Arial" w:cs="Arial" w:eastAsia="Arial" w:hAnsi="Arial"/>
          <w:sz w:val="16"/>
          <w:szCs w:val="16"/>
          <w:b w:val="1"/>
          <w:bCs w:val="1"/>
          <w:color w:val="auto"/>
        </w:rPr>
        <w:t>This proxy statement is accompanied by our 2019 Annual Report to Stockholders, which includes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for the fiscal year ended December 31, 2019, or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includes our audited financial statements. We have filed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with the SEC, and it is available free of charge at the SEC’s website at www.sec.gov and on our website at ir.ardelyx.com. In addition, upon written request to the Company’s Corporate Secretary at Ardelyx, Inc., 34175 Ardenwood Blvd., Fremont, CA 94555, we will mail a paper copy of our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including the financial statements and the financial statement schedules, to you free of charge.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40" w:right="299"/>
        <w:spacing w:after="0" w:line="257" w:lineRule="auto"/>
        <w:rPr>
          <w:sz w:val="20"/>
          <w:szCs w:val="20"/>
          <w:color w:val="auto"/>
        </w:rPr>
      </w:pPr>
      <w:r>
        <w:rPr>
          <w:rFonts w:ascii="Arial" w:cs="Arial" w:eastAsia="Arial" w:hAnsi="Arial"/>
          <w:sz w:val="18"/>
          <w:szCs w:val="18"/>
          <w:color w:val="auto"/>
        </w:rPr>
        <w:t>As of the date of this proxy statement, our board of directors knows of no other matters that will be presented for consideration at the 2020 Annual Meeting other than the matters described in this proxy statement. If other matters are properly brought before the 2020 Annual Meeting, then proxies will be voted in accordance with the recommendation of the board of directors or, in the absence of such a recommendation, in accordance with the best judgment of the proxy holder.</w:t>
      </w:r>
    </w:p>
    <w:p>
      <w:pPr>
        <w:spacing w:after="0" w:line="20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Legal and Administrative Officer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6"/>
          <w:szCs w:val="16"/>
          <w:u w:val="single" w:color="auto"/>
          <w:color w:val="0563C1"/>
        </w:rPr>
      </w:pPr>
      <w:hyperlink w:anchor="page4">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7873365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518160</wp:posOffset>
            </wp:positionV>
            <wp:extent cx="5109210" cy="6600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09210" cy="66008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6"/>
          <w:szCs w:val="16"/>
          <w:u w:val="single" w:color="auto"/>
          <w:color w:val="0563C1"/>
        </w:rPr>
      </w:pPr>
      <w:hyperlink w:anchor="page4">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7727315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372110</wp:posOffset>
            </wp:positionV>
            <wp:extent cx="5109210" cy="6600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09210" cy="660082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6"/>
          <w:szCs w:val="16"/>
          <w:u w:val="single" w:color="auto"/>
          <w:color w:val="0563C1"/>
        </w:rPr>
      </w:pPr>
      <w:hyperlink w:anchor="page4">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7873365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372110</wp:posOffset>
            </wp:positionV>
            <wp:extent cx="5109210" cy="66008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09210" cy="660082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a"/>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2"/>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4"/>
    </w:lvl>
  </w:abstractNum>
  <w:abstractNum w:abstractNumId="22">
    <w:nsid w:val="189A769B"/>
    <w:multiLevelType w:val="hybridMultilevel"/>
    <w:lvl w:ilvl="0">
      <w:lvlJc w:val="left"/>
      <w:lvlText w:val="(%1)"/>
      <w:numFmt w:val="upperLetter"/>
      <w:start w:val="3"/>
    </w:lvl>
  </w:abstractNum>
  <w:abstractNum w:abstractNumId="23">
    <w:nsid w:val="54E49EB4"/>
    <w:multiLevelType w:val="hybridMultilevel"/>
    <w:lvl w:ilvl="0">
      <w:lvlJc w:val="left"/>
      <w:lvlText w:val="(%1)"/>
      <w:numFmt w:val="lowerRoman"/>
      <w:start w:val="2"/>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3"/>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2020-04-27T05:11:03Z</dcterms:created>
  <dcterms:modified xsi:type="dcterms:W3CDTF">2020-04-27T05:11:03Z</dcterms:modified>
</cp:coreProperties>
</file>