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Hohenleitner Susan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ARDELYX,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ARDX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ARDELYX, INC.</w:t>
            </w:r>
          </w:p>
        </w:tc>
        <w:tc>
          <w:tcPr>
            <w:tcW w:w="11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 FIFTH AVE, SUITE 210</w:t>
            </w: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146,896</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10/13/2035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578,104</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5.01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("RSUs"). The Reporting Person is entitled to receive one (1) shares of Common Stock for each one (1) RSU upon the vesting thereof.</w:t>
      </w:r>
    </w:p>
    <w:p>
      <w:pPr>
        <w:spacing w:after="0" w:line="52"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 Five Percent (25%) of the shares subject to the option vest on October 13, 2026 and the remaining shares subject to the option vest in 36 successive, equal monthly installments thereafter, subject to the Reporting Person's continued employment or service relationship with the Issuer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474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4744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Susan 11/07/2025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Hohenleitner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464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4643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47"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580" w:right="83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(i) the Chief Executive Officer of Ardelyx, Inc., a Delaware corporation (the "Company"), who is currently Michael Raab, (ii) the Company's Principal Financial Officer, who is currently Justin Renz,</w:t>
      </w:r>
    </w:p>
    <w:p>
      <w:pPr>
        <w:spacing w:after="0" w:line="3" w:lineRule="exact"/>
        <w:rPr>
          <w:sz w:val="20"/>
          <w:szCs w:val="20"/>
          <w:color w:val="auto"/>
        </w:rPr>
      </w:pPr>
    </w:p>
    <w:p>
      <w:pPr>
        <w:ind w:left="580" w:right="739" w:firstLine="5"/>
        <w:spacing w:after="0" w:line="238" w:lineRule="auto"/>
        <w:tabs>
          <w:tab w:leader="none" w:pos="128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the Company's Principal Accounting Officer, who is currently, Joseph Reilly, (iv) the Senior Vice President of Legal, who is currently Shannon Moesaa, and (v) the Chief Legal Officer, who is currently Elizabeth Grammer, and their respective successors, signing singly, with full power of substitution and resubstitution, as the undersigned's true and lawful attorney-in-fact to:</w:t>
      </w:r>
    </w:p>
    <w:p>
      <w:pPr>
        <w:spacing w:after="0" w:line="3" w:lineRule="exact"/>
        <w:rPr>
          <w:sz w:val="20"/>
          <w:szCs w:val="20"/>
          <w:color w:val="auto"/>
        </w:rPr>
      </w:pPr>
    </w:p>
    <w:p>
      <w:pPr>
        <w:ind w:left="580" w:right="1199" w:firstLine="5"/>
        <w:spacing w:after="0" w:line="238" w:lineRule="auto"/>
        <w:tabs>
          <w:tab w:leader="none" w:pos="116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the Company,</w:t>
      </w:r>
    </w:p>
    <w:p>
      <w:pPr>
        <w:spacing w:after="0" w:line="1" w:lineRule="exact"/>
        <w:rPr>
          <w:sz w:val="20"/>
          <w:szCs w:val="20"/>
          <w:color w:val="auto"/>
        </w:rPr>
      </w:pPr>
    </w:p>
    <w:p>
      <w:pPr>
        <w:jc w:val="both"/>
        <w:ind w:left="580" w:right="1199" w:firstLine="5"/>
        <w:spacing w:after="0" w:line="238" w:lineRule="auto"/>
        <w:tabs>
          <w:tab w:leader="none" w:pos="1165"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Schedules 13D and 13G in accordance with Section 13 of the Securities Exchange Act of 1934, as amended (the "Exchange Act"), and the rules thereunder, (b) Forms 3, 4 and 5 (including amendments thereto) in accordance with Section 16(a) of Exchange Act and the rules and regulations thereunder, (c) Notices of Proposed Sale of Securities Pursuant to Rule 144 ("Form 144"), in accordance with the requirements of Rule 144 under the Securities Act of 1933, as amended (the "Securities Act") and (d) Form ID, Uniform Application for Access Codes to File on EDGAR;</w:t>
      </w:r>
    </w:p>
    <w:p>
      <w:pPr>
        <w:spacing w:after="0" w:line="4" w:lineRule="exact"/>
        <w:rPr>
          <w:sz w:val="20"/>
          <w:szCs w:val="20"/>
          <w:color w:val="auto"/>
        </w:rPr>
      </w:pPr>
    </w:p>
    <w:p>
      <w:pPr>
        <w:jc w:val="both"/>
        <w:ind w:left="580" w:right="1199" w:firstLine="5"/>
        <w:spacing w:after="0" w:line="238" w:lineRule="auto"/>
        <w:tabs>
          <w:tab w:leader="none" w:pos="1165"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United States Securities and Exchange Commission and any stock exchange or similar authority; and</w:t>
      </w:r>
    </w:p>
    <w:p>
      <w:pPr>
        <w:spacing w:after="0" w:line="3" w:lineRule="exact"/>
        <w:rPr>
          <w:rFonts w:ascii="Courier New" w:cs="Courier New" w:eastAsia="Courier New" w:hAnsi="Courier New"/>
          <w:sz w:val="20"/>
          <w:szCs w:val="20"/>
          <w:color w:val="auto"/>
        </w:rPr>
      </w:pPr>
    </w:p>
    <w:p>
      <w:pPr>
        <w:jc w:val="both"/>
        <w:ind w:left="580" w:right="1199" w:firstLine="5"/>
        <w:spacing w:after="0" w:line="238" w:lineRule="auto"/>
        <w:tabs>
          <w:tab w:leader="none" w:pos="1165"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left="1180"/>
        <w:spacing w:after="0"/>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w:t>
      </w:r>
    </w:p>
    <w:p>
      <w:pPr>
        <w:spacing w:after="0" w:line="21"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w:t>
      </w:r>
    </w:p>
    <w:p>
      <w:pPr>
        <w:spacing w:after="0" w:line="5" w:lineRule="exact"/>
        <w:rPr>
          <w:sz w:val="20"/>
          <w:szCs w:val="20"/>
          <w:color w:val="auto"/>
        </w:rPr>
      </w:pPr>
    </w:p>
    <w:p>
      <w:pPr>
        <w:jc w:val="both"/>
        <w:ind w:right="619" w:firstLine="585"/>
        <w:spacing w:after="0" w:line="238" w:lineRule="auto"/>
        <w:rPr>
          <w:sz w:val="20"/>
          <w:szCs w:val="20"/>
          <w:color w:val="auto"/>
        </w:rPr>
      </w:pPr>
      <w:r>
        <w:rPr>
          <w:rFonts w:ascii="Courier New" w:cs="Courier New" w:eastAsia="Courier New" w:hAnsi="Courier New"/>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5" w:lineRule="exact"/>
        <w:rPr>
          <w:sz w:val="20"/>
          <w:szCs w:val="20"/>
          <w:color w:val="auto"/>
        </w:rPr>
      </w:pPr>
    </w:p>
    <w:p>
      <w:pPr>
        <w:jc w:val="both"/>
        <w:ind w:right="619" w:firstLine="585"/>
        <w:spacing w:after="0" w:line="238" w:lineRule="auto"/>
        <w:rPr>
          <w:sz w:val="20"/>
          <w:szCs w:val="20"/>
          <w:color w:val="auto"/>
        </w:rPr>
      </w:pPr>
      <w:r>
        <w:rPr>
          <w:rFonts w:ascii="Courier New" w:cs="Courier New" w:eastAsia="Courier New" w:hAnsi="Courier New"/>
          <w:sz w:val="20"/>
          <w:szCs w:val="20"/>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spacing w:after="0" w:line="2" w:lineRule="exact"/>
        <w:rPr>
          <w:sz w:val="20"/>
          <w:szCs w:val="20"/>
          <w:color w:val="auto"/>
        </w:rPr>
      </w:pPr>
    </w:p>
    <w:p>
      <w:pPr>
        <w:jc w:val="both"/>
        <w:ind w:right="619" w:firstLine="585"/>
        <w:spacing w:after="0" w:line="291"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w:t>
      </w:r>
    </w:p>
    <w:p>
      <w:pPr>
        <w:sectPr>
          <w:pgSz w:w="11900" w:h="16886" w:orient="portrait"/>
          <w:cols w:equalWidth="0" w:num="1">
            <w:col w:w="9979"/>
          </w:cols>
          <w:pgMar w:left="480" w:top="556" w:right="1440" w:bottom="0" w:gutter="0" w:footer="0" w:header="0"/>
        </w:sectPr>
      </w:pPr>
    </w:p>
    <w:bookmarkStart w:id="2" w:name="page3"/>
    <w:bookmarkEnd w:id="2"/>
    <w:p>
      <w:pPr>
        <w:ind w:right="619"/>
        <w:spacing w:after="0" w:line="257" w:lineRule="auto"/>
        <w:rPr>
          <w:sz w:val="20"/>
          <w:szCs w:val="20"/>
          <w:color w:val="auto"/>
        </w:rPr>
      </w:pPr>
      <w:r>
        <w:rPr>
          <w:rFonts w:ascii="Courier New" w:cs="Courier New" w:eastAsia="Courier New" w:hAnsi="Courier New"/>
          <w:sz w:val="20"/>
          <w:szCs w:val="20"/>
          <w:color w:val="auto"/>
        </w:rPr>
        <w:t>superseded by a new power of attorney regarding the purposes outlined in the first paragraph hereof dated as of a later date.</w:t>
      </w:r>
    </w:p>
    <w:p>
      <w:pPr>
        <w:spacing w:after="0" w:line="1" w:lineRule="exact"/>
        <w:rPr>
          <w:sz w:val="20"/>
          <w:szCs w:val="20"/>
          <w:color w:val="auto"/>
        </w:rPr>
      </w:pPr>
    </w:p>
    <w:p>
      <w:pPr>
        <w:ind w:right="959" w:firstLine="585"/>
        <w:spacing w:after="0" w:line="31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day of October 16,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/S/ SUE HOHENLEITNER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93095"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2025-11-07T15:17:50Z</dcterms:created>
  <dcterms:modified xsi:type="dcterms:W3CDTF">2025-11-07T15:17:50Z</dcterms:modified>
</cp:coreProperties>
</file>