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231F20"/>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231F20"/>
        </w:rPr>
        <w:t>SECURITIES AND EXCHANGE COMMISSION</w:t>
      </w:r>
    </w:p>
    <w:p>
      <w:pPr>
        <w:jc w:val="center"/>
        <w:spacing w:after="0"/>
        <w:rPr>
          <w:sz w:val="20"/>
          <w:szCs w:val="20"/>
          <w:color w:val="auto"/>
        </w:rPr>
      </w:pPr>
      <w:r>
        <w:rPr>
          <w:rFonts w:ascii="Arial" w:cs="Arial" w:eastAsia="Arial" w:hAnsi="Arial"/>
          <w:sz w:val="20"/>
          <w:szCs w:val="20"/>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68580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231F20"/>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86360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b w:val="1"/>
          <w:bCs w:val="1"/>
          <w:color w:val="231F20"/>
        </w:rPr>
        <w:t>(Mark One)</w:t>
      </w:r>
    </w:p>
    <w:p>
      <w:pPr>
        <w:spacing w:after="0" w:line="5" w:lineRule="exact"/>
        <w:rPr>
          <w:sz w:val="24"/>
          <w:szCs w:val="24"/>
          <w:color w:val="auto"/>
        </w:rPr>
      </w:pPr>
    </w:p>
    <w:p>
      <w:pPr>
        <w:ind w:left="520" w:hanging="517"/>
        <w:spacing w:after="0"/>
        <w:tabs>
          <w:tab w:leader="none" w:pos="520" w:val="left"/>
        </w:tabs>
        <w:numPr>
          <w:ilvl w:val="0"/>
          <w:numId w:val="1"/>
        </w:numPr>
        <w:rPr>
          <w:rFonts w:ascii="MS PGothic" w:cs="MS PGothic" w:eastAsia="MS PGothic" w:hAnsi="MS PGothic"/>
          <w:sz w:val="18"/>
          <w:szCs w:val="18"/>
          <w:color w:val="231F20"/>
        </w:rPr>
      </w:pPr>
      <w:r>
        <w:rPr>
          <w:rFonts w:ascii="Arial" w:cs="Arial" w:eastAsia="Arial" w:hAnsi="Arial"/>
          <w:sz w:val="18"/>
          <w:szCs w:val="18"/>
          <w:b w:val="1"/>
          <w:bCs w:val="1"/>
          <w:color w:val="231F20"/>
        </w:rPr>
        <w:t>ANNUAL REPORT PURSUANT TO SECTION 13 OR 15(D) OF THE SECURITIES EXCHANGE ACT OF 1934</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FOR THE FISCAL YEAR ENDED DECEMBER 31, 2019</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231F20"/>
        </w:rPr>
        <w:t>OR</w:t>
      </w:r>
    </w:p>
    <w:p>
      <w:pPr>
        <w:spacing w:after="0" w:line="82" w:lineRule="exact"/>
        <w:rPr>
          <w:sz w:val="24"/>
          <w:szCs w:val="24"/>
          <w:color w:val="auto"/>
        </w:rPr>
      </w:pPr>
    </w:p>
    <w:p>
      <w:pPr>
        <w:ind w:left="520" w:hanging="517"/>
        <w:spacing w:after="0"/>
        <w:tabs>
          <w:tab w:leader="none" w:pos="520" w:val="left"/>
        </w:tabs>
        <w:numPr>
          <w:ilvl w:val="0"/>
          <w:numId w:val="2"/>
        </w:numPr>
        <w:rPr>
          <w:rFonts w:ascii="MS PGothic" w:cs="MS PGothic" w:eastAsia="MS PGothic" w:hAnsi="MS PGothic"/>
          <w:sz w:val="18"/>
          <w:szCs w:val="18"/>
          <w:color w:val="231F20"/>
        </w:rPr>
      </w:pPr>
      <w:r>
        <w:rPr>
          <w:rFonts w:ascii="Arial" w:cs="Arial" w:eastAsia="Arial" w:hAnsi="Arial"/>
          <w:sz w:val="18"/>
          <w:szCs w:val="18"/>
          <w:b w:val="1"/>
          <w:bCs w:val="1"/>
          <w:color w:val="231F20"/>
        </w:rPr>
        <w:t>TRANSITION REPORT PURSUANT TO SECTION 13 OR 15(D) OF THE SECURITIES EXCHANGE ACT OF 1934</w:t>
      </w:r>
    </w:p>
    <w:p>
      <w:pPr>
        <w:spacing w:after="0" w:line="72" w:lineRule="exact"/>
        <w:rPr>
          <w:sz w:val="24"/>
          <w:szCs w:val="24"/>
          <w:color w:val="auto"/>
        </w:rPr>
      </w:pPr>
    </w:p>
    <w:p>
      <w:pPr>
        <w:ind w:left="2940"/>
        <w:spacing w:after="0"/>
        <w:tabs>
          <w:tab w:leader="none" w:pos="6340" w:val="left"/>
        </w:tabs>
        <w:rPr>
          <w:sz w:val="20"/>
          <w:szCs w:val="20"/>
          <w:color w:val="auto"/>
        </w:rPr>
      </w:pPr>
      <w:r>
        <w:rPr>
          <w:rFonts w:ascii="Arial" w:cs="Arial" w:eastAsia="Arial" w:hAnsi="Arial"/>
          <w:sz w:val="14"/>
          <w:szCs w:val="14"/>
          <w:b w:val="1"/>
          <w:bCs w:val="1"/>
          <w:color w:val="231F20"/>
        </w:rPr>
        <w:t>FOR THE TRANSITION PERIOD FROM</w:t>
      </w:r>
      <w:r>
        <w:rPr>
          <w:sz w:val="20"/>
          <w:szCs w:val="20"/>
          <w:color w:val="auto"/>
        </w:rPr>
        <w:tab/>
      </w:r>
      <w:r>
        <w:rPr>
          <w:rFonts w:ascii="Arial" w:cs="Arial" w:eastAsia="Arial" w:hAnsi="Arial"/>
          <w:sz w:val="14"/>
          <w:szCs w:val="14"/>
          <w:b w:val="1"/>
          <w:bCs w:val="1"/>
          <w:color w:val="231F20"/>
        </w:rPr>
        <w:t>TO</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COMMISSION FILE NUMBER 001-36485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74930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231F20"/>
        </w:rPr>
        <w:t>ARDELYX,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0" w:lineRule="exact"/>
        <w:rPr>
          <w:sz w:val="24"/>
          <w:szCs w:val="24"/>
          <w:color w:val="auto"/>
        </w:rPr>
      </w:pPr>
    </w:p>
    <w:tbl>
      <w:tblPr>
        <w:tblLayout w:type="fixed"/>
        <w:tblInd w:w="1380" w:type="dxa"/>
        <w:tblCellMar>
          <w:top w:w="0" w:type="dxa"/>
          <w:left w:w="0" w:type="dxa"/>
          <w:bottom w:w="0" w:type="dxa"/>
          <w:right w:w="0" w:type="dxa"/>
        </w:tblCellMar>
      </w:tblPr>
      <w:tr>
        <w:trPr>
          <w:trHeight w:val="198"/>
        </w:trPr>
        <w:tc>
          <w:tcPr>
            <w:tcW w:w="4000" w:type="dxa"/>
            <w:vAlign w:val="bottom"/>
          </w:tcPr>
          <w:p>
            <w:pPr>
              <w:jc w:val="center"/>
              <w:ind w:right="1571"/>
              <w:spacing w:after="0"/>
              <w:rPr>
                <w:sz w:val="20"/>
                <w:szCs w:val="20"/>
                <w:color w:val="auto"/>
              </w:rPr>
            </w:pPr>
            <w:r>
              <w:rPr>
                <w:rFonts w:ascii="Arial" w:cs="Arial" w:eastAsia="Arial" w:hAnsi="Arial"/>
                <w:sz w:val="16"/>
                <w:szCs w:val="16"/>
                <w:b w:val="1"/>
                <w:bCs w:val="1"/>
                <w:color w:val="231F20"/>
                <w:w w:val="99"/>
              </w:rPr>
              <w:t>DELAWARE</w:t>
            </w:r>
          </w:p>
        </w:tc>
        <w:tc>
          <w:tcPr>
            <w:tcW w:w="2980" w:type="dxa"/>
            <w:vAlign w:val="bottom"/>
          </w:tcPr>
          <w:p>
            <w:pPr>
              <w:jc w:val="center"/>
              <w:ind w:left="1571"/>
              <w:spacing w:after="0"/>
              <w:rPr>
                <w:sz w:val="20"/>
                <w:szCs w:val="20"/>
                <w:color w:val="auto"/>
              </w:rPr>
            </w:pPr>
            <w:r>
              <w:rPr>
                <w:rFonts w:ascii="Arial" w:cs="Arial" w:eastAsia="Arial" w:hAnsi="Arial"/>
                <w:sz w:val="16"/>
                <w:szCs w:val="16"/>
                <w:b w:val="1"/>
                <w:bCs w:val="1"/>
                <w:color w:val="231F20"/>
                <w:w w:val="91"/>
              </w:rPr>
              <w:t>26-1303944</w:t>
            </w:r>
          </w:p>
        </w:tc>
      </w:tr>
      <w:tr>
        <w:trPr>
          <w:trHeight w:val="135"/>
        </w:trPr>
        <w:tc>
          <w:tcPr>
            <w:tcW w:w="4000" w:type="dxa"/>
            <w:vAlign w:val="bottom"/>
          </w:tcPr>
          <w:p>
            <w:pPr>
              <w:jc w:val="center"/>
              <w:ind w:right="1551"/>
              <w:spacing w:after="0" w:line="135" w:lineRule="exact"/>
              <w:rPr>
                <w:sz w:val="20"/>
                <w:szCs w:val="20"/>
                <w:color w:val="auto"/>
              </w:rPr>
            </w:pPr>
            <w:r>
              <w:rPr>
                <w:rFonts w:ascii="Arial" w:cs="Arial" w:eastAsia="Arial" w:hAnsi="Arial"/>
                <w:sz w:val="13"/>
                <w:szCs w:val="13"/>
                <w:b w:val="1"/>
                <w:bCs w:val="1"/>
                <w:color w:val="231F20"/>
                <w:w w:val="97"/>
              </w:rPr>
              <w:t>(STATE OR OTHER JURISDICTION OF</w:t>
            </w:r>
          </w:p>
        </w:tc>
        <w:tc>
          <w:tcPr>
            <w:tcW w:w="2980" w:type="dxa"/>
            <w:vAlign w:val="bottom"/>
          </w:tcPr>
          <w:p>
            <w:pPr>
              <w:jc w:val="center"/>
              <w:ind w:left="1551"/>
              <w:spacing w:after="0" w:line="135" w:lineRule="exact"/>
              <w:rPr>
                <w:sz w:val="20"/>
                <w:szCs w:val="20"/>
                <w:color w:val="auto"/>
              </w:rPr>
            </w:pPr>
            <w:r>
              <w:rPr>
                <w:rFonts w:ascii="Arial" w:cs="Arial" w:eastAsia="Arial" w:hAnsi="Arial"/>
                <w:sz w:val="13"/>
                <w:szCs w:val="13"/>
                <w:b w:val="1"/>
                <w:bCs w:val="1"/>
                <w:color w:val="231F20"/>
                <w:w w:val="98"/>
              </w:rPr>
              <w:t>(I.R.S. EMPLOYER</w:t>
            </w:r>
          </w:p>
        </w:tc>
      </w:tr>
      <w:tr>
        <w:trPr>
          <w:trHeight w:val="164"/>
        </w:trPr>
        <w:tc>
          <w:tcPr>
            <w:tcW w:w="4000" w:type="dxa"/>
            <w:vAlign w:val="bottom"/>
          </w:tcPr>
          <w:p>
            <w:pPr>
              <w:jc w:val="center"/>
              <w:ind w:right="1551"/>
              <w:spacing w:after="0"/>
              <w:rPr>
                <w:sz w:val="20"/>
                <w:szCs w:val="20"/>
                <w:color w:val="auto"/>
              </w:rPr>
            </w:pPr>
            <w:r>
              <w:rPr>
                <w:rFonts w:ascii="Arial" w:cs="Arial" w:eastAsia="Arial" w:hAnsi="Arial"/>
                <w:sz w:val="13"/>
                <w:szCs w:val="13"/>
                <w:b w:val="1"/>
                <w:bCs w:val="1"/>
                <w:color w:val="231F20"/>
                <w:w w:val="98"/>
              </w:rPr>
              <w:t>INCORPORATION OR ORGANIZATION)</w:t>
            </w:r>
          </w:p>
        </w:tc>
        <w:tc>
          <w:tcPr>
            <w:tcW w:w="2980" w:type="dxa"/>
            <w:vAlign w:val="bottom"/>
          </w:tcPr>
          <w:p>
            <w:pPr>
              <w:jc w:val="center"/>
              <w:ind w:left="1551"/>
              <w:spacing w:after="0"/>
              <w:rPr>
                <w:sz w:val="20"/>
                <w:szCs w:val="20"/>
                <w:color w:val="auto"/>
              </w:rPr>
            </w:pPr>
            <w:r>
              <w:rPr>
                <w:rFonts w:ascii="Arial" w:cs="Arial" w:eastAsia="Arial" w:hAnsi="Arial"/>
                <w:sz w:val="13"/>
                <w:szCs w:val="13"/>
                <w:b w:val="1"/>
                <w:bCs w:val="1"/>
                <w:color w:val="231F20"/>
              </w:rPr>
              <w:t>IDENTIFICATION NO.)</w:t>
            </w:r>
          </w:p>
        </w:tc>
      </w:tr>
    </w:tbl>
    <w:p>
      <w:pPr>
        <w:spacing w:after="0" w:line="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34175 ARDENWOOD BLVD., SUITE 200, FREMONT, CALIFORNIA 94555</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(ADDRESS OF PRINCIPAL EXECUTIVE OFFICES, INCLUDING ZIP CODE)</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(510) 745-1700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62230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Securities registered pursuant to Section 12(b) of the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080" w:type="dxa"/>
            <w:vAlign w:val="bottom"/>
          </w:tcPr>
          <w:p>
            <w:pPr>
              <w:jc w:val="center"/>
              <w:ind w:left="73"/>
              <w:spacing w:after="0"/>
              <w:rPr>
                <w:sz w:val="20"/>
                <w:szCs w:val="20"/>
                <w:color w:val="auto"/>
              </w:rPr>
            </w:pPr>
            <w:r>
              <w:rPr>
                <w:rFonts w:ascii="Arial" w:cs="Arial" w:eastAsia="Arial" w:hAnsi="Arial"/>
                <w:sz w:val="13"/>
                <w:szCs w:val="13"/>
                <w:b w:val="1"/>
                <w:bCs w:val="1"/>
                <w:color w:val="231F20"/>
                <w:w w:val="88"/>
              </w:rPr>
              <w:t>Title of Each Class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360" w:type="dxa"/>
            <w:vAlign w:val="bottom"/>
            <w:gridSpan w:val="3"/>
          </w:tcPr>
          <w:p>
            <w:pPr>
              <w:jc w:val="center"/>
              <w:ind w:right="600"/>
              <w:spacing w:after="0"/>
              <w:rPr>
                <w:sz w:val="20"/>
                <w:szCs w:val="20"/>
                <w:color w:val="auto"/>
              </w:rPr>
            </w:pPr>
            <w:r>
              <w:rPr>
                <w:rFonts w:ascii="Arial" w:cs="Arial" w:eastAsia="Arial" w:hAnsi="Arial"/>
                <w:sz w:val="13"/>
                <w:szCs w:val="13"/>
                <w:b w:val="1"/>
                <w:bCs w:val="1"/>
                <w:color w:val="231F20"/>
                <w:w w:val="87"/>
              </w:rPr>
              <w:t>Trading Symbol(s)</w:t>
            </w:r>
          </w:p>
        </w:tc>
        <w:tc>
          <w:tcPr>
            <w:tcW w:w="3020" w:type="dxa"/>
            <w:vAlign w:val="bottom"/>
          </w:tcPr>
          <w:p>
            <w:pPr>
              <w:jc w:val="center"/>
              <w:spacing w:after="0"/>
              <w:rPr>
                <w:sz w:val="20"/>
                <w:szCs w:val="20"/>
                <w:color w:val="auto"/>
              </w:rPr>
            </w:pPr>
            <w:r>
              <w:rPr>
                <w:rFonts w:ascii="Arial" w:cs="Arial" w:eastAsia="Arial" w:hAnsi="Arial"/>
                <w:sz w:val="13"/>
                <w:szCs w:val="13"/>
                <w:b w:val="1"/>
                <w:bCs w:val="1"/>
                <w:color w:val="231F20"/>
                <w:w w:val="86"/>
              </w:rPr>
              <w:t>Name of Each Exchange on Which Registered</w:t>
            </w:r>
          </w:p>
        </w:tc>
      </w:tr>
      <w:tr>
        <w:trPr>
          <w:trHeight w:val="180"/>
        </w:trPr>
        <w:tc>
          <w:tcPr>
            <w:tcW w:w="3080" w:type="dxa"/>
            <w:vAlign w:val="bottom"/>
            <w:tcBorders>
              <w:top w:val="single" w:sz="8" w:color="auto"/>
            </w:tcBorders>
          </w:tcPr>
          <w:p>
            <w:pPr>
              <w:jc w:val="center"/>
              <w:ind w:left="53"/>
              <w:spacing w:after="0"/>
              <w:rPr>
                <w:sz w:val="20"/>
                <w:szCs w:val="20"/>
                <w:color w:val="auto"/>
              </w:rPr>
            </w:pPr>
            <w:r>
              <w:rPr>
                <w:rFonts w:ascii="Arial" w:cs="Arial" w:eastAsia="Arial" w:hAnsi="Arial"/>
                <w:sz w:val="14"/>
                <w:szCs w:val="14"/>
                <w:b w:val="1"/>
                <w:bCs w:val="1"/>
                <w:color w:val="231F20"/>
                <w:w w:val="92"/>
              </w:rPr>
              <w:t>Common Stock, par value $0.0001 per share</w:t>
            </w:r>
          </w:p>
        </w:tc>
        <w:tc>
          <w:tcPr>
            <w:tcW w:w="1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231F20"/>
              </w:rPr>
              <w:t>ARDX</w:t>
            </w:r>
          </w:p>
        </w:tc>
        <w:tc>
          <w:tcPr>
            <w:tcW w:w="120" w:type="dxa"/>
            <w:vAlign w:val="bottom"/>
          </w:tcPr>
          <w:p>
            <w:pPr>
              <w:spacing w:after="0"/>
              <w:rPr>
                <w:sz w:val="15"/>
                <w:szCs w:val="15"/>
                <w:color w:val="auto"/>
              </w:rPr>
            </w:pPr>
          </w:p>
        </w:tc>
        <w:tc>
          <w:tcPr>
            <w:tcW w:w="3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231F20"/>
                <w:w w:val="96"/>
              </w:rPr>
              <w:t>The Nasdaq Global Market</w:t>
            </w:r>
          </w:p>
        </w:tc>
      </w:tr>
      <w:tr>
        <w:trPr>
          <w:trHeight w:val="207"/>
        </w:trPr>
        <w:tc>
          <w:tcPr>
            <w:tcW w:w="3080" w:type="dxa"/>
            <w:vAlign w:val="bottom"/>
          </w:tcPr>
          <w:p>
            <w:pPr>
              <w:spacing w:after="0"/>
              <w:rPr>
                <w:sz w:val="17"/>
                <w:szCs w:val="17"/>
                <w:color w:val="auto"/>
              </w:rPr>
            </w:pPr>
          </w:p>
        </w:tc>
        <w:tc>
          <w:tcPr>
            <w:tcW w:w="4100" w:type="dxa"/>
            <w:vAlign w:val="bottom"/>
            <w:gridSpan w:val="6"/>
          </w:tcPr>
          <w:p>
            <w:pPr>
              <w:ind w:left="120"/>
              <w:spacing w:after="0"/>
              <w:rPr>
                <w:sz w:val="20"/>
                <w:szCs w:val="20"/>
                <w:color w:val="auto"/>
              </w:rPr>
            </w:pPr>
            <w:r>
              <w:rPr>
                <w:rFonts w:ascii="Arial" w:cs="Arial" w:eastAsia="Arial" w:hAnsi="Arial"/>
                <w:sz w:val="14"/>
                <w:szCs w:val="14"/>
                <w:b w:val="1"/>
                <w:bCs w:val="1"/>
                <w:color w:val="231F20"/>
                <w:w w:val="93"/>
              </w:rPr>
              <w:t>Securities registered pursuant to Section 12(g) of the Act: None</w:t>
            </w:r>
          </w:p>
        </w:tc>
        <w:tc>
          <w:tcPr>
            <w:tcW w:w="3020" w:type="dxa"/>
            <w:vAlign w:val="bottom"/>
          </w:tcPr>
          <w:p>
            <w:pPr>
              <w:spacing w:after="0"/>
              <w:rPr>
                <w:sz w:val="17"/>
                <w:szCs w:val="17"/>
                <w:color w:val="auto"/>
              </w:rPr>
            </w:pPr>
          </w:p>
        </w:tc>
      </w:tr>
      <w:tr>
        <w:trPr>
          <w:trHeight w:val="100"/>
        </w:trPr>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20" w:type="dxa"/>
            <w:vAlign w:val="bottom"/>
          </w:tcPr>
          <w:p>
            <w:pPr>
              <w:spacing w:after="0"/>
              <w:rPr>
                <w:sz w:val="8"/>
                <w:szCs w:val="8"/>
                <w:color w:val="auto"/>
              </w:rPr>
            </w:pPr>
          </w:p>
        </w:tc>
      </w:tr>
    </w:tbl>
    <w:p>
      <w:pPr>
        <w:spacing w:after="0" w:line="75" w:lineRule="exact"/>
        <w:rPr>
          <w:sz w:val="24"/>
          <w:szCs w:val="24"/>
          <w:color w:val="auto"/>
        </w:rPr>
      </w:pPr>
    </w:p>
    <w:p>
      <w:pPr>
        <w:ind w:right="2600"/>
        <w:spacing w:after="0" w:line="228" w:lineRule="exact"/>
        <w:rPr>
          <w:sz w:val="20"/>
          <w:szCs w:val="20"/>
          <w:color w:val="auto"/>
        </w:rPr>
      </w:pPr>
      <w:r>
        <w:rPr>
          <w:rFonts w:ascii="Arial" w:cs="Arial" w:eastAsia="Arial" w:hAnsi="Arial"/>
          <w:sz w:val="13"/>
          <w:szCs w:val="13"/>
          <w:color w:val="231F20"/>
        </w:rPr>
        <w:t xml:space="preserve">Indicate by check mark if the Registrant is a well-known seasoned issuer, as defined in Rule 405 of the Securities Act. Yes </w:t>
      </w:r>
      <w:r>
        <w:rPr>
          <w:rFonts w:ascii="MS PGothic" w:cs="MS PGothic" w:eastAsia="MS PGothic" w:hAnsi="MS PGothic"/>
          <w:sz w:val="13"/>
          <w:szCs w:val="13"/>
          <w:color w:val="000000"/>
        </w:rPr>
        <w:t>☐</w:t>
      </w:r>
      <w:r>
        <w:rPr>
          <w:rFonts w:ascii="Arial" w:cs="Arial" w:eastAsia="Arial" w:hAnsi="Arial"/>
          <w:sz w:val="13"/>
          <w:szCs w:val="13"/>
          <w:color w:val="231F20"/>
        </w:rPr>
        <w:t xml:space="preserve"> No </w:t>
      </w:r>
      <w:r>
        <w:rPr>
          <w:rFonts w:ascii="MS PGothic" w:cs="MS PGothic" w:eastAsia="MS PGothic" w:hAnsi="MS PGothic"/>
          <w:sz w:val="13"/>
          <w:szCs w:val="13"/>
          <w:color w:val="000000"/>
        </w:rPr>
        <w:t>☒</w:t>
      </w:r>
      <w:r>
        <w:rPr>
          <w:rFonts w:ascii="Arial" w:cs="Arial" w:eastAsia="Arial" w:hAnsi="Arial"/>
          <w:sz w:val="13"/>
          <w:szCs w:val="13"/>
          <w:color w:val="231F20"/>
        </w:rPr>
        <w:t xml:space="preserve"> Indicate by check mark if the Registrant is not required to file reports pursuant to Section 13 or 15(d) of the Act. Yes </w:t>
      </w:r>
      <w:r>
        <w:rPr>
          <w:rFonts w:ascii="MS PGothic" w:cs="MS PGothic" w:eastAsia="MS PGothic" w:hAnsi="MS PGothic"/>
          <w:sz w:val="13"/>
          <w:szCs w:val="13"/>
          <w:color w:val="000000"/>
        </w:rPr>
        <w:t>☐</w:t>
      </w:r>
      <w:r>
        <w:rPr>
          <w:rFonts w:ascii="Arial" w:cs="Arial" w:eastAsia="Arial" w:hAnsi="Arial"/>
          <w:sz w:val="13"/>
          <w:szCs w:val="13"/>
          <w:color w:val="231F20"/>
        </w:rPr>
        <w:t xml:space="preserve"> No </w:t>
      </w:r>
      <w:r>
        <w:rPr>
          <w:rFonts w:ascii="MS PGothic" w:cs="MS PGothic" w:eastAsia="MS PGothic" w:hAnsi="MS PGothic"/>
          <w:sz w:val="13"/>
          <w:szCs w:val="13"/>
          <w:color w:val="000000"/>
        </w:rPr>
        <w:t>☒</w:t>
      </w:r>
    </w:p>
    <w:p>
      <w:pPr>
        <w:spacing w:after="0" w:line="18" w:lineRule="exact"/>
        <w:rPr>
          <w:sz w:val="24"/>
          <w:szCs w:val="24"/>
          <w:color w:val="auto"/>
        </w:rPr>
      </w:pPr>
    </w:p>
    <w:p>
      <w:pPr>
        <w:spacing w:after="0" w:line="181" w:lineRule="exact"/>
        <w:rPr>
          <w:sz w:val="20"/>
          <w:szCs w:val="20"/>
          <w:color w:val="auto"/>
        </w:rPr>
      </w:pPr>
      <w:r>
        <w:rPr>
          <w:rFonts w:ascii="Arial" w:cs="Arial" w:eastAsia="Arial" w:hAnsi="Arial"/>
          <w:sz w:val="13"/>
          <w:szCs w:val="13"/>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000000"/>
        </w:rPr>
        <w:t>☒</w:t>
      </w:r>
      <w:r>
        <w:rPr>
          <w:rFonts w:ascii="Arial" w:cs="Arial" w:eastAsia="Arial" w:hAnsi="Arial"/>
          <w:sz w:val="13"/>
          <w:szCs w:val="13"/>
          <w:color w:val="231F20"/>
        </w:rPr>
        <w:t xml:space="preserve"> No </w:t>
      </w:r>
      <w:r>
        <w:rPr>
          <w:rFonts w:ascii="MS PGothic" w:cs="MS PGothic" w:eastAsia="MS PGothic" w:hAnsi="MS PGothic"/>
          <w:sz w:val="13"/>
          <w:szCs w:val="13"/>
          <w:color w:val="000000"/>
        </w:rPr>
        <w:t>☐</w:t>
      </w:r>
    </w:p>
    <w:p>
      <w:pPr>
        <w:spacing w:after="0" w:line="18" w:lineRule="exact"/>
        <w:rPr>
          <w:sz w:val="24"/>
          <w:szCs w:val="24"/>
          <w:color w:val="auto"/>
        </w:rPr>
      </w:pPr>
    </w:p>
    <w:p>
      <w:pPr>
        <w:ind w:right="580"/>
        <w:spacing w:after="0" w:line="181" w:lineRule="exact"/>
        <w:rPr>
          <w:sz w:val="20"/>
          <w:szCs w:val="20"/>
          <w:color w:val="auto"/>
        </w:rPr>
      </w:pPr>
      <w:r>
        <w:rPr>
          <w:rFonts w:ascii="Arial" w:cs="Arial" w:eastAsia="Arial" w:hAnsi="Arial"/>
          <w:sz w:val="13"/>
          <w:szCs w:val="13"/>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000000"/>
        </w:rPr>
        <w:t>☒</w:t>
      </w:r>
      <w:r>
        <w:rPr>
          <w:rFonts w:ascii="Arial" w:cs="Arial" w:eastAsia="Arial" w:hAnsi="Arial"/>
          <w:sz w:val="13"/>
          <w:szCs w:val="13"/>
          <w:color w:val="231F20"/>
        </w:rPr>
        <w:t xml:space="preserve"> No </w:t>
      </w:r>
      <w:r>
        <w:rPr>
          <w:rFonts w:ascii="MS PGothic" w:cs="MS PGothic" w:eastAsia="MS PGothic" w:hAnsi="MS PGothic"/>
          <w:sz w:val="13"/>
          <w:szCs w:val="13"/>
          <w:color w:val="000000"/>
        </w:rPr>
        <w:t>☐</w:t>
      </w:r>
    </w:p>
    <w:p>
      <w:pPr>
        <w:spacing w:after="0" w:line="220" w:lineRule="exact"/>
        <w:rPr>
          <w:sz w:val="24"/>
          <w:szCs w:val="24"/>
          <w:color w:val="auto"/>
        </w:rPr>
      </w:pPr>
    </w:p>
    <w:p>
      <w:pPr>
        <w:ind w:right="160"/>
        <w:spacing w:after="0" w:line="270" w:lineRule="auto"/>
        <w:rPr>
          <w:sz w:val="20"/>
          <w:szCs w:val="20"/>
          <w:color w:val="auto"/>
        </w:rPr>
      </w:pPr>
      <w:r>
        <w:rPr>
          <w:rFonts w:ascii="Arial" w:cs="Arial" w:eastAsia="Arial" w:hAnsi="Arial"/>
          <w:sz w:val="13"/>
          <w:szCs w:val="13"/>
          <w:color w:val="231F20"/>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0240"/>
          </w:cols>
          <w:pgMar w:left="820" w:top="233" w:right="839" w:bottom="1440" w:gutter="0" w:footer="0" w:header="0"/>
        </w:sectPr>
      </w:pPr>
    </w:p>
    <w:p>
      <w:pPr>
        <w:spacing w:after="0" w:line="28" w:lineRule="exact"/>
        <w:rPr>
          <w:sz w:val="24"/>
          <w:szCs w:val="24"/>
          <w:color w:val="auto"/>
        </w:rPr>
      </w:pPr>
    </w:p>
    <w:p>
      <w:pPr>
        <w:ind w:left="1040"/>
        <w:spacing w:after="0"/>
        <w:rPr>
          <w:sz w:val="20"/>
          <w:szCs w:val="20"/>
          <w:color w:val="auto"/>
        </w:rPr>
      </w:pPr>
      <w:r>
        <w:rPr>
          <w:rFonts w:ascii="Arial" w:cs="Arial" w:eastAsia="Arial" w:hAnsi="Arial"/>
          <w:sz w:val="12"/>
          <w:szCs w:val="12"/>
          <w:color w:val="231F20"/>
        </w:rPr>
        <w:t>Large 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231F20"/>
        </w:rPr>
        <w:t>☐</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Arial" w:cs="Arial" w:eastAsia="Arial" w:hAnsi="Arial"/>
          <w:sz w:val="13"/>
          <w:szCs w:val="13"/>
          <w:color w:val="231F20"/>
        </w:rPr>
        <w:t xml:space="preserve">Accelerated filer </w:t>
      </w:r>
      <w:r>
        <w:rPr>
          <w:rFonts w:ascii="MS PGothic" w:cs="MS PGothic" w:eastAsia="MS PGothic" w:hAnsi="MS PGothic"/>
          <w:sz w:val="13"/>
          <w:szCs w:val="13"/>
          <w:color w:val="231F20"/>
        </w:rPr>
        <w:t>☒</w:t>
      </w:r>
    </w:p>
    <w:p>
      <w:pPr>
        <w:spacing w:after="0" w:line="75" w:lineRule="exact"/>
        <w:rPr>
          <w:sz w:val="24"/>
          <w:szCs w:val="24"/>
          <w:color w:val="auto"/>
        </w:rPr>
      </w:pPr>
    </w:p>
    <w:p>
      <w:pPr>
        <w:sectPr>
          <w:pgSz w:w="11900" w:h="16838" w:orient="portrait"/>
          <w:cols w:equalWidth="0" w:num="3">
            <w:col w:w="2320" w:space="80"/>
            <w:col w:w="3140" w:space="720"/>
            <w:col w:w="3980"/>
          </w:cols>
          <w:pgMar w:left="820" w:top="233" w:right="839" w:bottom="1440" w:gutter="0" w:footer="0" w:header="0"/>
          <w:type w:val="continuous"/>
        </w:sectPr>
      </w:pPr>
    </w:p>
    <w:p>
      <w:pPr>
        <w:ind w:left="1040"/>
        <w:spacing w:after="0"/>
        <w:rPr>
          <w:sz w:val="20"/>
          <w:szCs w:val="20"/>
          <w:color w:val="auto"/>
        </w:rPr>
      </w:pPr>
      <w:r>
        <w:rPr>
          <w:rFonts w:ascii="Arial" w:cs="Arial" w:eastAsia="Arial" w:hAnsi="Arial"/>
          <w:sz w:val="13"/>
          <w:szCs w:val="13"/>
          <w:color w:val="231F20"/>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231F20"/>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231F20"/>
        </w:rPr>
        <w:t xml:space="preserve">Small reporting company </w:t>
      </w:r>
      <w:r>
        <w:rPr>
          <w:rFonts w:ascii="MS PGothic" w:cs="MS PGothic" w:eastAsia="MS PGothic" w:hAnsi="MS PGothic"/>
          <w:sz w:val="14"/>
          <w:szCs w:val="14"/>
          <w:color w:val="231F20"/>
        </w:rPr>
        <w:t>☒</w:t>
      </w:r>
    </w:p>
    <w:p>
      <w:pPr>
        <w:spacing w:after="0" w:line="4" w:lineRule="exact"/>
        <w:rPr>
          <w:sz w:val="24"/>
          <w:szCs w:val="24"/>
          <w:color w:val="auto"/>
        </w:rPr>
      </w:pPr>
    </w:p>
    <w:p>
      <w:pPr>
        <w:spacing w:after="0" w:line="150" w:lineRule="exact"/>
        <w:rPr>
          <w:sz w:val="20"/>
          <w:szCs w:val="20"/>
          <w:color w:val="auto"/>
        </w:rPr>
      </w:pPr>
      <w:r>
        <w:rPr>
          <w:rFonts w:ascii="Arial" w:cs="Arial" w:eastAsia="Arial" w:hAnsi="Arial"/>
          <w:sz w:val="13"/>
          <w:szCs w:val="13"/>
          <w:color w:val="231F20"/>
        </w:rPr>
        <w:t xml:space="preserve">Emerging growth company </w:t>
      </w:r>
      <w:r>
        <w:rPr>
          <w:rFonts w:ascii="MS PGothic" w:cs="MS PGothic" w:eastAsia="MS PGothic" w:hAnsi="MS PGothic"/>
          <w:sz w:val="13"/>
          <w:szCs w:val="13"/>
          <w:color w:val="231F20"/>
        </w:rPr>
        <w:t>☐</w:t>
      </w:r>
    </w:p>
    <w:p>
      <w:pPr>
        <w:spacing w:after="0" w:line="82" w:lineRule="exact"/>
        <w:rPr>
          <w:sz w:val="24"/>
          <w:szCs w:val="24"/>
          <w:color w:val="auto"/>
        </w:rPr>
      </w:pPr>
    </w:p>
    <w:p>
      <w:pPr>
        <w:sectPr>
          <w:pgSz w:w="11900" w:h="16838" w:orient="portrait"/>
          <w:cols w:equalWidth="0" w:num="3">
            <w:col w:w="2260" w:space="60"/>
            <w:col w:w="3220" w:space="720"/>
            <w:col w:w="3980"/>
          </w:cols>
          <w:pgMar w:left="820" w:top="233" w:right="839" w:bottom="1440" w:gutter="0" w:footer="0" w:header="0"/>
          <w:type w:val="continuous"/>
        </w:sectPr>
      </w:pPr>
    </w:p>
    <w:p>
      <w:pPr>
        <w:ind w:right="240"/>
        <w:spacing w:after="0" w:line="180" w:lineRule="exact"/>
        <w:rPr>
          <w:sz w:val="20"/>
          <w:szCs w:val="20"/>
          <w:color w:val="auto"/>
        </w:rPr>
      </w:pPr>
      <w:r>
        <w:rPr>
          <w:rFonts w:ascii="Arial" w:cs="Arial" w:eastAsia="Arial" w:hAnsi="Arial"/>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231F20"/>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4"/>
          <w:szCs w:val="14"/>
          <w:color w:val="231F20"/>
        </w:rPr>
        <w:t xml:space="preserve">Indicate by check mark whether the Registrant is a shell company (as defined in Rule 12b-2 of the Exchange Act). Yes </w:t>
      </w:r>
      <w:r>
        <w:rPr>
          <w:rFonts w:ascii="MS PGothic" w:cs="MS PGothic" w:eastAsia="MS PGothic" w:hAnsi="MS PGothic"/>
          <w:sz w:val="16"/>
          <w:szCs w:val="16"/>
          <w:color w:val="000000"/>
        </w:rPr>
        <w:t>☐</w:t>
      </w:r>
      <w:r>
        <w:rPr>
          <w:rFonts w:ascii="Arial" w:cs="Arial" w:eastAsia="Arial" w:hAnsi="Arial"/>
          <w:sz w:val="14"/>
          <w:szCs w:val="14"/>
          <w:color w:val="231F20"/>
        </w:rPr>
        <w:t xml:space="preserve"> No </w:t>
      </w:r>
      <w:r>
        <w:rPr>
          <w:rFonts w:ascii="MS PGothic" w:cs="MS PGothic" w:eastAsia="MS PGothic" w:hAnsi="MS PGothic"/>
          <w:sz w:val="16"/>
          <w:szCs w:val="16"/>
          <w:color w:val="000000"/>
        </w:rPr>
        <w:t>☒</w:t>
      </w:r>
    </w:p>
    <w:p>
      <w:pPr>
        <w:spacing w:after="0" w:line="90" w:lineRule="exact"/>
        <w:rPr>
          <w:sz w:val="24"/>
          <w:szCs w:val="24"/>
          <w:color w:val="auto"/>
        </w:rPr>
      </w:pPr>
    </w:p>
    <w:p>
      <w:pPr>
        <w:ind w:right="340"/>
        <w:spacing w:after="0" w:line="281" w:lineRule="auto"/>
        <w:rPr>
          <w:sz w:val="20"/>
          <w:szCs w:val="20"/>
          <w:color w:val="auto"/>
        </w:rPr>
      </w:pPr>
      <w:r>
        <w:rPr>
          <w:rFonts w:ascii="Arial" w:cs="Arial" w:eastAsia="Arial" w:hAnsi="Arial"/>
          <w:sz w:val="13"/>
          <w:szCs w:val="13"/>
          <w:color w:val="231F20"/>
        </w:rPr>
        <w:t>The aggregate market value of the Registrant’s common stock held by non-affiliates of the Registrant as of the last business day of the Registrant’s most recently completed second fiscal quarter, June 30, 2019, based on the last reported sales price of the Registrant’s common stock of $2.69 per share was $125,911,696.</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231F20"/>
        </w:rPr>
        <w:t>The number of shares of Registrant’s Common Stock outstanding as of March 3, 2020, was 88,929,668.</w:t>
      </w:r>
    </w:p>
    <w:p>
      <w:pPr>
        <w:spacing w:after="0" w:line="38"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231F20"/>
        </w:rPr>
        <w:t>DOCUMENTS INCORPORATED BY REFERENCE:</w:t>
      </w:r>
    </w:p>
    <w:p>
      <w:pPr>
        <w:spacing w:after="0" w:line="46" w:lineRule="exact"/>
        <w:rPr>
          <w:sz w:val="24"/>
          <w:szCs w:val="24"/>
          <w:color w:val="auto"/>
        </w:rPr>
      </w:pPr>
    </w:p>
    <w:p>
      <w:pPr>
        <w:ind w:right="60"/>
        <w:spacing w:after="0" w:line="253" w:lineRule="auto"/>
        <w:rPr>
          <w:sz w:val="20"/>
          <w:szCs w:val="20"/>
          <w:color w:val="auto"/>
        </w:rPr>
      </w:pPr>
      <w:r>
        <w:rPr>
          <w:rFonts w:ascii="Arial" w:cs="Arial" w:eastAsia="Arial" w:hAnsi="Arial"/>
          <w:sz w:val="14"/>
          <w:szCs w:val="14"/>
          <w:color w:val="231F20"/>
        </w:rPr>
        <w:t>Portions of the Registrant’s Definitive Proxy Statement for its 2020 Annual Meeting of Stockholders, which will be filed with the Commission within 120 days of December 31, 2019, the close of the Registrant’s 2019 fiscal year,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45085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696595</wp:posOffset>
            </wp:positionV>
            <wp:extent cx="64979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233" w:right="83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 FOR THE FISCAL YEAR ENDED 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60" w:type="dxa"/>
            <w:vAlign w:val="bottom"/>
            <w:gridSpan w:val="11"/>
            <w:vMerge w:val="restart"/>
          </w:tcPr>
          <w:p>
            <w:pPr>
              <w:jc w:val="center"/>
              <w:ind w:right="3500"/>
              <w:spacing w:after="0"/>
              <w:rPr>
                <w:sz w:val="20"/>
                <w:szCs w:val="20"/>
                <w:color w:val="auto"/>
              </w:rPr>
            </w:pPr>
            <w:r>
              <w:rPr>
                <w:rFonts w:ascii="Arial" w:cs="Arial" w:eastAsia="Arial" w:hAnsi="Arial"/>
                <w:sz w:val="18"/>
                <w:szCs w:val="18"/>
                <w:b w:val="1"/>
                <w:bCs w:val="1"/>
                <w:color w:val="auto"/>
                <w:w w:val="98"/>
              </w:rPr>
              <w:t>PART I</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60" w:type="dxa"/>
            <w:vAlign w:val="bottom"/>
            <w:gridSpan w:val="11"/>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line="19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320" w:type="dxa"/>
            <w:vAlign w:val="bottom"/>
            <w:gridSpan w:val="5"/>
          </w:tcPr>
          <w:p>
            <w:pPr>
              <w:spacing w:after="0"/>
              <w:rPr>
                <w:sz w:val="16"/>
                <w:szCs w:val="16"/>
                <w:color w:val="auto"/>
              </w:rPr>
            </w:pPr>
          </w:p>
        </w:tc>
        <w:tc>
          <w:tcPr>
            <w:tcW w:w="7680" w:type="dxa"/>
            <w:vAlign w:val="bottom"/>
            <w:gridSpan w:val="28"/>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Item 1A.</w:t>
              </w:r>
            </w:hyperlink>
          </w:p>
        </w:tc>
        <w:tc>
          <w:tcPr>
            <w:tcW w:w="180" w:type="dxa"/>
            <w:vAlign w:val="bottom"/>
            <w:gridSpan w:val="2"/>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Risk Factors</w:t>
              </w:r>
            </w:hyperlink>
          </w:p>
        </w:tc>
        <w:tc>
          <w:tcPr>
            <w:tcW w:w="6760" w:type="dxa"/>
            <w:vAlign w:val="bottom"/>
            <w:gridSpan w:val="2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Item 1B.</w:t>
              </w:r>
            </w:hyperlink>
          </w:p>
        </w:tc>
        <w:tc>
          <w:tcPr>
            <w:tcW w:w="200" w:type="dxa"/>
            <w:vAlign w:val="bottom"/>
            <w:gridSpan w:val="3"/>
          </w:tcPr>
          <w:p>
            <w:pPr>
              <w:spacing w:after="0"/>
              <w:rPr>
                <w:sz w:val="17"/>
                <w:szCs w:val="17"/>
                <w:color w:val="auto"/>
              </w:rPr>
            </w:pPr>
          </w:p>
        </w:tc>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Unresolved Staff Comments</w:t>
              </w:r>
            </w:hyperlink>
          </w:p>
        </w:tc>
        <w:tc>
          <w:tcPr>
            <w:tcW w:w="5620" w:type="dxa"/>
            <w:vAlign w:val="bottom"/>
            <w:gridSpan w:val="1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Item 2.</w:t>
              </w:r>
            </w:hyperlink>
          </w:p>
        </w:tc>
        <w:tc>
          <w:tcPr>
            <w:tcW w:w="320" w:type="dxa"/>
            <w:vAlign w:val="bottom"/>
            <w:gridSpan w:val="5"/>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Properties</w:t>
              </w:r>
            </w:hyperlink>
          </w:p>
        </w:tc>
        <w:tc>
          <w:tcPr>
            <w:tcW w:w="6940" w:type="dxa"/>
            <w:vAlign w:val="bottom"/>
            <w:gridSpan w:val="2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Item 3.</w:t>
              </w:r>
            </w:hyperlink>
          </w:p>
        </w:tc>
        <w:tc>
          <w:tcPr>
            <w:tcW w:w="320" w:type="dxa"/>
            <w:vAlign w:val="bottom"/>
            <w:gridSpan w:val="5"/>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Legal Proceedings</w:t>
              </w:r>
            </w:hyperlink>
          </w:p>
        </w:tc>
        <w:tc>
          <w:tcPr>
            <w:tcW w:w="6340" w:type="dxa"/>
            <w:vAlign w:val="bottom"/>
            <w:gridSpan w:val="2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840" w:type="dxa"/>
            <w:vAlign w:val="bottom"/>
            <w:gridSpan w:val="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4.</w:t>
              </w:r>
            </w:hyperlink>
          </w:p>
        </w:tc>
        <w:tc>
          <w:tcPr>
            <w:tcW w:w="7680" w:type="dxa"/>
            <w:vAlign w:val="bottom"/>
            <w:gridSpan w:val="2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Mine Safety Disclosures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EE"/>
            </w:tcBorders>
            <w:gridSpan w:val="2"/>
          </w:tcPr>
          <w:p>
            <w:pPr>
              <w:jc w:val="center"/>
              <w:spacing w:after="0" w:line="19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PART II</w:t>
              </w:r>
            </w:hyperlink>
          </w:p>
        </w:tc>
        <w:tc>
          <w:tcPr>
            <w:tcW w:w="3500" w:type="dxa"/>
            <w:vAlign w:val="bottom"/>
            <w:gridSpan w:val="9"/>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Item 5.</w:t>
              </w:r>
            </w:hyperlink>
          </w:p>
        </w:tc>
        <w:tc>
          <w:tcPr>
            <w:tcW w:w="320" w:type="dxa"/>
            <w:vAlign w:val="bottom"/>
            <w:gridSpan w:val="5"/>
          </w:tcPr>
          <w:p>
            <w:pPr>
              <w:spacing w:after="0"/>
              <w:rPr>
                <w:sz w:val="17"/>
                <w:szCs w:val="17"/>
                <w:color w:val="auto"/>
              </w:rPr>
            </w:pPr>
          </w:p>
        </w:tc>
        <w:tc>
          <w:tcPr>
            <w:tcW w:w="7680" w:type="dxa"/>
            <w:vAlign w:val="bottom"/>
            <w:gridSpan w:val="28"/>
          </w:tcPr>
          <w:p>
            <w:pPr>
              <w:spacing w:after="0" w:line="196" w:lineRule="exact"/>
              <w:rPr>
                <w:rFonts w:ascii="Arial" w:cs="Arial" w:eastAsia="Arial" w:hAnsi="Arial"/>
                <w:sz w:val="18"/>
                <w:szCs w:val="18"/>
                <w:color w:val="0000EE"/>
                <w:w w:val="95"/>
              </w:rPr>
            </w:pPr>
            <w:hyperlink w:anchor="page62">
              <w:r>
                <w:rPr>
                  <w:rFonts w:ascii="Arial" w:cs="Arial" w:eastAsia="Arial" w:hAnsi="Arial"/>
                  <w:sz w:val="18"/>
                  <w:szCs w:val="18"/>
                  <w:color w:val="0000EE"/>
                  <w:w w:val="95"/>
                </w:rPr>
                <w:t>Market for Registrant’s Common Equity, Related Stockholder Matters and Issuer Purchases of Equity</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Securities</w:t>
              </w:r>
            </w:hyperlink>
          </w:p>
        </w:tc>
        <w:tc>
          <w:tcPr>
            <w:tcW w:w="6600" w:type="dxa"/>
            <w:vAlign w:val="bottom"/>
            <w:tcBorders>
              <w:top w:val="single" w:sz="8" w:color="0000EE"/>
            </w:tcBorders>
            <w:gridSpan w:val="25"/>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Item 6.</w:t>
              </w:r>
            </w:hyperlink>
          </w:p>
        </w:tc>
        <w:tc>
          <w:tcPr>
            <w:tcW w:w="320" w:type="dxa"/>
            <w:vAlign w:val="bottom"/>
            <w:gridSpan w:val="5"/>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Selected Financial Data</w:t>
              </w:r>
            </w:hyperlink>
          </w:p>
        </w:tc>
        <w:tc>
          <w:tcPr>
            <w:tcW w:w="5960" w:type="dxa"/>
            <w:vAlign w:val="bottom"/>
            <w:gridSpan w:val="2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Item 7.</w:t>
              </w:r>
            </w:hyperlink>
          </w:p>
        </w:tc>
        <w:tc>
          <w:tcPr>
            <w:tcW w:w="320" w:type="dxa"/>
            <w:vAlign w:val="bottom"/>
            <w:gridSpan w:val="5"/>
          </w:tcPr>
          <w:p>
            <w:pPr>
              <w:spacing w:after="0"/>
              <w:rPr>
                <w:sz w:val="17"/>
                <w:szCs w:val="17"/>
                <w:color w:val="auto"/>
              </w:rPr>
            </w:pPr>
          </w:p>
        </w:tc>
        <w:tc>
          <w:tcPr>
            <w:tcW w:w="7680" w:type="dxa"/>
            <w:vAlign w:val="bottom"/>
            <w:gridSpan w:val="2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5"/>
              </w:rPr>
            </w:pPr>
            <w:hyperlink w:anchor="page79">
              <w:r>
                <w:rPr>
                  <w:rFonts w:ascii="Arial" w:cs="Arial" w:eastAsia="Arial" w:hAnsi="Arial"/>
                  <w:sz w:val="18"/>
                  <w:szCs w:val="18"/>
                  <w:color w:val="0000EE"/>
                  <w:w w:val="95"/>
                </w:rPr>
                <w:t>Item 7A.</w:t>
              </w:r>
            </w:hyperlink>
          </w:p>
        </w:tc>
        <w:tc>
          <w:tcPr>
            <w:tcW w:w="180" w:type="dxa"/>
            <w:vAlign w:val="bottom"/>
            <w:gridSpan w:val="2"/>
          </w:tcPr>
          <w:p>
            <w:pPr>
              <w:spacing w:after="0"/>
              <w:rPr>
                <w:sz w:val="17"/>
                <w:szCs w:val="17"/>
                <w:color w:val="auto"/>
              </w:rPr>
            </w:pPr>
          </w:p>
        </w:tc>
        <w:tc>
          <w:tcPr>
            <w:tcW w:w="7680" w:type="dxa"/>
            <w:vAlign w:val="bottom"/>
            <w:gridSpan w:val="2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Quantitative and Qualitative Disclosures About Market Risk</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Item 8.</w:t>
              </w:r>
            </w:hyperlink>
          </w:p>
        </w:tc>
        <w:tc>
          <w:tcPr>
            <w:tcW w:w="140" w:type="dxa"/>
            <w:vAlign w:val="bottom"/>
            <w:tcBorders>
              <w:top w:val="single" w:sz="8" w:color="0000EE"/>
            </w:tcBorders>
            <w:gridSpan w:val="3"/>
          </w:tcPr>
          <w:p>
            <w:pPr>
              <w:spacing w:after="0"/>
              <w:rPr>
                <w:sz w:val="17"/>
                <w:szCs w:val="17"/>
                <w:color w:val="auto"/>
              </w:rPr>
            </w:pPr>
          </w:p>
        </w:tc>
        <w:tc>
          <w:tcPr>
            <w:tcW w:w="180" w:type="dxa"/>
            <w:vAlign w:val="bottom"/>
            <w:gridSpan w:val="2"/>
          </w:tcPr>
          <w:p>
            <w:pPr>
              <w:spacing w:after="0"/>
              <w:rPr>
                <w:sz w:val="17"/>
                <w:szCs w:val="17"/>
                <w:color w:val="auto"/>
              </w:rPr>
            </w:pPr>
          </w:p>
        </w:tc>
        <w:tc>
          <w:tcPr>
            <w:tcW w:w="3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8"/>
          </w:tcPr>
          <w:p>
            <w:pPr>
              <w:spacing w:after="0"/>
              <w:rPr>
                <w:sz w:val="17"/>
                <w:szCs w:val="17"/>
                <w:color w:val="auto"/>
              </w:rPr>
            </w:pPr>
          </w:p>
        </w:tc>
        <w:tc>
          <w:tcPr>
            <w:tcW w:w="33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15">
              <w:r>
                <w:rPr>
                  <w:rFonts w:ascii="Arial" w:cs="Arial" w:eastAsia="Arial" w:hAnsi="Arial"/>
                  <w:sz w:val="18"/>
                  <w:szCs w:val="18"/>
                  <w:color w:val="0000EE"/>
                  <w:w w:val="90"/>
                </w:rPr>
                <w:t>Item 9.</w:t>
              </w:r>
            </w:hyperlink>
          </w:p>
        </w:tc>
        <w:tc>
          <w:tcPr>
            <w:tcW w:w="320" w:type="dxa"/>
            <w:vAlign w:val="bottom"/>
            <w:gridSpan w:val="5"/>
          </w:tcPr>
          <w:p>
            <w:pPr>
              <w:spacing w:after="0"/>
              <w:rPr>
                <w:sz w:val="17"/>
                <w:szCs w:val="17"/>
                <w:color w:val="auto"/>
              </w:rPr>
            </w:pPr>
          </w:p>
        </w:tc>
        <w:tc>
          <w:tcPr>
            <w:tcW w:w="7680" w:type="dxa"/>
            <w:vAlign w:val="bottom"/>
            <w:gridSpan w:val="28"/>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Changes in and Disagreements with Accountants on Accounting and Financial Disclosure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115">
              <w:r>
                <w:rPr>
                  <w:rFonts w:ascii="Arial" w:cs="Arial" w:eastAsia="Arial" w:hAnsi="Arial"/>
                  <w:sz w:val="18"/>
                  <w:szCs w:val="18"/>
                  <w:color w:val="0000EE"/>
                  <w:w w:val="95"/>
                </w:rPr>
                <w:t>Item 9A.</w:t>
              </w:r>
            </w:hyperlink>
          </w:p>
        </w:tc>
        <w:tc>
          <w:tcPr>
            <w:tcW w:w="180" w:type="dxa"/>
            <w:vAlign w:val="bottom"/>
            <w:gridSpan w:val="2"/>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15">
              <w:r>
                <w:rPr>
                  <w:rFonts w:ascii="Arial" w:cs="Arial" w:eastAsia="Arial" w:hAnsi="Arial"/>
                  <w:sz w:val="18"/>
                  <w:szCs w:val="18"/>
                  <w:color w:val="0000EE"/>
                  <w:w w:val="88"/>
                </w:rPr>
                <w:t>Controls and Procedures</w:t>
              </w:r>
            </w:hyperlink>
          </w:p>
        </w:tc>
        <w:tc>
          <w:tcPr>
            <w:tcW w:w="5900" w:type="dxa"/>
            <w:vAlign w:val="bottom"/>
            <w:gridSpan w:val="1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840" w:type="dxa"/>
            <w:vAlign w:val="bottom"/>
            <w:gridSpan w:val="6"/>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Item 9B.</w:t>
              </w:r>
            </w:hyperlink>
          </w:p>
        </w:tc>
        <w:tc>
          <w:tcPr>
            <w:tcW w:w="7680" w:type="dxa"/>
            <w:vAlign w:val="bottom"/>
            <w:gridSpan w:val="28"/>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Other Information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0000EE"/>
            </w:tcBorders>
            <w:gridSpan w:val="6"/>
          </w:tcPr>
          <w:p>
            <w:pPr>
              <w:jc w:val="center"/>
              <w:ind w:right="20"/>
              <w:spacing w:after="0" w:line="196" w:lineRule="exact"/>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PART III</w:t>
              </w:r>
            </w:hyperlink>
          </w:p>
        </w:tc>
        <w:tc>
          <w:tcPr>
            <w:tcW w:w="3460" w:type="dxa"/>
            <w:vAlign w:val="bottom"/>
            <w:gridSpan w:val="7"/>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6"/>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Item 10.</w:t>
              </w:r>
            </w:hyperlink>
          </w:p>
        </w:tc>
        <w:tc>
          <w:tcPr>
            <w:tcW w:w="7680" w:type="dxa"/>
            <w:vAlign w:val="bottom"/>
            <w:gridSpan w:val="28"/>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Directors, Executive Officers and Corporate Governance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6"/>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Item 11.</w:t>
              </w:r>
            </w:hyperlink>
          </w:p>
        </w:tc>
        <w:tc>
          <w:tcPr>
            <w:tcW w:w="7680" w:type="dxa"/>
            <w:vAlign w:val="bottom"/>
            <w:gridSpan w:val="28"/>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Executive Compensation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6"/>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Item 12.</w:t>
              </w:r>
            </w:hyperlink>
          </w:p>
        </w:tc>
        <w:tc>
          <w:tcPr>
            <w:tcW w:w="7680" w:type="dxa"/>
            <w:vAlign w:val="bottom"/>
            <w:gridSpan w:val="28"/>
          </w:tcPr>
          <w:p>
            <w:pPr>
              <w:spacing w:after="0" w:line="196" w:lineRule="exact"/>
              <w:rPr>
                <w:rFonts w:ascii="Arial" w:cs="Arial" w:eastAsia="Arial" w:hAnsi="Arial"/>
                <w:sz w:val="18"/>
                <w:szCs w:val="18"/>
                <w:color w:val="0000EE"/>
                <w:w w:val="95"/>
              </w:rPr>
            </w:pPr>
            <w:hyperlink w:anchor="page120">
              <w:r>
                <w:rPr>
                  <w:rFonts w:ascii="Arial" w:cs="Arial" w:eastAsia="Arial" w:hAnsi="Arial"/>
                  <w:sz w:val="18"/>
                  <w:szCs w:val="18"/>
                  <w:color w:val="0000EE"/>
                  <w:w w:val="95"/>
                </w:rPr>
                <w:t>Security Ownership of Certain Beneficial Owners and Management and Related Stockholder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6"/>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Item 13.</w:t>
              </w:r>
            </w:hyperlink>
          </w:p>
        </w:tc>
        <w:tc>
          <w:tcPr>
            <w:tcW w:w="7680" w:type="dxa"/>
            <w:vAlign w:val="bottom"/>
            <w:gridSpan w:val="28"/>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Certain Relationships and Related Transactions, and Director Independence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6"/>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Item 14.</w:t>
              </w:r>
            </w:hyperlink>
          </w:p>
        </w:tc>
        <w:tc>
          <w:tcPr>
            <w:tcW w:w="7680" w:type="dxa"/>
            <w:vAlign w:val="bottom"/>
            <w:gridSpan w:val="28"/>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Principal Accounting Fees and Services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13"/>
          </w:tcPr>
          <w:p>
            <w:pPr>
              <w:jc w:val="center"/>
              <w:ind w:right="3460"/>
              <w:spacing w:after="0" w:line="196" w:lineRule="exact"/>
              <w:rPr>
                <w:rFonts w:ascii="Arial" w:cs="Arial" w:eastAsia="Arial" w:hAnsi="Arial"/>
                <w:sz w:val="18"/>
                <w:szCs w:val="18"/>
                <w:b w:val="1"/>
                <w:bCs w:val="1"/>
                <w:color w:val="0000EE"/>
                <w:w w:val="98"/>
              </w:rPr>
            </w:pPr>
            <w:hyperlink w:anchor="page121">
              <w:r>
                <w:rPr>
                  <w:rFonts w:ascii="Arial" w:cs="Arial" w:eastAsia="Arial" w:hAnsi="Arial"/>
                  <w:sz w:val="18"/>
                  <w:szCs w:val="18"/>
                  <w:b w:val="1"/>
                  <w:bCs w:val="1"/>
                  <w:color w:val="0000EE"/>
                  <w:w w:val="98"/>
                </w:rPr>
                <w:t>PART IV</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6"/>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Item 15.</w:t>
              </w:r>
            </w:hyperlink>
          </w:p>
        </w:tc>
        <w:tc>
          <w:tcPr>
            <w:tcW w:w="3500" w:type="dxa"/>
            <w:vAlign w:val="bottom"/>
            <w:gridSpan w:val="16"/>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4"/>
          </w:tcPr>
          <w:p>
            <w:pPr>
              <w:spacing w:after="0"/>
              <w:rPr>
                <w:sz w:val="17"/>
                <w:szCs w:val="17"/>
                <w:color w:val="auto"/>
              </w:rPr>
            </w:pPr>
          </w:p>
        </w:tc>
        <w:tc>
          <w:tcPr>
            <w:tcW w:w="348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4780" w:type="dxa"/>
            <w:vAlign w:val="bottom"/>
            <w:gridSpan w:val="1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6"/>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Item 16</w:t>
              </w:r>
            </w:hyperlink>
            <w:r>
              <w:rPr>
                <w:rFonts w:ascii="Arial" w:cs="Arial" w:eastAsia="Arial" w:hAnsi="Arial"/>
                <w:sz w:val="18"/>
                <w:szCs w:val="18"/>
                <w:color w:val="000000"/>
              </w:rPr>
              <w:t>.</w:t>
            </w:r>
          </w:p>
        </w:tc>
        <w:tc>
          <w:tcPr>
            <w:tcW w:w="7680" w:type="dxa"/>
            <w:vAlign w:val="bottom"/>
            <w:gridSpan w:val="28"/>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Form 10-K Summary</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gridSpan w:val="6"/>
          </w:tcPr>
          <w:p>
            <w:pPr>
              <w:spacing w:after="0"/>
              <w:rPr>
                <w:rFonts w:ascii="Arial" w:cs="Arial" w:eastAsia="Arial" w:hAnsi="Arial"/>
                <w:sz w:val="18"/>
                <w:szCs w:val="18"/>
                <w:color w:val="0000EE"/>
                <w:w w:val="95"/>
              </w:rPr>
            </w:pPr>
            <w:hyperlink w:anchor="page125">
              <w:r>
                <w:rPr>
                  <w:rFonts w:ascii="Arial" w:cs="Arial" w:eastAsia="Arial" w:hAnsi="Arial"/>
                  <w:sz w:val="18"/>
                  <w:szCs w:val="18"/>
                  <w:color w:val="0000EE"/>
                  <w:w w:val="95"/>
                </w:rPr>
                <w:t>Signatures</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243"/>
        </w:trPr>
        <w:tc>
          <w:tcPr>
            <w:tcW w:w="5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62" w:lineRule="exact"/>
        <w:rPr>
          <w:sz w:val="20"/>
          <w:szCs w:val="20"/>
          <w:color w:val="auto"/>
        </w:rPr>
      </w:pPr>
    </w:p>
    <w:p>
      <w:pPr>
        <w:ind w:left="40" w:right="499" w:firstLine="648"/>
        <w:spacing w:after="0" w:line="223" w:lineRule="exact"/>
        <w:rPr>
          <w:sz w:val="20"/>
          <w:szCs w:val="20"/>
          <w:color w:val="auto"/>
        </w:rPr>
      </w:pPr>
      <w:r>
        <w:rPr>
          <w:rFonts w:ascii="Arial" w:cs="Arial" w:eastAsia="Arial" w:hAnsi="Arial"/>
          <w:sz w:val="18"/>
          <w:szCs w:val="18"/>
          <w:color w:val="auto"/>
        </w:rPr>
        <w:t>Unless the context requires otherwise,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terms “Ardelyx”, “we,” “us,” “our” and “the Company” refer to Ardelyx, Inc.</w:t>
      </w:r>
    </w:p>
    <w:p>
      <w:pPr>
        <w:spacing w:after="0" w:line="176" w:lineRule="exact"/>
        <w:rPr>
          <w:sz w:val="20"/>
          <w:szCs w:val="20"/>
          <w:color w:val="auto"/>
        </w:rPr>
      </w:pPr>
    </w:p>
    <w:p>
      <w:pPr>
        <w:ind w:left="40" w:right="139" w:firstLine="648"/>
        <w:spacing w:after="0" w:line="218" w:lineRule="exact"/>
        <w:rPr>
          <w:sz w:val="20"/>
          <w:szCs w:val="20"/>
          <w:color w:val="auto"/>
        </w:rPr>
      </w:pPr>
      <w:r>
        <w:rPr>
          <w:rFonts w:ascii="Arial" w:cs="Arial" w:eastAsia="Arial" w:hAnsi="Arial"/>
          <w:sz w:val="17"/>
          <w:szCs w:val="17"/>
          <w:color w:val="auto"/>
        </w:rPr>
        <w:t>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65" w:lineRule="exact"/>
        <w:rPr>
          <w:sz w:val="20"/>
          <w:szCs w:val="20"/>
          <w:color w:val="auto"/>
        </w:rPr>
      </w:pPr>
    </w:p>
    <w:p>
      <w:pPr>
        <w:ind w:left="1340" w:right="219" w:hanging="324"/>
        <w:spacing w:after="0" w:line="259"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plans for and our participation in the commercialization of tenapanor for the control of serum phosphorus in chronic kidney disease, or CKD, patients on dialysis, including our expectations regarding our plans to build our own sales and marketing organization to market and sell tenapanor for such indication;</w:t>
      </w:r>
    </w:p>
    <w:p>
      <w:pPr>
        <w:spacing w:after="0" w:line="119" w:lineRule="exact"/>
        <w:rPr>
          <w:rFonts w:ascii="Arial" w:cs="Arial" w:eastAsia="Arial" w:hAnsi="Arial"/>
          <w:sz w:val="18"/>
          <w:szCs w:val="18"/>
          <w:color w:val="auto"/>
        </w:rPr>
      </w:pPr>
    </w:p>
    <w:p>
      <w:pPr>
        <w:ind w:left="1340" w:right="199" w:hanging="324"/>
        <w:spacing w:after="0" w:line="263"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one or more collaboration partners to commercialize tenapanor for irritable bowel syndrome with constipation, or IBS-C, rather than to commercialize tenapanor for this indication on our own;</w:t>
      </w:r>
    </w:p>
    <w:p>
      <w:pPr>
        <w:spacing w:after="0" w:line="116" w:lineRule="exact"/>
        <w:rPr>
          <w:rFonts w:ascii="Arial" w:cs="Arial" w:eastAsia="Arial" w:hAnsi="Arial"/>
          <w:sz w:val="18"/>
          <w:szCs w:val="18"/>
          <w:color w:val="auto"/>
        </w:rPr>
      </w:pPr>
    </w:p>
    <w:p>
      <w:pPr>
        <w:ind w:left="1340" w:right="639" w:hanging="324"/>
        <w:spacing w:after="0" w:line="277"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w:t>
      </w:r>
    </w:p>
    <w:p>
      <w:pPr>
        <w:spacing w:after="0" w:line="102" w:lineRule="exact"/>
        <w:rPr>
          <w:rFonts w:ascii="Arial" w:cs="Arial" w:eastAsia="Arial" w:hAnsi="Arial"/>
          <w:sz w:val="18"/>
          <w:szCs w:val="18"/>
          <w:color w:val="auto"/>
        </w:rPr>
      </w:pPr>
    </w:p>
    <w:p>
      <w:pPr>
        <w:ind w:left="1340" w:hanging="324"/>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with respect to our pre-clinical programs;</w:t>
      </w:r>
    </w:p>
    <w:p>
      <w:pPr>
        <w:spacing w:after="0" w:line="157" w:lineRule="exact"/>
        <w:rPr>
          <w:rFonts w:ascii="Arial" w:cs="Arial" w:eastAsia="Arial" w:hAnsi="Arial"/>
          <w:sz w:val="18"/>
          <w:szCs w:val="18"/>
          <w:color w:val="auto"/>
        </w:rPr>
      </w:pPr>
    </w:p>
    <w:p>
      <w:pPr>
        <w:ind w:left="1340" w:right="99" w:hanging="324"/>
        <w:spacing w:after="0" w:line="301" w:lineRule="auto"/>
        <w:tabs>
          <w:tab w:leader="none" w:pos="1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identify and validate targets and novel drug candidates using our proprietary drug discovery and design platform including the Ardelyx Primary Enterocyte and Colonocyte Culture System, or APECCS, or any other proprietary drug discovery and design platform we develop for the identification, screening, testing, design and development of new product candidates for the treatment of renal diseases;</w:t>
      </w:r>
    </w:p>
    <w:p>
      <w:pPr>
        <w:spacing w:after="0" w:line="89" w:lineRule="exact"/>
        <w:rPr>
          <w:rFonts w:ascii="Arial" w:cs="Arial" w:eastAsia="Arial" w:hAnsi="Arial"/>
          <w:sz w:val="16"/>
          <w:szCs w:val="16"/>
          <w:color w:val="auto"/>
        </w:rPr>
      </w:pPr>
    </w:p>
    <w:p>
      <w:pPr>
        <w:ind w:left="1340" w:right="319" w:hanging="324"/>
        <w:spacing w:after="0" w:line="277"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pacing w:after="0" w:line="102" w:lineRule="exact"/>
        <w:rPr>
          <w:rFonts w:ascii="Arial" w:cs="Arial" w:eastAsia="Arial" w:hAnsi="Arial"/>
          <w:sz w:val="18"/>
          <w:szCs w:val="18"/>
          <w:color w:val="auto"/>
        </w:rPr>
      </w:pPr>
    </w:p>
    <w:p>
      <w:pPr>
        <w:ind w:left="1340" w:right="319" w:hanging="324"/>
        <w:spacing w:after="0" w:line="277"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102" w:lineRule="exact"/>
        <w:rPr>
          <w:rFonts w:ascii="Arial" w:cs="Arial" w:eastAsia="Arial" w:hAnsi="Arial"/>
          <w:sz w:val="18"/>
          <w:szCs w:val="18"/>
          <w:color w:val="auto"/>
        </w:rPr>
      </w:pPr>
    </w:p>
    <w:p>
      <w:pPr>
        <w:ind w:left="1340" w:hanging="324"/>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57" w:lineRule="exact"/>
        <w:rPr>
          <w:rFonts w:ascii="Arial" w:cs="Arial" w:eastAsia="Arial" w:hAnsi="Arial"/>
          <w:sz w:val="18"/>
          <w:szCs w:val="18"/>
          <w:color w:val="auto"/>
        </w:rPr>
      </w:pPr>
    </w:p>
    <w:p>
      <w:pPr>
        <w:ind w:left="1340" w:hanging="324"/>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58" w:lineRule="exact"/>
        <w:rPr>
          <w:sz w:val="20"/>
          <w:szCs w:val="20"/>
          <w:color w:val="auto"/>
        </w:rPr>
      </w:pPr>
    </w:p>
    <w:p>
      <w:pPr>
        <w:ind w:left="40" w:right="159" w:firstLine="648"/>
        <w:spacing w:after="0" w:line="218" w:lineRule="exact"/>
        <w:rPr>
          <w:sz w:val="20"/>
          <w:szCs w:val="20"/>
          <w:color w:val="auto"/>
        </w:rPr>
      </w:pPr>
      <w:r>
        <w:rPr>
          <w:rFonts w:ascii="Arial" w:cs="Arial" w:eastAsia="Arial" w:hAnsi="Arial"/>
          <w:sz w:val="18"/>
          <w:szCs w:val="18"/>
          <w:color w:val="auto"/>
        </w:rPr>
        <w:t>Factors that could cause actual results or conditions to differ from those anticipated by these and other forward-looking statements include those more fully described in the “ITEM 1A. RISK FACTORS” section and elsewhere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Except as required by law, we assume no obligation to update any forward-looking statement publicly, or to revise any forward-looking statement to reflect events or developments occurring after the date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even if new information becomes available in the future. Thus, you should not assume that our silence over time means that actual events are bearing out as expressed or implied in any such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3"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9"/>
          <w:szCs w:val="19"/>
          <w:color w:val="auto"/>
        </w:rPr>
        <w:t>We are a specialized biopharmaceutical company focused on developing first-in-class medicines to improve treatment for people with cardiorenal diseases. This includes patients with CKD on dialysis suffering from elevated serum phosphorus, or hyperphosphatemia; and CKD patients and/or heart failure patients with elevated serum potassium, or hyperkalemia. Our lead program is tenapanor, a first-in-class medicine in late-stage clinical development for the control of serum phosphorus in patients with CKD on dialysis. Tenapanor has a unique mechanism of action and acts locally in the gut to inhibit the sodium hydrogen exchanger 3, or NHE3. This results in the tightening of the epithelial cell junctions, thereby significantly reducing paracellular uptake of phosphate, the primary pathway of phosphate absorption.</w:t>
      </w:r>
    </w:p>
    <w:p>
      <w:pPr>
        <w:spacing w:after="0" w:line="182" w:lineRule="exact"/>
        <w:rPr>
          <w:sz w:val="20"/>
          <w:szCs w:val="20"/>
          <w:color w:val="auto"/>
        </w:rPr>
      </w:pPr>
    </w:p>
    <w:p>
      <w:pPr>
        <w:ind w:left="40" w:right="119" w:firstLine="648"/>
        <w:spacing w:after="0" w:line="268" w:lineRule="auto"/>
        <w:rPr>
          <w:sz w:val="20"/>
          <w:szCs w:val="20"/>
          <w:color w:val="auto"/>
        </w:rPr>
      </w:pPr>
      <w:r>
        <w:rPr>
          <w:rFonts w:ascii="Arial" w:cs="Arial" w:eastAsia="Arial" w:hAnsi="Arial"/>
          <w:sz w:val="17"/>
          <w:szCs w:val="17"/>
          <w:color w:val="auto"/>
        </w:rPr>
        <w:t>We have evaluated tenapanor in a Phase 3 program for the control of serum phosphorus in CKD patients on dialysis. In December 2019, we reported statistically significant topline efficacy results from our second monotherapy Phase 3 clinical trial, the PHREEDOM trial. The PHREEDOM trial is a one-year study with a 26-week open-label treatment period and a 12-week double-blind, placebo-controlled randomized withdrawal period followed by a 14-week open-label safety extension period. An active safety control group, for safety analysis only, received sevelamer, open-label, for the entire 52-week study period. Patients completing the PHREEDOM trial from both the tenapanor arm and the sevelamer active safety control arm had the option to participate in NORMALIZE, an ongoing open-label 18-month extension study. The goal of this study is to further our understanding of the potential for the dual mechanism of tenapanor and sevelamer to reduce patients’ serum phosphorus levels towards normal (&lt;4.6 mg/dL) while minimizing medication burden. The PHREEDOM trial followed a successful monotherapy Phase 3 clinical trial completed in 2017, which achieved statistical significance for the primary endpoint . In addition, in September 2019, we reported positive results from the AMPLIFY trial, a Phase 3 study evaluating tenapanor in patients with CKD on dialysis who had uncontrolled hyperphosphatemia despite phosphate binder treatment.</w:t>
      </w:r>
    </w:p>
    <w:p>
      <w:pPr>
        <w:spacing w:after="0" w:line="186" w:lineRule="exact"/>
        <w:rPr>
          <w:sz w:val="20"/>
          <w:szCs w:val="20"/>
          <w:color w:val="auto"/>
        </w:rPr>
      </w:pPr>
    </w:p>
    <w:p>
      <w:pPr>
        <w:ind w:left="40" w:right="59" w:firstLine="648"/>
        <w:spacing w:after="0" w:line="273" w:lineRule="auto"/>
        <w:rPr>
          <w:sz w:val="20"/>
          <w:szCs w:val="20"/>
          <w:color w:val="auto"/>
        </w:rPr>
      </w:pPr>
      <w:r>
        <w:rPr>
          <w:rFonts w:ascii="Arial" w:cs="Arial" w:eastAsia="Arial" w:hAnsi="Arial"/>
          <w:sz w:val="17"/>
          <w:szCs w:val="17"/>
          <w:color w:val="auto"/>
        </w:rPr>
        <w:t>We are preparing to submit a New Drug Application, or NDA, to the United States Food and Drug Administration, or FDA, for tenapanor for the control of serum phosphorus in adult patients with CKD on dialysis in mid-2020. Tenapanor, if approved, would be the first therapy for phosphate management that is not a phosphate binder. As tenapanor is a novel, potent, small molecule there would be significantly less pill burden than with phosphate binders. Tenapanor is dosed as a single pill, twice-daily, which we believe could greatly improve patient adherence and compliance and free patients from having to take multiple pills before every meal.</w:t>
      </w:r>
    </w:p>
    <w:p>
      <w:pPr>
        <w:spacing w:after="0" w:line="178" w:lineRule="exact"/>
        <w:rPr>
          <w:sz w:val="20"/>
          <w:szCs w:val="20"/>
          <w:color w:val="auto"/>
        </w:rPr>
      </w:pPr>
    </w:p>
    <w:p>
      <w:pPr>
        <w:jc w:val="both"/>
        <w:ind w:left="40" w:right="119" w:firstLine="648"/>
        <w:spacing w:after="0" w:line="287" w:lineRule="auto"/>
        <w:rPr>
          <w:sz w:val="20"/>
          <w:szCs w:val="20"/>
          <w:color w:val="auto"/>
        </w:rPr>
      </w:pPr>
      <w:r>
        <w:rPr>
          <w:rFonts w:ascii="Arial" w:cs="Arial" w:eastAsia="Arial" w:hAnsi="Arial"/>
          <w:sz w:val="16"/>
          <w:szCs w:val="16"/>
          <w:color w:val="auto"/>
        </w:rPr>
        <w:t>We are also advancing a small molecule potassium secretagogue program, RDX013, for the potential treatment of hyperkalemia. Hyperkalemia is a common problem in patients with heart and kidney disease, particularly in patients taking common blood pressure medications known as RAAS inhibitors, which inhibit the renin-angiotensin-aldosterone system.</w:t>
      </w:r>
    </w:p>
    <w:p>
      <w:pPr>
        <w:spacing w:after="0" w:line="2" w:lineRule="exact"/>
        <w:rPr>
          <w:sz w:val="20"/>
          <w:szCs w:val="20"/>
          <w:color w:val="auto"/>
        </w:rPr>
      </w:pPr>
    </w:p>
    <w:p>
      <w:pPr>
        <w:ind w:left="40" w:right="179"/>
        <w:spacing w:after="0" w:line="253" w:lineRule="auto"/>
        <w:rPr>
          <w:sz w:val="20"/>
          <w:szCs w:val="20"/>
          <w:color w:val="auto"/>
        </w:rPr>
      </w:pPr>
      <w:r>
        <w:rPr>
          <w:rFonts w:ascii="Arial" w:cs="Arial" w:eastAsia="Arial" w:hAnsi="Arial"/>
          <w:sz w:val="18"/>
          <w:szCs w:val="18"/>
          <w:color w:val="auto"/>
        </w:rPr>
        <w:t>Similar to what we have done with tenapanor in developing a non-binder approach for the treatment of elevated serum phosphate levels, RDX013 is designed to offer a non-binder alternative to lowering elevated potassium with a much lower pill burden than potassium binders and we believe may provide significant advantages as a stand-alone agent or in combination with potassium binders.</w:t>
      </w:r>
    </w:p>
    <w:p>
      <w:pPr>
        <w:spacing w:after="0" w:line="193" w:lineRule="exact"/>
        <w:rPr>
          <w:sz w:val="20"/>
          <w:szCs w:val="20"/>
          <w:color w:val="auto"/>
        </w:rPr>
      </w:pPr>
    </w:p>
    <w:p>
      <w:pPr>
        <w:ind w:left="40" w:right="259" w:firstLine="648"/>
        <w:spacing w:after="0" w:line="257" w:lineRule="auto"/>
        <w:rPr>
          <w:sz w:val="20"/>
          <w:szCs w:val="20"/>
          <w:color w:val="auto"/>
        </w:rPr>
      </w:pPr>
      <w:r>
        <w:rPr>
          <w:rFonts w:ascii="Arial" w:cs="Arial" w:eastAsia="Arial" w:hAnsi="Arial"/>
          <w:sz w:val="18"/>
          <w:szCs w:val="18"/>
          <w:color w:val="auto"/>
        </w:rPr>
        <w:t>In addition to the development of tenapanor in our cardiorenal portfolio, we have developed tenapanor for the treatment of patients with IBS-C. On September 12, 2019, we received US FDA approval of IBSRELA® (tenapanor) for the treatment of irritable bowel syndrome with constipation (IBS-C) in adults. IBS-C is a burdensome gastrointestinal, or GI, disorder affecting a significant number of people. It is characterized by significant abdominal pain, constipation, straining during bowel movements, bloating and/or gas.</w:t>
      </w:r>
    </w:p>
    <w:p>
      <w:pPr>
        <w:spacing w:after="0" w:line="188" w:lineRule="exact"/>
        <w:rPr>
          <w:sz w:val="20"/>
          <w:szCs w:val="20"/>
          <w:color w:val="auto"/>
        </w:rPr>
      </w:pPr>
    </w:p>
    <w:p>
      <w:pPr>
        <w:ind w:left="40" w:right="239" w:firstLine="648"/>
        <w:spacing w:after="0" w:line="296" w:lineRule="auto"/>
        <w:rPr>
          <w:sz w:val="20"/>
          <w:szCs w:val="20"/>
          <w:color w:val="auto"/>
        </w:rPr>
      </w:pPr>
      <w:r>
        <w:rPr>
          <w:rFonts w:ascii="Arial" w:cs="Arial" w:eastAsia="Arial" w:hAnsi="Arial"/>
          <w:sz w:val="16"/>
          <w:szCs w:val="16"/>
          <w:color w:val="auto"/>
        </w:rPr>
        <w:t>By inhibiting NHE3 on the apical surface of the enterocytes, tenapanor reduces absorption of sodium from the small intestine and colon, resulting in an increase in water secretion into the intestinal lumen, which accelerates intestinal transit time and results in a softer stool consistency. Tenapanor has also been shown to reduce abdominal pain by decreasing visceral hypersensitivity and by decreasing intestinal permeability in animal models. In rat model of colonic hypersensitivity, tenapanor reduced visceral hyperalgesia and normalized colonic sensory neuronal excitability.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Commercial Strategy</w:t>
      </w:r>
    </w:p>
    <w:p>
      <w:pPr>
        <w:spacing w:after="0" w:line="225"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We aim to build a multi-product company that commercializes its cardiorenal products in the United States. Our strategy is to leverage ex-U.S. collaborations with established industry leaders to efficiently bring our cardiorenal medicines and tenapanor for IBS-C to patients outside the United States. Our plan is to bring tenapanor for IBS-C to market in the United States by leveraging domestic collaborations rather than by commercializing tenapanor for IBS-C on our own.</w:t>
      </w:r>
    </w:p>
    <w:p>
      <w:pPr>
        <w:spacing w:after="0" w:line="188"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We currently have three collaboration partnerships: with Kyowa Kirin Co., Ltd., or KKC, for commercialization of tenapanor for the treatment of cardiorenal diseases, including hyperphosphatemia, in Japan; with Shanghai Fosun Pharmaceutical Industrial Development Co. Ltd., or Fosun Pharma, for the commercialization of tenapanor for the treatment of IBS-C and hyperphosphatemia in China; and with Knight Therapeutics, Inc., or Knight, for commercialization of tenapanor in Canada.</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PROPRIETARY DRUG DISCOVERY AND DESIGN PLATFORM</w:t>
      </w:r>
    </w:p>
    <w:p>
      <w:pPr>
        <w:spacing w:after="0" w:line="229"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We have successfully developed and expect to continue to employ our APECCS stem cell platform to emulate, in a miniaturized format, the function and structure of cells of specific segments of the intestine. In line with our overall strategy to focus on our cardiorenal pipeline, our research supports tenapanor, RDX013 and other potential cardiorenal opportunities, and we expect to continue our efforts to develop a system, similar to APECCS for the kidney.</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PRODUCT PIPELINE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Tenapanor: A New Approach for The Control of Serum Phosphorus in CKD Patients on Dialysis</w:t>
      </w:r>
    </w:p>
    <w:p>
      <w:pPr>
        <w:spacing w:after="0" w:line="225" w:lineRule="exact"/>
        <w:rPr>
          <w:sz w:val="20"/>
          <w:szCs w:val="20"/>
          <w:color w:val="auto"/>
        </w:rPr>
      </w:pPr>
    </w:p>
    <w:p>
      <w:pPr>
        <w:ind w:left="40" w:right="599" w:firstLine="648"/>
        <w:spacing w:after="0" w:line="311" w:lineRule="auto"/>
        <w:rPr>
          <w:sz w:val="20"/>
          <w:szCs w:val="20"/>
          <w:color w:val="auto"/>
        </w:rPr>
      </w:pPr>
      <w:r>
        <w:rPr>
          <w:rFonts w:ascii="Arial" w:cs="Arial" w:eastAsia="Arial" w:hAnsi="Arial"/>
          <w:sz w:val="16"/>
          <w:szCs w:val="16"/>
          <w:color w:val="auto"/>
        </w:rPr>
        <w:t>Our lead product candidate in our cardiorenal portfolio is tenapanor for the control of serum phosphorus in patients with CKD on dialysis. Hyperphosphatemia, or elevated serum phosphorus, is an independent predictor of morbidity and mortality in patients with CKD and is a significant problem among dialysis patients worldwide.</w:t>
      </w:r>
    </w:p>
    <w:p>
      <w:pPr>
        <w:spacing w:after="0" w:line="149" w:lineRule="exact"/>
        <w:rPr>
          <w:sz w:val="20"/>
          <w:szCs w:val="20"/>
          <w:color w:val="auto"/>
        </w:rPr>
      </w:pPr>
    </w:p>
    <w:p>
      <w:pPr>
        <w:ind w:left="40" w:right="119" w:firstLine="648"/>
        <w:spacing w:after="0" w:line="275" w:lineRule="auto"/>
        <w:rPr>
          <w:sz w:val="20"/>
          <w:szCs w:val="20"/>
          <w:color w:val="auto"/>
        </w:rPr>
      </w:pPr>
      <w:r>
        <w:rPr>
          <w:rFonts w:ascii="Arial" w:cs="Arial" w:eastAsia="Arial" w:hAnsi="Arial"/>
          <w:sz w:val="17"/>
          <w:szCs w:val="17"/>
          <w:color w:val="auto"/>
        </w:rPr>
        <w:t>CKD is the progressive deterioration of renal function that can occur over several months or years. The symptoms of worsening kidney function are nonspecific, and can include having less energy, reduced appetite, dry itchy skin, swollen feet and ankles or generally just not feeling well. If the deterioration continues and is not halted by changes in lifestyle or with the assistance of pharmacological intervention, the disease will likely cause significant cardiovascular morbidity, and can progress to the final stage of CKD where kidney function will be lost entirely.</w:t>
      </w:r>
    </w:p>
    <w:p>
      <w:pPr>
        <w:spacing w:after="0" w:line="176"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Current management of CKD includes hemodialysis and peritoneal dialysis as a means to filter toxins from the blood once kidneys have failed. Unless this intervention occurs, kidney failure results in the accumulation of waste products that may ultimately cause death. Hemodialysis, the most common form of dialysis, generally requires a patient to visit a dialysis center at least three times per week for a minimum three-hour session, significantly reducing quality of life.</w:t>
      </w:r>
    </w:p>
    <w:p>
      <w:pPr>
        <w:spacing w:after="0" w:line="157" w:lineRule="exact"/>
        <w:rPr>
          <w:sz w:val="20"/>
          <w:szCs w:val="20"/>
          <w:color w:val="auto"/>
        </w:rPr>
      </w:pPr>
    </w:p>
    <w:p>
      <w:pPr>
        <w:ind w:left="40" w:right="159" w:firstLine="648"/>
        <w:spacing w:after="0" w:line="269" w:lineRule="auto"/>
        <w:rPr>
          <w:sz w:val="20"/>
          <w:szCs w:val="20"/>
          <w:color w:val="auto"/>
        </w:rPr>
      </w:pPr>
      <w:r>
        <w:rPr>
          <w:rFonts w:ascii="Arial" w:cs="Arial" w:eastAsia="Arial" w:hAnsi="Arial"/>
          <w:sz w:val="17"/>
          <w:szCs w:val="17"/>
          <w:color w:val="auto"/>
        </w:rPr>
        <w:t>Phosphorus, a vital element required for most cellular processes, is present in almost every food in the Western diet, and, in individuals with normal kidney function, any excess dietary phosphorus is efficiently removed by the kidneys and excreted in urine. In adults with functioning kidneys normal serum phosphorus levels are 2.5 to 4.5 mg/dL. With kidney failure, elevated phosphorus becomes harmful and is typically diagnosed as hyperphosphatemia when serum phosphorus levels are greater than 4.5 mg/dL, according to guidelines published by KDIGO, the global nonprofit foundation dedicated to improving the care and outcomes of kidney disease patients worldwide. Phosphorus levels greater than 5.5 mg/dL have been shown to be an independent risk factor for cardiovascular morbidity and mortality in dialysis patients, and common treatment goals are to manage serum phosphorus to less than 5.5 mg/dL. Although patients with CKD rely on dialysis to eliminate harmful agents, phosphorus is not readily removed by the procedure and other means of managing phosphorus levels must be employed. Studies have shown that 95% of CKD patients on dialysis need phosphate control.</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648"/>
        <w:spacing w:after="0" w:line="219" w:lineRule="exact"/>
        <w:rPr>
          <w:sz w:val="20"/>
          <w:szCs w:val="20"/>
          <w:color w:val="auto"/>
        </w:rPr>
      </w:pPr>
      <w:r>
        <w:rPr>
          <w:rFonts w:ascii="Arial" w:cs="Arial" w:eastAsia="Arial" w:hAnsi="Arial"/>
          <w:sz w:val="17"/>
          <w:szCs w:val="17"/>
          <w:color w:val="auto"/>
        </w:rPr>
        <w:t>In CKD patients on dialysis, excess levels of phosphorus have been shown to lead to an increase in cardiovascular disease risk, as well as increases in serum FGF</w:t>
      </w:r>
      <w:r>
        <w:rPr>
          <w:rFonts w:ascii="MS PGothic" w:cs="MS PGothic" w:eastAsia="MS PGothic" w:hAnsi="MS PGothic"/>
          <w:sz w:val="17"/>
          <w:szCs w:val="17"/>
          <w:color w:val="auto"/>
        </w:rPr>
        <w:t>‑</w:t>
      </w:r>
      <w:r>
        <w:rPr>
          <w:rFonts w:ascii="Arial" w:cs="Arial" w:eastAsia="Arial" w:hAnsi="Arial"/>
          <w:sz w:val="17"/>
          <w:szCs w:val="17"/>
          <w:color w:val="auto"/>
        </w:rPr>
        <w:t>23, an important regulator of phosphate and vitamin D metabolism. Highly elevated levels of FGF23 is an independent risk factor for adverse cardiac clinical outcomes as well as the development of secondary hyperparathyroidism, or SHPT, marked by elevated parathyroid hormone. SHPT is associated with renal osteodystrophy, a condition of abnormal bone growth characterized by brittle bones.</w:t>
      </w:r>
    </w:p>
    <w:p>
      <w:pPr>
        <w:spacing w:after="0" w:line="205" w:lineRule="exact"/>
        <w:rPr>
          <w:sz w:val="20"/>
          <w:szCs w:val="20"/>
          <w:color w:val="auto"/>
        </w:rPr>
      </w:pPr>
    </w:p>
    <w:p>
      <w:pPr>
        <w:ind w:left="40" w:right="99" w:firstLine="648"/>
        <w:spacing w:after="0" w:line="301" w:lineRule="auto"/>
        <w:rPr>
          <w:sz w:val="20"/>
          <w:szCs w:val="20"/>
          <w:color w:val="auto"/>
        </w:rPr>
      </w:pPr>
      <w:r>
        <w:rPr>
          <w:rFonts w:ascii="Arial" w:cs="Arial" w:eastAsia="Arial" w:hAnsi="Arial"/>
          <w:sz w:val="16"/>
          <w:szCs w:val="16"/>
          <w:color w:val="auto"/>
        </w:rPr>
        <w:t>Since dialysis is unable to efficiently eliminate excess phosphorus, CKD patients on dialysis are put on restrictive, low phosphorus diets and are currently prescribed medications called phosphate binders, the only interventions currently available for the control of serum phosphorus. Phosphate binders, which usually need to be taken with meals and snacks, act by binding dietary phosphorus and limiting its absorption. Phosphate binders have multiple limitations, including:</w:t>
      </w:r>
    </w:p>
    <w:p>
      <w:pPr>
        <w:spacing w:after="0" w:line="157" w:lineRule="exact"/>
        <w:rPr>
          <w:sz w:val="20"/>
          <w:szCs w:val="20"/>
          <w:color w:val="auto"/>
        </w:rPr>
      </w:pPr>
    </w:p>
    <w:p>
      <w:pPr>
        <w:ind w:left="1340" w:right="219" w:hanging="324"/>
        <w:spacing w:after="0" w:line="277" w:lineRule="auto"/>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systemic excess absorption of calcium, iron or lanthanum, resulting in side effects and other unintended consequences for CKD patients on dialysis;</w:t>
      </w:r>
    </w:p>
    <w:p>
      <w:pPr>
        <w:spacing w:after="0" w:line="170" w:lineRule="exact"/>
        <w:rPr>
          <w:rFonts w:ascii="Arial" w:cs="Arial" w:eastAsia="Arial" w:hAnsi="Arial"/>
          <w:sz w:val="18"/>
          <w:szCs w:val="18"/>
          <w:color w:val="auto"/>
        </w:rPr>
      </w:pPr>
    </w:p>
    <w:p>
      <w:pPr>
        <w:ind w:left="1340" w:right="79" w:hanging="324"/>
        <w:spacing w:after="0" w:line="277" w:lineRule="auto"/>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challenges with patient adherence because of the large quantity and/or mass of the binders that must be taken each day; and</w:t>
      </w:r>
    </w:p>
    <w:p>
      <w:pPr>
        <w:spacing w:after="0" w:line="170" w:lineRule="exact"/>
        <w:rPr>
          <w:rFonts w:ascii="Arial" w:cs="Arial" w:eastAsia="Arial" w:hAnsi="Arial"/>
          <w:sz w:val="18"/>
          <w:szCs w:val="18"/>
          <w:color w:val="auto"/>
        </w:rPr>
      </w:pPr>
    </w:p>
    <w:p>
      <w:pPr>
        <w:ind w:left="1340" w:hanging="324"/>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GI tolerability issues making frequent dosing difficult for patients</w:t>
      </w:r>
    </w:p>
    <w:p>
      <w:pPr>
        <w:spacing w:after="0" w:line="225"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8"/>
          <w:szCs w:val="18"/>
          <w:color w:val="auto"/>
        </w:rPr>
        <w:t>Safety and tolerability have also been significant concerns with many approved phosphate binders, with side effects that include long-term vascular calcification with calcium-based binders and iron-overload with iron-based binders. Common side effects of many approved phosphate binders include GI-related adverse events such as nausea, vomiting, diarrhea, constipation, and dyspepsia as well as hypercalcemia for calcium-based binders and discolored feces for iron-based binders.</w:t>
      </w:r>
    </w:p>
    <w:p>
      <w:pPr>
        <w:spacing w:after="0" w:line="188" w:lineRule="exact"/>
        <w:rPr>
          <w:sz w:val="20"/>
          <w:szCs w:val="20"/>
          <w:color w:val="auto"/>
        </w:rPr>
      </w:pPr>
    </w:p>
    <w:p>
      <w:pPr>
        <w:ind w:left="40" w:right="79" w:firstLine="648"/>
        <w:spacing w:after="0" w:line="273" w:lineRule="auto"/>
        <w:rPr>
          <w:sz w:val="20"/>
          <w:szCs w:val="20"/>
          <w:color w:val="auto"/>
        </w:rPr>
      </w:pPr>
      <w:r>
        <w:rPr>
          <w:rFonts w:ascii="Arial" w:cs="Arial" w:eastAsia="Arial" w:hAnsi="Arial"/>
          <w:sz w:val="17"/>
          <w:szCs w:val="17"/>
          <w:color w:val="auto"/>
        </w:rPr>
        <w:t>CKD patients on dialysis, who generally are severely restricted in their fluid intake, are prescribed as many as 12 or more phosphate binder pills per day, among other medications. The amount of phosphorus a binder can remove is limited by its binding capacity, and therefore, increasing the dose, and hence the pill burden, of the binder is the only way to increase the amount of phosphorus being bound and excreted. As a result of pill burden and mass, as well as a number of side effects, on average one out of two patients is not compliant with their prescribed treatment and two out of three patients at any point in time are not at target serum phosphorus levels.</w:t>
      </w:r>
    </w:p>
    <w:p>
      <w:pPr>
        <w:spacing w:after="0" w:line="178"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 xml:space="preserve">We are developing tenapanor for the control of serum phosphorus in patients with CKD on dialysis, as we believe it has the potential to address certain of the key limitations of current treatments and offer a completely new mechanism of action. If approved, tenapanor will be the first small molecule/non-binder treatment for the control of serum phosphorus in patients with CKD on dialysis, with a unique mechanism of action that acts by inhibiting, or blocking, the NHE3 transporter in the GI tract. Our scientists, in collaboration with global academic experts, discovered that phosphate absorption in humans occurs primarily through a dynamically regulated paracellular pathway. Inhibiting the NHE3 transporter with tenapanor results in the tightening of the epithelial cell junctions, thereby significantly reducing paracellular uptake of phosphate. This pathway of phosphate flux that is inhibited by tenapanor appears largely specific for phosphate, whereas the overall absorption of other ions and large molecules appear not to be affected. Notably, in clinical trials, tenapanor has not affected the absorption of other ions (except sodium) or nutrients. A consequence of intestinal NHE3 inhibition is that systemic sodium absorption is reduced leading to an increase in stool sodium and water content, loosening stool consistency and increasing bowel movement frequency. Tenapanor’s unique mechanism of action inhibiting paracellular phosphate absorption was published in the peer-reviewed journal </w:t>
      </w:r>
      <w:r>
        <w:rPr>
          <w:rFonts w:ascii="Arial" w:cs="Arial" w:eastAsia="Arial" w:hAnsi="Arial"/>
          <w:sz w:val="16"/>
          <w:szCs w:val="16"/>
          <w:i w:val="1"/>
          <w:iCs w:val="1"/>
          <w:color w:val="auto"/>
        </w:rPr>
        <w:t>Science Translational Medicine</w:t>
      </w:r>
      <w:r>
        <w:rPr>
          <w:rFonts w:ascii="Arial" w:cs="Arial" w:eastAsia="Arial" w:hAnsi="Arial"/>
          <w:sz w:val="16"/>
          <w:szCs w:val="16"/>
          <w:color w:val="auto"/>
        </w:rPr>
        <w:t>.</w:t>
      </w:r>
    </w:p>
    <w:p>
      <w:pPr>
        <w:spacing w:after="0" w:line="174" w:lineRule="exact"/>
        <w:rPr>
          <w:sz w:val="20"/>
          <w:szCs w:val="20"/>
          <w:color w:val="auto"/>
        </w:rPr>
      </w:pPr>
    </w:p>
    <w:p>
      <w:pPr>
        <w:ind w:left="40" w:right="119" w:firstLine="648"/>
        <w:spacing w:after="0" w:line="273" w:lineRule="auto"/>
        <w:rPr>
          <w:sz w:val="20"/>
          <w:szCs w:val="20"/>
          <w:color w:val="auto"/>
        </w:rPr>
      </w:pPr>
      <w:r>
        <w:rPr>
          <w:rFonts w:ascii="Arial" w:cs="Arial" w:eastAsia="Arial" w:hAnsi="Arial"/>
          <w:sz w:val="17"/>
          <w:szCs w:val="17"/>
          <w:color w:val="auto"/>
        </w:rPr>
        <w:t>This unique mechanism of action could allow tenapanor to be active in many patients at a dose of 10 mg to 30 mg twice daily as opposed to the multiple gram quantities per day required of the phosphate binders. Over the course of a week, the amount of tenapanor required would be less than 500 milligrams, or a total of 14 small pills, whereas the amount of phosphate binder required, based on package inserts, would be 10 to 30 grams, or up to 63 large pills, depending on the phosphate binder. We believe this significant pill burden advantage will result in better adherence and compliance which could lead to more consistent efficacy in patients with CKD on dialysis.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Tenapanor has been specifically designed to work exclusively within the GI tract, thereby significantly reducing the amount of drug that is absorbed into the bloodstream and the potential side effects that could occur. In human studies of orally-administered tenapanor, the drug was detected in the blood in less than 1% in thousands of collected serum samples, and even in those, at very low levels (&lt; 1.5 ng/mL). We have evaluated tenapanor in 24 clinical studies in over 3,100 individuals to date.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Clinical data supporting tenapanor in hyperphosphatemia</w:t>
      </w:r>
    </w:p>
    <w:p>
      <w:pPr>
        <w:spacing w:after="0" w:line="252" w:lineRule="exact"/>
        <w:rPr>
          <w:sz w:val="20"/>
          <w:szCs w:val="20"/>
          <w:color w:val="auto"/>
        </w:rPr>
      </w:pPr>
    </w:p>
    <w:p>
      <w:pPr>
        <w:ind w:left="40" w:right="99" w:firstLine="648"/>
        <w:spacing w:after="0" w:line="263" w:lineRule="auto"/>
        <w:rPr>
          <w:sz w:val="20"/>
          <w:szCs w:val="20"/>
          <w:color w:val="auto"/>
        </w:rPr>
      </w:pPr>
      <w:r>
        <w:rPr>
          <w:rFonts w:ascii="Arial" w:cs="Arial" w:eastAsia="Arial" w:hAnsi="Arial"/>
          <w:sz w:val="18"/>
          <w:szCs w:val="18"/>
          <w:color w:val="auto"/>
        </w:rPr>
        <w:t>We have completed three Phase 3 trials evaluating tenapanor for the control of serum phosphorus in CKD patients on dialysis, with two trials evaluating tenapanor as monotherapy and one trial evaluating tenapanor as part of a dual mechanism approach with binders.</w:t>
      </w:r>
    </w:p>
    <w:p>
      <w:pPr>
        <w:spacing w:after="0" w:line="203" w:lineRule="exact"/>
        <w:rPr>
          <w:sz w:val="20"/>
          <w:szCs w:val="20"/>
          <w:color w:val="auto"/>
        </w:rPr>
      </w:pPr>
    </w:p>
    <w:p>
      <w:pPr>
        <w:ind w:left="40" w:right="139" w:firstLine="648"/>
        <w:spacing w:after="0" w:line="246" w:lineRule="exact"/>
        <w:rPr>
          <w:sz w:val="20"/>
          <w:szCs w:val="20"/>
          <w:color w:val="auto"/>
        </w:rPr>
      </w:pPr>
      <w:r>
        <w:rPr>
          <w:rFonts w:ascii="Arial" w:cs="Arial" w:eastAsia="Arial" w:hAnsi="Arial"/>
          <w:sz w:val="19"/>
          <w:szCs w:val="19"/>
          <w:color w:val="auto"/>
        </w:rPr>
        <w:t>In December 2019, we reported positive results from the PHREEDOM trial, our long-term Phase 3 study evaluating the efficacy and safety of tenapanor as a monotherapy for the control of serum phosphorus in patients with CKD on dialysis. The study's design, shown in Figure 1 below, includes a 26</w:t>
      </w:r>
      <w:r>
        <w:rPr>
          <w:rFonts w:ascii="MS PGothic" w:cs="MS PGothic" w:eastAsia="MS PGothic" w:hAnsi="MS PGothic"/>
          <w:sz w:val="19"/>
          <w:szCs w:val="19"/>
          <w:color w:val="auto"/>
        </w:rPr>
        <w:t>‑</w:t>
      </w:r>
      <w:r>
        <w:rPr>
          <w:rFonts w:ascii="Arial" w:cs="Arial" w:eastAsia="Arial" w:hAnsi="Arial"/>
          <w:sz w:val="19"/>
          <w:szCs w:val="19"/>
          <w:color w:val="auto"/>
        </w:rPr>
        <w:t>week open-label treatment period and a 12-week double-blind, placebo controlled randomized withdrawal period followed by a 14</w:t>
      </w:r>
      <w:r>
        <w:rPr>
          <w:rFonts w:ascii="MS PGothic" w:cs="MS PGothic" w:eastAsia="MS PGothic" w:hAnsi="MS PGothic"/>
          <w:sz w:val="19"/>
          <w:szCs w:val="19"/>
          <w:color w:val="auto"/>
        </w:rPr>
        <w:t>‑</w:t>
      </w:r>
      <w:r>
        <w:rPr>
          <w:rFonts w:ascii="Arial" w:cs="Arial" w:eastAsia="Arial" w:hAnsi="Arial"/>
          <w:sz w:val="19"/>
          <w:szCs w:val="19"/>
          <w:color w:val="auto"/>
        </w:rPr>
        <w:t>week open-label safety extension. The PHREEDOM study met its primary endpoint demonstrating a statistically significant difference in least square (LS) mean serum phosphorus change (-1.4 mg/dL, p&lt;0.0001), as compared to placebo. During the 26-week treatment period, 77% of tenapanor-treated patients in the intent-to-treat population (n=408) had a decrease in serum phosphorus, with a mean reduction from baseline of 2.0 mg/dL.</w:t>
      </w:r>
    </w:p>
    <w:p>
      <w:pPr>
        <w:spacing w:after="0" w:line="198" w:lineRule="exact"/>
        <w:rPr>
          <w:sz w:val="20"/>
          <w:szCs w:val="20"/>
          <w:color w:val="auto"/>
        </w:rPr>
      </w:pPr>
    </w:p>
    <w:p>
      <w:pPr>
        <w:ind w:left="40" w:right="159" w:firstLine="648"/>
        <w:spacing w:after="0" w:line="273" w:lineRule="auto"/>
        <w:rPr>
          <w:sz w:val="20"/>
          <w:szCs w:val="20"/>
          <w:color w:val="auto"/>
        </w:rPr>
      </w:pPr>
      <w:r>
        <w:rPr>
          <w:rFonts w:ascii="Arial" w:cs="Arial" w:eastAsia="Arial" w:hAnsi="Arial"/>
          <w:sz w:val="17"/>
          <w:szCs w:val="17"/>
          <w:color w:val="auto"/>
        </w:rPr>
        <w:t>Tenapanor was generally well-tolerated. As anticipated due to the mechanism of action, the most common self-reported adverse event was loose stools/diarrhea at an incidence rate of 52.5%, with approximately 90% of these events, judged by the investigator, to be mild to moderate in nature. The majority of the events were reported within the first five days of treatment and were transient in nature. In the 26-week open-label treatment period, 16% of the tenapanor-treated patients discontinued treatment due to diarrhea. During the randomized withdrawal period, only 0.8% of tenapanor-treated patients discontinued due to diarrhea.</w:t>
      </w:r>
    </w:p>
    <w:p>
      <w:pPr>
        <w:spacing w:after="0" w:line="178"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In the safety analysis set of the 26-week open-label treatment period, which included tenapanor (n=419) and sevelamer (n=137), 17.2% of tenapanor-treated patients compared to 22.6% of sevelamer-treated patients experienced a serious adverse event. The median dose for tenapanor was 60 milligrams per day throughout the study and the median dose for sevelamer was 4.8 grams per day after randomization and increased to 7.2 grams per day by the end of the 26-week open-label treatment period.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Figure 1. PHREEDOM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151765</wp:posOffset>
            </wp:positionV>
            <wp:extent cx="5280660" cy="1979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8066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Patients completing the PHREEDOM trial from both the tenapanor arm and the sevelamer active safety control arm had the option to participate in NORMALIZE, an ongoing open-label 18-month extension study. The goal of this study is to further our understanding of the potential for the dual mechanism of tenapanor and sevelamer to reduce patients’ serum phosphorus levels towards normal (&lt;4.6 mg/dL) while minimizing medication burden. Patients entering the study from the tenapanor arm with serum phosphorus levels in the normal range are followed with no medication changes. Patients entering the study from the tenapanor arm with serum phosphorus 4.6 mg/dL have sevelamer tablets added incrementally to achieve normal serum phosphorus levels. Patients entering the study from the sevelamer active safety control arm have tenapanor tablets added to their treatment regimen and have sevelamer tablets withdrawn based on their serum phosphorus value, to achieve normal serum phosphorus levels. In December 2019, we announced initial results from NORMALIZE, noting that as of the date of the initial analysis, 96% of eligible patients had chosen to enroll into NORMALIZE. Of the 73 patients that had been treated for more than one month of treatment as of the date of the initial analysis, 42% had achieved normal serum phosphorus of less than 4.6 mg/dL and of those, 58% had accomplished this with either tenapanor alone or with tenapanor in combination with only one to three sevelamer tablets per day. These data represent a 45% improvement compared to current treatment practice data reported in the June 2019 Dialysis Outcomes Practice Patterns Study (DOPPS) Practice Monitor.</w:t>
      </w:r>
    </w:p>
    <w:p>
      <w:pPr>
        <w:spacing w:after="0" w:line="182" w:lineRule="exact"/>
        <w:rPr>
          <w:sz w:val="20"/>
          <w:szCs w:val="20"/>
          <w:color w:val="auto"/>
        </w:rPr>
      </w:pPr>
    </w:p>
    <w:p>
      <w:pPr>
        <w:jc w:val="both"/>
        <w:ind w:left="40" w:right="479" w:firstLine="648"/>
        <w:spacing w:after="0" w:line="263" w:lineRule="auto"/>
        <w:rPr>
          <w:sz w:val="20"/>
          <w:szCs w:val="20"/>
          <w:color w:val="auto"/>
        </w:rPr>
      </w:pPr>
      <w:r>
        <w:rPr>
          <w:rFonts w:ascii="Arial" w:cs="Arial" w:eastAsia="Arial" w:hAnsi="Arial"/>
          <w:sz w:val="18"/>
          <w:szCs w:val="18"/>
          <w:color w:val="auto"/>
        </w:rPr>
        <w:t>In September 2019, we reported statistically significant results from AMPLIFY, a Phase 3 study of tenapanor evaluating the dual mechanism of tenapanor in combination with phosphate binders in patients with CKD on dialysis whose hyperphosphatemia was not controlled with binders alone.</w:t>
      </w:r>
    </w:p>
    <w:p>
      <w:pPr>
        <w:spacing w:after="0" w:line="184" w:lineRule="exact"/>
        <w:rPr>
          <w:sz w:val="20"/>
          <w:szCs w:val="20"/>
          <w:color w:val="auto"/>
        </w:rPr>
      </w:pPr>
    </w:p>
    <w:p>
      <w:pPr>
        <w:ind w:left="40" w:right="99" w:firstLine="648"/>
        <w:spacing w:after="0" w:line="285" w:lineRule="auto"/>
        <w:rPr>
          <w:sz w:val="20"/>
          <w:szCs w:val="20"/>
          <w:color w:val="auto"/>
        </w:rPr>
      </w:pPr>
      <w:r>
        <w:rPr>
          <w:rFonts w:ascii="Arial" w:cs="Arial" w:eastAsia="Arial" w:hAnsi="Arial"/>
          <w:sz w:val="16"/>
          <w:szCs w:val="16"/>
          <w:color w:val="auto"/>
        </w:rPr>
        <w:t>The AMPLIFY study design, shown in Figure 2, was a double-blind, placebo- controlled, randomized study that enrolled a total of 236 patients with CKD on dialysis who, despite a high and stable phosphate binder regime, had serum phosphorus levels greater than or equal to 5.5mg/dL and less than or equal to 10.0mg/dL at screening. After a run-in of two to four weeks, patients were then randomized 1:1 to receive the addition of tenapanor or placebo twice daily while continuing their established phosphate binder regimen. Baseline serum phosphorus at randomization was at a mean of</w:t>
      </w:r>
    </w:p>
    <w:p>
      <w:pPr>
        <w:spacing w:after="0" w:line="2" w:lineRule="exact"/>
        <w:rPr>
          <w:sz w:val="20"/>
          <w:szCs w:val="20"/>
          <w:color w:val="auto"/>
        </w:rPr>
      </w:pPr>
    </w:p>
    <w:p>
      <w:pPr>
        <w:ind w:left="40" w:right="199"/>
        <w:spacing w:after="0" w:line="292" w:lineRule="auto"/>
        <w:rPr>
          <w:sz w:val="20"/>
          <w:szCs w:val="20"/>
          <w:color w:val="auto"/>
        </w:rPr>
      </w:pPr>
      <w:r>
        <w:rPr>
          <w:rFonts w:ascii="Arial" w:cs="Arial" w:eastAsia="Arial" w:hAnsi="Arial"/>
          <w:sz w:val="16"/>
          <w:szCs w:val="16"/>
          <w:color w:val="auto"/>
        </w:rPr>
        <w:t>6.8mg/dL. Tenapanor was initiated at a starting dose of 30 mg twice daily with tenapanor dose adjustments allowed based on tolerability and serum phosphorus levels. The primary endpoint of the study was the comparison of the change from baseline in serum phosphorus levels at week 4 between placebo or tenapanor and binder arms. The key secondary endpoints included a comparison of the proportion of patients achieving a serum phosphorus level below 5.5 mg/dL at week four and relative change from baseline in FGF23 levels between the tenapanor and binder arms at week four.</w:t>
      </w:r>
    </w:p>
    <w:p>
      <w:pPr>
        <w:spacing w:after="0" w:line="189" w:lineRule="exact"/>
        <w:rPr>
          <w:sz w:val="20"/>
          <w:szCs w:val="20"/>
          <w:color w:val="auto"/>
        </w:rPr>
      </w:pPr>
    </w:p>
    <w:p>
      <w:pPr>
        <w:ind w:left="40" w:right="79" w:firstLine="648"/>
        <w:spacing w:after="0" w:line="288" w:lineRule="auto"/>
        <w:rPr>
          <w:sz w:val="20"/>
          <w:szCs w:val="20"/>
          <w:color w:val="auto"/>
        </w:rPr>
      </w:pPr>
      <w:r>
        <w:rPr>
          <w:rFonts w:ascii="Arial" w:cs="Arial" w:eastAsia="Arial" w:hAnsi="Arial"/>
          <w:sz w:val="16"/>
          <w:szCs w:val="16"/>
          <w:color w:val="auto"/>
        </w:rPr>
        <w:t>For the primary endpoint, patients in the tenapanor arm (tenapanor in combination with phosphate binders, n=116) had a statistically significant (p=0.0004) mean reduction in serum phosphorus from baseline to the end of the four-week treatment period of 0.84 mg/dL, as compared to those treated in the binder arm (placebo in combination with phosphate binders, n=119) who had a mean reduction of 0.19 mg/dL. Patients in the tenapanor arm had statistically significant decreases in serum phosphorus during all four weeks ranging from 0.84 to 1.21 mg/dL (p-values &lt;0.0004). During the treatment period, up to 49.1% of patients in the tenapanor arm achieved a serum phosphorus of &lt;5.5 mg/dL which was statistically significant compared with up to 23.5% in the binder arm (p-values≤0.0097). In addition, over the 4-week period there were statistically significant reductions in both intact and c-terminus FGF23 levels: 22% to 24% (p-values≤0.0027) respectively. Although exploratory in nature, we believe this is a notable result as increasing levels of FGF23 have a linear association with all-cause mortality and an increased risk of major cardiovascular events.</w:t>
      </w:r>
    </w:p>
    <w:p>
      <w:pPr>
        <w:spacing w:after="0" w:line="195" w:lineRule="exact"/>
        <w:rPr>
          <w:sz w:val="20"/>
          <w:szCs w:val="20"/>
          <w:color w:val="auto"/>
        </w:rPr>
      </w:pPr>
    </w:p>
    <w:p>
      <w:pPr>
        <w:ind w:left="40" w:right="159" w:firstLine="648"/>
        <w:spacing w:after="0" w:line="296" w:lineRule="auto"/>
        <w:rPr>
          <w:sz w:val="20"/>
          <w:szCs w:val="20"/>
          <w:color w:val="auto"/>
        </w:rPr>
      </w:pPr>
      <w:r>
        <w:rPr>
          <w:rFonts w:ascii="Arial" w:cs="Arial" w:eastAsia="Arial" w:hAnsi="Arial"/>
          <w:sz w:val="16"/>
          <w:szCs w:val="16"/>
          <w:color w:val="auto"/>
        </w:rPr>
        <w:t>Tenapanor was well tolerated. Only 4.3% of patients in the tenapanor arm discontinued treatment compared to 2.5% in the binder arm. The single adverse event with a placebo-adjusted rate greater than 3% was loose stools/diarrhea at 36%, where most incidents were reported within the first five days of treatment, were transient in nature and the median time to resolution was four days. Notably, only 2.6% of patients in the tenapanor arm discontinued treatment due to loose stools/diarrhea, as compared to 0.8% in the binder arm. There were no serious adverse events related to tenapanor.</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Figure 2. AMPLIFY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151765</wp:posOffset>
            </wp:positionV>
            <wp:extent cx="3497580" cy="2211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9758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7"/>
          <w:szCs w:val="17"/>
          <w:color w:val="auto"/>
        </w:rPr>
        <w:t>In February 2017, we announced data from our first Phase 3 clinical trial evaluating the efficacy and safety of tenapanor as a monotherapy for the control of serum phosphorus in patients with CKD on dialysis</w:t>
      </w:r>
      <w:r>
        <w:rPr>
          <w:rFonts w:ascii="Arial" w:cs="Arial" w:eastAsia="Arial" w:hAnsi="Arial"/>
          <w:sz w:val="17"/>
          <w:szCs w:val="17"/>
          <w:i w:val="1"/>
          <w:iCs w:val="1"/>
          <w:color w:val="auto"/>
        </w:rPr>
        <w:t>.</w:t>
      </w:r>
      <w:r>
        <w:rPr>
          <w:rFonts w:ascii="Arial" w:cs="Arial" w:eastAsia="Arial" w:hAnsi="Arial"/>
          <w:sz w:val="17"/>
          <w:szCs w:val="17"/>
          <w:color w:val="auto"/>
        </w:rPr>
        <w:t xml:space="preserve"> The Phase 3 trial was an eight-week, double-blind, randomized trial, with a four-week placebo-controlled randomized withdrawal period. The study demonstrated a statistically significant difference in serum phosphorus levels from the end of the eight-week treatment period to the end of the four-week randomized withdrawal between the tenapanor-treated group and the placebo-treated group in the efficacy analysis population (mean -1.01 mg/dL, median of -1.3 mg/dL) and met its primary endpoint (95% confidence interval, -1.44, -0.21, LSmean -0.82 mg/dL, p=0.01).</w:t>
      </w:r>
    </w:p>
    <w:p>
      <w:pPr>
        <w:spacing w:after="0" w:line="177" w:lineRule="exact"/>
        <w:rPr>
          <w:sz w:val="20"/>
          <w:szCs w:val="20"/>
          <w:color w:val="auto"/>
        </w:rPr>
      </w:pPr>
    </w:p>
    <w:p>
      <w:pPr>
        <w:ind w:left="40" w:right="199" w:firstLine="648"/>
        <w:spacing w:after="0" w:line="293" w:lineRule="auto"/>
        <w:rPr>
          <w:sz w:val="20"/>
          <w:szCs w:val="20"/>
          <w:color w:val="auto"/>
        </w:rPr>
      </w:pPr>
      <w:r>
        <w:rPr>
          <w:rFonts w:ascii="Arial" w:cs="Arial" w:eastAsia="Arial" w:hAnsi="Arial"/>
          <w:sz w:val="16"/>
          <w:szCs w:val="16"/>
          <w:color w:val="auto"/>
        </w:rPr>
        <w:t>Tenapanor was well-tolerated in the trial. In the eight-week treatment period, the only adverse event that affected more than five percent of patients treated with tenapanor was diarrhea (39%), a patient-reported side effect of loosened stool or increased frequency in bowel movements regardless of magnitude. In the four-week randomized withdrawal period, there was a diarrhea rate of 1.2% for patients treated with tenapanor compared with 2.4% on placebo. Treatment discontinuations due to diarrhea during the eight-week treatment period for patients on tenapanor was 7.8% (n=17). There were no discontinuations due to diarrhea during in the randomized withdrawal period.</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The hyperphosphatemia market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Phosphate binders are the only drugs marketed for the control of serum phosphorus in CKD patients on dialysis.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various types of phosphate binders commercialized in the United States include the following:</w:t>
      </w:r>
    </w:p>
    <w:p>
      <w:pPr>
        <w:spacing w:after="0" w:line="211" w:lineRule="exact"/>
        <w:rPr>
          <w:sz w:val="20"/>
          <w:szCs w:val="20"/>
          <w:color w:val="auto"/>
        </w:rPr>
      </w:pPr>
    </w:p>
    <w:p>
      <w:pPr>
        <w:ind w:left="1940" w:hanging="600"/>
        <w:spacing w:after="0"/>
        <w:tabs>
          <w:tab w:leader="none" w:pos="1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Calcium carbonate (many over-the-counter brands including Tums and Caltrate);</w:t>
      </w:r>
    </w:p>
    <w:p>
      <w:pPr>
        <w:spacing w:after="0" w:line="225" w:lineRule="exact"/>
        <w:rPr>
          <w:rFonts w:ascii="Arial" w:cs="Arial" w:eastAsia="Arial" w:hAnsi="Arial"/>
          <w:sz w:val="18"/>
          <w:szCs w:val="18"/>
          <w:color w:val="auto"/>
        </w:rPr>
      </w:pPr>
    </w:p>
    <w:p>
      <w:pPr>
        <w:ind w:left="1940" w:hanging="600"/>
        <w:spacing w:after="0"/>
        <w:tabs>
          <w:tab w:leader="none" w:pos="1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Calcium acetate (several prescription brands including PhosLo and Phoslyra);</w:t>
      </w:r>
    </w:p>
    <w:p>
      <w:pPr>
        <w:spacing w:after="0" w:line="225" w:lineRule="exact"/>
        <w:rPr>
          <w:rFonts w:ascii="Arial" w:cs="Arial" w:eastAsia="Arial" w:hAnsi="Arial"/>
          <w:sz w:val="18"/>
          <w:szCs w:val="18"/>
          <w:color w:val="auto"/>
        </w:rPr>
      </w:pPr>
    </w:p>
    <w:p>
      <w:pPr>
        <w:ind w:left="1940" w:hanging="600"/>
        <w:spacing w:after="0"/>
        <w:tabs>
          <w:tab w:leader="none" w:pos="1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Lanthanum carbonate (Fosrenol);</w:t>
      </w:r>
    </w:p>
    <w:p>
      <w:pPr>
        <w:spacing w:after="0" w:line="225" w:lineRule="exact"/>
        <w:rPr>
          <w:rFonts w:ascii="Arial" w:cs="Arial" w:eastAsia="Arial" w:hAnsi="Arial"/>
          <w:sz w:val="18"/>
          <w:szCs w:val="18"/>
          <w:color w:val="auto"/>
        </w:rPr>
      </w:pPr>
    </w:p>
    <w:p>
      <w:pPr>
        <w:ind w:left="1940" w:hanging="600"/>
        <w:spacing w:after="0"/>
        <w:tabs>
          <w:tab w:leader="none" w:pos="1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Sevelamer hydrochloride (Renagel);</w:t>
      </w:r>
    </w:p>
    <w:p>
      <w:pPr>
        <w:spacing w:after="0" w:line="225" w:lineRule="exact"/>
        <w:rPr>
          <w:rFonts w:ascii="Arial" w:cs="Arial" w:eastAsia="Arial" w:hAnsi="Arial"/>
          <w:sz w:val="18"/>
          <w:szCs w:val="18"/>
          <w:color w:val="auto"/>
        </w:rPr>
      </w:pPr>
    </w:p>
    <w:p>
      <w:pPr>
        <w:ind w:left="1940" w:hanging="600"/>
        <w:spacing w:after="0"/>
        <w:tabs>
          <w:tab w:leader="none" w:pos="1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Sevelamer carbonate (Renvela);</w:t>
      </w:r>
    </w:p>
    <w:p>
      <w:pPr>
        <w:spacing w:after="0" w:line="225" w:lineRule="exact"/>
        <w:rPr>
          <w:rFonts w:ascii="Arial" w:cs="Arial" w:eastAsia="Arial" w:hAnsi="Arial"/>
          <w:sz w:val="18"/>
          <w:szCs w:val="18"/>
          <w:color w:val="auto"/>
        </w:rPr>
      </w:pPr>
    </w:p>
    <w:p>
      <w:pPr>
        <w:ind w:left="1940" w:hanging="600"/>
        <w:spacing w:after="0"/>
        <w:tabs>
          <w:tab w:leader="none" w:pos="1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Sucroferric oxyhydroxide (Velphoro); and</w:t>
      </w:r>
    </w:p>
    <w:p>
      <w:pPr>
        <w:spacing w:after="0" w:line="225" w:lineRule="exact"/>
        <w:rPr>
          <w:rFonts w:ascii="Arial" w:cs="Arial" w:eastAsia="Arial" w:hAnsi="Arial"/>
          <w:sz w:val="18"/>
          <w:szCs w:val="18"/>
          <w:color w:val="auto"/>
        </w:rPr>
      </w:pPr>
    </w:p>
    <w:p>
      <w:pPr>
        <w:ind w:left="1940" w:hanging="600"/>
        <w:spacing w:after="0"/>
        <w:tabs>
          <w:tab w:leader="none" w:pos="1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Ferric citrate (Auryxia).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379" w:firstLine="648"/>
        <w:spacing w:after="0" w:line="311" w:lineRule="auto"/>
        <w:rPr>
          <w:sz w:val="20"/>
          <w:szCs w:val="20"/>
          <w:color w:val="auto"/>
        </w:rPr>
      </w:pPr>
      <w:r>
        <w:rPr>
          <w:rFonts w:ascii="Arial" w:cs="Arial" w:eastAsia="Arial" w:hAnsi="Arial"/>
          <w:sz w:val="16"/>
          <w:szCs w:val="16"/>
          <w:color w:val="auto"/>
        </w:rPr>
        <w:t>The hydrochloride form of sevelamer, Renagel, was launched in the United States by Genzyme Corporation in 1998 prior to its acquisition by Sanofi, and the carbonate form, Renvela, was launched in 2008. Generic sevelamer carbonate has been approved in certain jurisdictions in Europe since 2015 and in the U.S. market since June 2017.</w:t>
      </w:r>
    </w:p>
    <w:p>
      <w:pPr>
        <w:spacing w:after="0" w:line="149" w:lineRule="exact"/>
        <w:rPr>
          <w:sz w:val="20"/>
          <w:szCs w:val="20"/>
          <w:color w:val="auto"/>
        </w:rPr>
      </w:pPr>
    </w:p>
    <w:p>
      <w:pPr>
        <w:ind w:left="40" w:right="319" w:firstLine="648"/>
        <w:spacing w:after="0" w:line="263" w:lineRule="auto"/>
        <w:rPr>
          <w:sz w:val="20"/>
          <w:szCs w:val="20"/>
          <w:color w:val="auto"/>
        </w:rPr>
      </w:pPr>
      <w:r>
        <w:rPr>
          <w:rFonts w:ascii="Arial" w:cs="Arial" w:eastAsia="Arial" w:hAnsi="Arial"/>
          <w:sz w:val="18"/>
          <w:szCs w:val="18"/>
          <w:color w:val="auto"/>
        </w:rPr>
        <w:t>In addition to the currently marketed phosphate binders, we are aware of at least two other binders in development, including fermagate (Alpharen), an iron-based binder in Phase 3 studies being developed by Opko Health, Inc., and PT20, an iron-based binder in Phase 3 being developed by Shield Therapeutics.</w:t>
      </w:r>
    </w:p>
    <w:p>
      <w:pPr>
        <w:spacing w:after="0" w:line="184"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7"/>
          <w:szCs w:val="17"/>
          <w:color w:val="auto"/>
        </w:rPr>
        <w:t>According to the most recent data available from the U.S. Renal Data System, in 2016 there were 457,957 patients on hemodialysis in the United States. Additionally, according to the European ERA-EDTA Registry 2016 Annual Report and a study in 2016 by the Japanese Society for Dialysis Therapy, there were approximately 327,000 patients on hemodialysis in Europe and about 329,000 in Japan. We estimate, based on phosphate binder utilization, the only approved therapies for hyperphosphatemia, that there are approximately 320,000, 260,000 and 289,000 end-stage renal disease, or ESRD, patients with hyperphosphatemia in the United States, countries in Europe and Japan, respectively, resulting in approximately 869,000 ESRD patients with hyperphosphatemia in such countries.</w:t>
      </w:r>
    </w:p>
    <w:p>
      <w:pPr>
        <w:spacing w:after="0" w:line="177" w:lineRule="exact"/>
        <w:rPr>
          <w:sz w:val="20"/>
          <w:szCs w:val="20"/>
          <w:color w:val="auto"/>
        </w:rPr>
      </w:pPr>
    </w:p>
    <w:p>
      <w:pPr>
        <w:ind w:left="40" w:right="139" w:firstLine="648"/>
        <w:spacing w:after="0" w:line="254" w:lineRule="auto"/>
        <w:rPr>
          <w:sz w:val="20"/>
          <w:szCs w:val="20"/>
          <w:color w:val="auto"/>
        </w:rPr>
      </w:pPr>
      <w:r>
        <w:rPr>
          <w:rFonts w:ascii="Arial" w:cs="Arial" w:eastAsia="Arial" w:hAnsi="Arial"/>
          <w:sz w:val="18"/>
          <w:szCs w:val="18"/>
          <w:color w:val="auto"/>
        </w:rPr>
        <w:t>Because many CKD patients on dialysis with hyperphosphatemia are unable to lower serum phosphorus levels to below 5.5 mg/dL with currently marketed phosphate binders, we believe there is a significant medical need for new agents with new mechanisms, demonstrated efficacy, a strong safety profile, and significantly lower pill burden. We believe that tenapanor, if approved, has the potential to have the lowest pill burden and mass among any currently marketed hyperphosphatemia products, with milligram rather than gram quantities. In addition, we are evaluating whether tenapanor has the potential to be used in combination with phosphate binders for those patients who cannot achieve adequate phosphate control with a single agent.</w:t>
      </w:r>
    </w:p>
    <w:p>
      <w:pPr>
        <w:spacing w:after="0" w:line="195" w:lineRule="exact"/>
        <w:rPr>
          <w:sz w:val="20"/>
          <w:szCs w:val="20"/>
          <w:color w:val="auto"/>
        </w:rPr>
      </w:pPr>
    </w:p>
    <w:p>
      <w:pPr>
        <w:ind w:left="40" w:right="139" w:firstLine="648"/>
        <w:spacing w:after="0" w:line="273" w:lineRule="auto"/>
        <w:rPr>
          <w:sz w:val="20"/>
          <w:szCs w:val="20"/>
          <w:color w:val="auto"/>
        </w:rPr>
      </w:pPr>
      <w:r>
        <w:rPr>
          <w:rFonts w:ascii="Arial" w:cs="Arial" w:eastAsia="Arial" w:hAnsi="Arial"/>
          <w:sz w:val="17"/>
          <w:szCs w:val="17"/>
          <w:color w:val="auto"/>
        </w:rPr>
        <w:t>Our intention is to build a United States-focused, highly efficient, specialized sales and marketing organization focused on nephrology. The nephrology market is a concentrated market strongly influenced by key opinion leaders. There were 10,798 nephrologists in the United States in 2018 and 7,578 dialysis facilities in the United States that offer in-center dialysis. Based on the experience of our management team, we believe that a specialty salesforce is appropriate for this marketplace. We believe that tenapanor for the control of serum phosphorus could represent a market opportunity of between $500 million and $700 million in the United States.</w:t>
      </w:r>
    </w:p>
    <w:p>
      <w:pPr>
        <w:spacing w:after="0" w:line="178" w:lineRule="exact"/>
        <w:rPr>
          <w:sz w:val="20"/>
          <w:szCs w:val="20"/>
          <w:color w:val="auto"/>
        </w:rPr>
      </w:pPr>
    </w:p>
    <w:p>
      <w:pPr>
        <w:ind w:left="40" w:right="299" w:firstLine="648"/>
        <w:spacing w:after="0" w:line="287" w:lineRule="auto"/>
        <w:rPr>
          <w:sz w:val="20"/>
          <w:szCs w:val="20"/>
          <w:color w:val="auto"/>
        </w:rPr>
      </w:pPr>
      <w:r>
        <w:rPr>
          <w:rFonts w:ascii="Arial" w:cs="Arial" w:eastAsia="Arial" w:hAnsi="Arial"/>
          <w:sz w:val="16"/>
          <w:szCs w:val="16"/>
          <w:color w:val="auto"/>
        </w:rPr>
        <w:t>With its significantly reduced pill burden and well-tolerated safety profile, tenapanor, if approved, would be the only non-binder treatment for the control of serum phosphorus in patients with CKD on dialysis and would address the significant pill burden challenges and intolerability that patients experience with today’s binder treatments. In</w:t>
      </w:r>
    </w:p>
    <w:p>
      <w:pPr>
        <w:spacing w:after="0" w:line="2" w:lineRule="exact"/>
        <w:rPr>
          <w:sz w:val="20"/>
          <w:szCs w:val="20"/>
          <w:color w:val="auto"/>
        </w:rPr>
      </w:pPr>
    </w:p>
    <w:p>
      <w:pPr>
        <w:ind w:left="40" w:right="99"/>
        <w:spacing w:after="0" w:line="252" w:lineRule="auto"/>
        <w:rPr>
          <w:sz w:val="20"/>
          <w:szCs w:val="20"/>
          <w:color w:val="auto"/>
        </w:rPr>
      </w:pPr>
      <w:r>
        <w:rPr>
          <w:rFonts w:ascii="Arial" w:cs="Arial" w:eastAsia="Arial" w:hAnsi="Arial"/>
          <w:sz w:val="18"/>
          <w:szCs w:val="18"/>
          <w:color w:val="auto"/>
        </w:rPr>
        <w:t>the PHREEDOM trial we demonstrated tenapanor’s ability to lower serum phosphorus as monotherapy, and in the AMPLIFY trial we demonstrated the benefits of a dual mechanism approach to lowering serum phosphorus with tenapanor plus binders in patients whose serum phosphorus was not previously controlled with binders alone. We believe that tenapanor has a role to play in the management of all dialysis patients with hyperphosphatemia. With the results from these clinical trials, we intend to submit a New Drug Application to the FDA in mid-2020 for tenapanor, for the control of serum phosphorus in patients with CKD on dialysis.</w:t>
      </w:r>
    </w:p>
    <w:p>
      <w:pPr>
        <w:spacing w:after="0" w:line="194" w:lineRule="exact"/>
        <w:rPr>
          <w:sz w:val="20"/>
          <w:szCs w:val="20"/>
          <w:color w:val="auto"/>
        </w:rPr>
      </w:pPr>
    </w:p>
    <w:p>
      <w:pPr>
        <w:ind w:left="40" w:right="379" w:firstLine="648"/>
        <w:spacing w:after="0" w:line="296" w:lineRule="auto"/>
        <w:rPr>
          <w:sz w:val="20"/>
          <w:szCs w:val="20"/>
          <w:color w:val="auto"/>
        </w:rPr>
      </w:pPr>
      <w:r>
        <w:rPr>
          <w:rFonts w:ascii="Arial" w:cs="Arial" w:eastAsia="Arial" w:hAnsi="Arial"/>
          <w:sz w:val="16"/>
          <w:szCs w:val="16"/>
          <w:color w:val="auto"/>
        </w:rPr>
        <w:t>To bring tenapanor to patients outside the United States, we intend to establish strategic collaborations with industry leading pharmaceutical companies with established commercial infrastructures. We currently have three collaboration partnerships: with KKC for commercialization of tenapanor for the treatment of cardiorenal diseases, including hyperphosphatemia, in Japan; with Fosun Pharma for the commercialization of tenapanor for the treatment of IBS-C and hyperphosphatemia in China; and with Knight for commercialization of tenapanor in Canada.</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RDX013 Program: Small Molecule for Treating Hyperkalemia</w:t>
      </w:r>
    </w:p>
    <w:p>
      <w:pPr>
        <w:spacing w:after="0" w:line="229" w:lineRule="exact"/>
        <w:rPr>
          <w:sz w:val="20"/>
          <w:szCs w:val="20"/>
          <w:color w:val="auto"/>
        </w:rPr>
      </w:pPr>
    </w:p>
    <w:p>
      <w:pPr>
        <w:ind w:left="40" w:right="79" w:firstLine="648"/>
        <w:spacing w:after="0" w:line="296" w:lineRule="auto"/>
        <w:rPr>
          <w:sz w:val="20"/>
          <w:szCs w:val="20"/>
          <w:color w:val="auto"/>
        </w:rPr>
      </w:pPr>
      <w:r>
        <w:rPr>
          <w:rFonts w:ascii="Arial" w:cs="Arial" w:eastAsia="Arial" w:hAnsi="Arial"/>
          <w:sz w:val="16"/>
          <w:szCs w:val="16"/>
          <w:color w:val="auto"/>
        </w:rPr>
        <w:t>RDX013 is our novel, small molecule program for the potential treatment of hyperkalemia. Our RDX013 approach works by leveraging the GI tract’s natural ability to secrete potassium into the lumen of the gut to reduce serum potassium levels. This mechanism differs significantly from the potassium binders currently on the market. For a potassium binder to work, it must be present when dietary potassium is ingested so that the agent can bind the potassium and prevent its absorption in the gut. This results in the need for large quantities of binder in order to bind the large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53" w:lineRule="auto"/>
        <w:rPr>
          <w:sz w:val="20"/>
          <w:szCs w:val="20"/>
          <w:color w:val="auto"/>
        </w:rPr>
      </w:pPr>
      <w:r>
        <w:rPr>
          <w:rFonts w:ascii="Arial" w:cs="Arial" w:eastAsia="Arial" w:hAnsi="Arial"/>
          <w:sz w:val="18"/>
          <w:szCs w:val="18"/>
          <w:color w:val="auto"/>
        </w:rPr>
        <w:t>amounts of potassium in the diets of most individuals. In contrast, we observed in our preclinical models that a small amount of drug could cause potassium to be secreted into the lumen of the gut. In this way, we believe that with our approach in the RDX013 program, we may have the potential to lower serum potassium whether or not potassium is present in the diet and could result in a very low pill burden, potentially allowing better patient compliance, longer-term use and potentially better efficacy than potassium binders. As described below, certain medications commonly administered to patients with CKD and/or heart failure can also cause hyperkalemia. We believe that, if successful, our approach in the RDX013 program may provide nephrologists and cardiologists with an opportunity to treat hyperkalemia chronically without reducing the dose of these medications by utilizing an effective potassium secretagogue to treat hyperkalemia in a small, convenient pill format.</w:t>
      </w:r>
    </w:p>
    <w:p>
      <w:pPr>
        <w:spacing w:after="0" w:line="196" w:lineRule="exact"/>
        <w:rPr>
          <w:sz w:val="20"/>
          <w:szCs w:val="20"/>
          <w:color w:val="auto"/>
        </w:rPr>
      </w:pPr>
    </w:p>
    <w:p>
      <w:pPr>
        <w:ind w:left="40" w:right="119" w:firstLine="648"/>
        <w:spacing w:after="0" w:line="263" w:lineRule="auto"/>
        <w:rPr>
          <w:sz w:val="20"/>
          <w:szCs w:val="20"/>
          <w:color w:val="auto"/>
        </w:rPr>
      </w:pPr>
      <w:r>
        <w:rPr>
          <w:rFonts w:ascii="Arial" w:cs="Arial" w:eastAsia="Arial" w:hAnsi="Arial"/>
          <w:sz w:val="18"/>
          <w:szCs w:val="18"/>
          <w:color w:val="auto"/>
        </w:rPr>
        <w:t>Hyperkalemia is generally defined as the presence of blood potassium levels greater than 5.0 mEq/L. Normal levels are 3.5 to 5.0 mEq/L. When hyperkalemia is severe, above 7.0 mEq/L, there is a significantly increased risk of death because of the potential for heart conductance problems.</w:t>
      </w:r>
    </w:p>
    <w:p>
      <w:pPr>
        <w:spacing w:after="0" w:line="184"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Hyperkalemia can be caused by a variety of issues. Kidney disease can result in the elevation of potassium in the blood, and certain drugs such as the common hypertension medications known as RAAS inhibitors, which inhibit the renin-angiotensin-aldosterone system, can cause hyperkalemia. As a result, the dosage of RAAS inhibitors must often be significantly reduced in patients whose potassium levels are elevated, such as in those with CKD and heart failure. Because of the risk of hyperkalemia, several published guidelines have suggested that physicians should reduce and possibly discontinue RAAS inhibitors in order to manage the risk of hyperkalemia in CKD and heart failure patients. The alternative medications used to control hypertension, including diuretics and calcium channel blockers, are less effective than RAAS inhibitors, particularly in patients with failing kidneys and severe hypertension. According to the 2015 publication Market Dynamix: Hyperkalemia, released by Spherix Global Insights, U.S. cardiologists reported that of the patients who would benefit from RAAS inhibition, up to 38% of patients with heart failure and up to 55% of patients with both heart failure and CKD are being administered a sub-optimal dose or none at all. Nephrologists reported that at least one-third of patients who would benefit from RAAS inhibition receive a sub-optimal dose or none at all. We believe there is clearly a strong medical need for new medications that control hyperkalemia in order to allow for optimal use of RAAS inhibitors to control hypertension in these patient populations.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The hyperkalemia market</w:t>
      </w:r>
    </w:p>
    <w:p>
      <w:pPr>
        <w:spacing w:after="0" w:line="225"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7"/>
          <w:szCs w:val="17"/>
          <w:color w:val="auto"/>
        </w:rPr>
        <w:t>Of the people with CKD and/or heart failure in the United States, we estimate that there are approximately 2.1 million people who also have occurrences of hyperkalemia. According to a retrospective study conducted in 2005 of a national cohort of 246,000 patients cared for in the Veterans Health Administration, about 21% and 42% of patients with CKD Stage 3b and Stage 4, respectively, had a hyperkalemic event during a 12-month period, suggesting that hyperkalemia affects about 900,000 individuals with CKD Stage 3b or Stage 4 in the United States. According to the United States Renal Data System 2014 Atlas of CKD &amp; ESRD, over 50% of CKD Stage 3b and Stage 4 patients are prescribed RAAS inhibitors to control hypertension and to slow the course of CKD.</w:t>
      </w:r>
    </w:p>
    <w:p>
      <w:pPr>
        <w:spacing w:after="0" w:line="177" w:lineRule="exact"/>
        <w:rPr>
          <w:sz w:val="20"/>
          <w:szCs w:val="20"/>
          <w:color w:val="auto"/>
        </w:rPr>
      </w:pPr>
    </w:p>
    <w:p>
      <w:pPr>
        <w:ind w:left="40" w:right="79" w:firstLine="648"/>
        <w:spacing w:after="0" w:line="275" w:lineRule="auto"/>
        <w:rPr>
          <w:sz w:val="20"/>
          <w:szCs w:val="20"/>
          <w:color w:val="auto"/>
        </w:rPr>
      </w:pPr>
      <w:r>
        <w:rPr>
          <w:rFonts w:ascii="Arial" w:cs="Arial" w:eastAsia="Arial" w:hAnsi="Arial"/>
          <w:sz w:val="17"/>
          <w:szCs w:val="17"/>
          <w:color w:val="auto"/>
        </w:rPr>
        <w:t>Additionally, the number of adults in the U.S. living with heart failure is about 6.5 million, based on data collected in the National Health and Nutrition Examination Survey, which is taken in stages over multiple years. Our proprietary research suggests that up to 16%, or approximately 1.0 million, of these patients had hyperkalemia during a 12-month period. Over half of heart failure patients are prescribed RAAS inhibitors. Our proprietary research also suggests that up to 200,000 CKD patients on dialysis in the U.S. could benefit from an agent that treats hyperkalemia.</w:t>
      </w:r>
    </w:p>
    <w:p>
      <w:pPr>
        <w:spacing w:after="0" w:line="176" w:lineRule="exact"/>
        <w:rPr>
          <w:sz w:val="20"/>
          <w:szCs w:val="20"/>
          <w:color w:val="auto"/>
        </w:rPr>
      </w:pPr>
    </w:p>
    <w:p>
      <w:pPr>
        <w:ind w:left="40" w:right="179" w:firstLine="648"/>
        <w:spacing w:after="0" w:line="275" w:lineRule="auto"/>
        <w:rPr>
          <w:sz w:val="20"/>
          <w:szCs w:val="20"/>
          <w:color w:val="auto"/>
        </w:rPr>
      </w:pPr>
      <w:r>
        <w:rPr>
          <w:rFonts w:ascii="Arial" w:cs="Arial" w:eastAsia="Arial" w:hAnsi="Arial"/>
          <w:sz w:val="17"/>
          <w:szCs w:val="17"/>
          <w:color w:val="auto"/>
        </w:rPr>
        <w:t>We are aware of at least two drugs on the market for the treatment of hyperkalemia. Veltassa (patiromer FOS), an oral, polymer-based potassium binder, was approved for marketing by the FDA in October 2015 and was commercially launched by Relypsa, which was acquired by Galenica AG in September 2016. Additionally, Lokelma (sodium zirconium cyclosilicate), an oral, potassium binder developed by ZS Pharma, acquired by AstraZeneca in December 2015, was approved in May 2018 and launched by AstraZeneca.</w:t>
      </w:r>
    </w:p>
    <w:p>
      <w:pPr>
        <w:spacing w:after="0" w:line="176"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7"/>
          <w:szCs w:val="17"/>
          <w:color w:val="auto"/>
        </w:rPr>
        <w:t>We believe that, unlike these agents which require large amounts of drug for the desired effect, RDX013 may have the potential to lower serum potassium whether or not potassium is present in the diet and could result in very low pill burden, allowing better compliance, longer-term use and potentially better efficacy than potassium binders.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19" w:firstLine="648"/>
        <w:spacing w:after="0" w:line="263" w:lineRule="auto"/>
        <w:rPr>
          <w:sz w:val="20"/>
          <w:szCs w:val="20"/>
          <w:color w:val="auto"/>
        </w:rPr>
      </w:pPr>
      <w:r>
        <w:rPr>
          <w:rFonts w:ascii="Arial" w:cs="Arial" w:eastAsia="Arial" w:hAnsi="Arial"/>
          <w:sz w:val="18"/>
          <w:szCs w:val="18"/>
          <w:color w:val="auto"/>
        </w:rPr>
        <w:t>If we are successful in developing RDX013 and obtaining marketing authorization from the FDA, we would expect to leverage the renal sales and marketing organization that we intend to build to support commercialization in the United States of tenapanor for treating hyperphosphatemia in dialysis patients.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IBSRELA® (tenapanor) for Irritable Bowel Syndrome with Constipation (IBS-C)</w:t>
      </w:r>
    </w:p>
    <w:p>
      <w:pPr>
        <w:spacing w:after="0" w:line="229" w:lineRule="exact"/>
        <w:rPr>
          <w:sz w:val="20"/>
          <w:szCs w:val="20"/>
          <w:color w:val="auto"/>
        </w:rPr>
      </w:pPr>
    </w:p>
    <w:p>
      <w:pPr>
        <w:jc w:val="both"/>
        <w:ind w:left="40" w:right="279" w:firstLine="693"/>
        <w:spacing w:after="0" w:line="286" w:lineRule="auto"/>
        <w:rPr>
          <w:sz w:val="20"/>
          <w:szCs w:val="20"/>
          <w:color w:val="auto"/>
        </w:rPr>
      </w:pPr>
      <w:r>
        <w:rPr>
          <w:rFonts w:ascii="Arial" w:cs="Arial" w:eastAsia="Arial" w:hAnsi="Arial"/>
          <w:sz w:val="17"/>
          <w:szCs w:val="17"/>
          <w:color w:val="auto"/>
        </w:rPr>
        <w:t>On September 12, 2019, we received US FDA approval of IBSRELA (tenapanor) for the treatment of IBS-C in adults. To efficiently bring this treatment to market, we are pursuing strategic collaborations for IBSRELA for IBS-C in certain territories. We have established agreements with Fosun Pharma in China and Knight in Canada.</w:t>
      </w:r>
    </w:p>
    <w:p>
      <w:pPr>
        <w:spacing w:after="0" w:line="165" w:lineRule="exact"/>
        <w:rPr>
          <w:sz w:val="20"/>
          <w:szCs w:val="20"/>
          <w:color w:val="auto"/>
        </w:rPr>
      </w:pPr>
    </w:p>
    <w:p>
      <w:pPr>
        <w:ind w:left="40" w:right="459" w:firstLine="648"/>
        <w:spacing w:after="0" w:line="277" w:lineRule="auto"/>
        <w:rPr>
          <w:sz w:val="20"/>
          <w:szCs w:val="20"/>
          <w:color w:val="auto"/>
        </w:rPr>
      </w:pPr>
      <w:r>
        <w:rPr>
          <w:rFonts w:ascii="Arial" w:cs="Arial" w:eastAsia="Arial" w:hAnsi="Arial"/>
          <w:sz w:val="18"/>
          <w:szCs w:val="18"/>
          <w:color w:val="auto"/>
        </w:rPr>
        <w:t>IBS-C is a burdensome GI disorder affecting a significant number of people. It is characterized by significant abdominal pain, constipation, straining during bowel movements, bloating and/or gas.</w:t>
      </w:r>
    </w:p>
    <w:p>
      <w:pPr>
        <w:spacing w:after="0" w:line="170" w:lineRule="exact"/>
        <w:rPr>
          <w:sz w:val="20"/>
          <w:szCs w:val="20"/>
          <w:color w:val="auto"/>
        </w:rPr>
      </w:pPr>
    </w:p>
    <w:p>
      <w:pPr>
        <w:ind w:left="40" w:right="179" w:firstLine="648"/>
        <w:spacing w:after="0" w:line="257" w:lineRule="auto"/>
        <w:rPr>
          <w:sz w:val="20"/>
          <w:szCs w:val="20"/>
          <w:color w:val="auto"/>
        </w:rPr>
      </w:pPr>
      <w:r>
        <w:rPr>
          <w:rFonts w:ascii="Arial" w:cs="Arial" w:eastAsia="Arial" w:hAnsi="Arial"/>
          <w:sz w:val="18"/>
          <w:szCs w:val="18"/>
          <w:color w:val="auto"/>
        </w:rPr>
        <w:t>IBSRELA (tenapanor) is a locally acting inhibitor of the sodium/hydrogen exchanger 3 (NHE3), an antiporter expressed on the apical surface of the small intestine and colon primarily responsible for the absorption of dietary sodium. By inhibiting NHE3 on the apical surface of the enterocytes, tenapanor reduces absorption of sodium from the small intestine and colon, resulting in an increase in water secretion into the intestinal lumen, which accelerates intestinal transit time and results in a softer stool consistency.</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The IBS-C market</w:t>
      </w:r>
    </w:p>
    <w:p>
      <w:pPr>
        <w:spacing w:after="0" w:line="225" w:lineRule="exact"/>
        <w:rPr>
          <w:sz w:val="20"/>
          <w:szCs w:val="20"/>
          <w:color w:val="auto"/>
        </w:rPr>
      </w:pPr>
    </w:p>
    <w:p>
      <w:pPr>
        <w:ind w:left="40" w:right="239" w:firstLine="648"/>
        <w:spacing w:after="0" w:line="263" w:lineRule="auto"/>
        <w:rPr>
          <w:sz w:val="20"/>
          <w:szCs w:val="20"/>
          <w:color w:val="auto"/>
        </w:rPr>
      </w:pPr>
      <w:r>
        <w:rPr>
          <w:rFonts w:ascii="Arial" w:cs="Arial" w:eastAsia="Arial" w:hAnsi="Arial"/>
          <w:sz w:val="18"/>
          <w:szCs w:val="18"/>
          <w:color w:val="auto"/>
        </w:rPr>
        <w:t>Numerous treatments exist for the constipation component of IBS-C, many of which are over-the-counter. There are four prescription products marketed for IBS-C: Linzess (linaclotide); Amitiza (lubiprostone); Trulance (plecanatide) and Zelnorm (tegaserod).</w:t>
      </w:r>
    </w:p>
    <w:p>
      <w:pPr>
        <w:spacing w:after="0" w:line="184" w:lineRule="exact"/>
        <w:rPr>
          <w:sz w:val="20"/>
          <w:szCs w:val="20"/>
          <w:color w:val="auto"/>
        </w:rPr>
      </w:pPr>
    </w:p>
    <w:p>
      <w:pPr>
        <w:jc w:val="both"/>
        <w:ind w:left="40" w:right="219" w:firstLine="648"/>
        <w:spacing w:after="0" w:line="311" w:lineRule="auto"/>
        <w:rPr>
          <w:sz w:val="20"/>
          <w:szCs w:val="20"/>
          <w:color w:val="auto"/>
        </w:rPr>
      </w:pPr>
      <w:r>
        <w:rPr>
          <w:rFonts w:ascii="Arial" w:cs="Arial" w:eastAsia="Arial" w:hAnsi="Arial"/>
          <w:sz w:val="16"/>
          <w:szCs w:val="16"/>
          <w:color w:val="auto"/>
        </w:rPr>
        <w:t>Within the United States, there are approximately 11 million patients that suffer from IBS-C. There is significant unmet need for prescription medications, where, according a 2015 American Gastroenterological Association report, only one in four treated patients are very satisfied with the current FDA approved treatments in IBS-C.</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STRATEGIC PARTNERSHIPS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License Agreement with KKC</w:t>
      </w:r>
    </w:p>
    <w:p>
      <w:pPr>
        <w:spacing w:after="0" w:line="225" w:lineRule="exact"/>
        <w:rPr>
          <w:sz w:val="20"/>
          <w:szCs w:val="20"/>
          <w:color w:val="auto"/>
        </w:rPr>
      </w:pPr>
    </w:p>
    <w:p>
      <w:pPr>
        <w:ind w:left="40" w:right="179" w:firstLine="648"/>
        <w:spacing w:after="0" w:line="255" w:lineRule="auto"/>
        <w:rPr>
          <w:sz w:val="20"/>
          <w:szCs w:val="20"/>
          <w:color w:val="auto"/>
        </w:rPr>
      </w:pPr>
      <w:r>
        <w:rPr>
          <w:rFonts w:ascii="Arial" w:cs="Arial" w:eastAsia="Arial" w:hAnsi="Arial"/>
          <w:sz w:val="18"/>
          <w:szCs w:val="18"/>
          <w:color w:val="auto"/>
        </w:rPr>
        <w:t>In November 2017, we entered into a license agreement, the 2017 KKC Agreement, with KKC under which we granted KKC an exclusive license to develop and commercialize tenapanor in Japan for the treatment of cardiorenal diseases and conditions, excluding cancer, the KKC Field. We retained the rights to tenapanor outside of Japan, and also retained the rights to tenapanor in Japan for indications other than those in the KKC Field. Pursuant to the 2017 KKC Agreement, KKC is responsible for all of the development and commercialization costs for tenapanor in the KKC Field in Japan.</w:t>
      </w:r>
    </w:p>
    <w:p>
      <w:pPr>
        <w:spacing w:after="0" w:line="192" w:lineRule="exact"/>
        <w:rPr>
          <w:sz w:val="20"/>
          <w:szCs w:val="20"/>
          <w:color w:val="auto"/>
        </w:rPr>
      </w:pPr>
    </w:p>
    <w:p>
      <w:pPr>
        <w:jc w:val="both"/>
        <w:ind w:left="40" w:right="79" w:firstLine="648"/>
        <w:spacing w:after="0" w:line="263" w:lineRule="auto"/>
        <w:rPr>
          <w:sz w:val="20"/>
          <w:szCs w:val="20"/>
          <w:color w:val="auto"/>
        </w:rPr>
      </w:pPr>
      <w:r>
        <w:rPr>
          <w:rFonts w:ascii="Arial" w:cs="Arial" w:eastAsia="Arial" w:hAnsi="Arial"/>
          <w:sz w:val="18"/>
          <w:szCs w:val="18"/>
          <w:color w:val="auto"/>
        </w:rPr>
        <w:t>Under the 2017 KKC Agreement, we are responsible for supplying the tenapanor drug substance for KKC’s use in development and commercialization throughout the term of the 2017 KKC Agreement, provided that KKC may exercise an option to manufacture the tenapanor drug substance under certain conditions.</w:t>
      </w:r>
    </w:p>
    <w:p>
      <w:pPr>
        <w:spacing w:after="0" w:line="184"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Under the terms of the 2017 KKC Agreement, we received a $30.0 million upfront payment and are eligible to receive up to $55.0 million in total development milestones, of which we have received $5.0 million to date. Additionally, under the 2017 KKC Agreement we are eligible to receive up to 8.5 billion yen in commercialization milestones, worth up to $78.3 million at the exchange rate on December 31, 2019, and royalties based on aggregate annual net sales of the licensed products at a high teens percentage, subject to certain single digit reductions under certain circumstances described in the 2017 KKC Agreement.</w:t>
      </w:r>
    </w:p>
    <w:p>
      <w:pPr>
        <w:spacing w:after="0" w:line="192" w:lineRule="exact"/>
        <w:rPr>
          <w:sz w:val="20"/>
          <w:szCs w:val="20"/>
          <w:color w:val="auto"/>
        </w:rPr>
      </w:pPr>
    </w:p>
    <w:p>
      <w:pPr>
        <w:jc w:val="both"/>
        <w:ind w:left="40" w:right="119" w:firstLine="648"/>
        <w:spacing w:after="0" w:line="286" w:lineRule="auto"/>
        <w:rPr>
          <w:sz w:val="20"/>
          <w:szCs w:val="20"/>
          <w:color w:val="auto"/>
        </w:rPr>
      </w:pPr>
      <w:r>
        <w:rPr>
          <w:rFonts w:ascii="Arial" w:cs="Arial" w:eastAsia="Arial" w:hAnsi="Arial"/>
          <w:sz w:val="17"/>
          <w:szCs w:val="17"/>
          <w:color w:val="auto"/>
        </w:rPr>
        <w:t>The 2017 KKC Agreement will continue until all of KKC’s applicable payment obligations under the 2017 KKC Agreement have been performed or have expired, or the agreement is earlier terminated. Under the terms of the 2017 KKC Agreement, we and KKC each have the right to terminate the agreement for material breach by the other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39"/>
        <w:spacing w:after="0" w:line="257" w:lineRule="auto"/>
        <w:rPr>
          <w:sz w:val="20"/>
          <w:szCs w:val="20"/>
          <w:color w:val="auto"/>
        </w:rPr>
      </w:pPr>
      <w:r>
        <w:rPr>
          <w:rFonts w:ascii="Arial" w:cs="Arial" w:eastAsia="Arial" w:hAnsi="Arial"/>
          <w:sz w:val="18"/>
          <w:szCs w:val="18"/>
          <w:color w:val="auto"/>
        </w:rPr>
        <w:t>party. In addition, KKC may terminate the agreement for convenience; for certain safety reasons or if certain primary endpoints under an applicable development plan are not met despite KKC’s commercially reasonable efforts and KKC reasonably determines that it cannot obtain regulatory approval. KKC may also terminate the agreement if certain pivotal clinical trials conducted by us do not meet their primary endpoints. We may terminate the 2017 KKC Agreement if KKC challenges any patents licensed to KKC under the agreement.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Research Collaboration with KKC</w:t>
      </w:r>
    </w:p>
    <w:p>
      <w:pPr>
        <w:spacing w:after="0" w:line="225" w:lineRule="exact"/>
        <w:rPr>
          <w:sz w:val="20"/>
          <w:szCs w:val="20"/>
          <w:color w:val="auto"/>
        </w:rPr>
      </w:pPr>
    </w:p>
    <w:p>
      <w:pPr>
        <w:ind w:left="40" w:right="99" w:firstLine="648"/>
        <w:spacing w:after="0" w:line="271" w:lineRule="auto"/>
        <w:rPr>
          <w:sz w:val="20"/>
          <w:szCs w:val="20"/>
          <w:color w:val="auto"/>
        </w:rPr>
      </w:pPr>
      <w:r>
        <w:rPr>
          <w:rFonts w:ascii="Arial" w:cs="Arial" w:eastAsia="Arial" w:hAnsi="Arial"/>
          <w:sz w:val="17"/>
          <w:szCs w:val="17"/>
          <w:color w:val="auto"/>
        </w:rPr>
        <w:t>In November 2019, we expanded our strategic partnership with KKC with a separate research agreement. In the agreement, we established a two-year research collaboration, whereby we will execute a research plan, in which KKC will also join, to advance two of our ongoing research programs focused on identification and design of compounds to two undisclosed targets. In return, KKC will pay us $10.0 million ($5.0 million a year, for two years), of which we have received $5.0 million to date, to support the ongoing research. Following the end of the research period, KKC will have the option to license any candidates nominated by the companies for further development and commercialization in certain specified territories, with additional commitments payable to us of up to $10.5 million in upfront payments and up to $500.0 million in development and sales milestones.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License agreement with Fosun</w:t>
      </w:r>
    </w:p>
    <w:p>
      <w:pPr>
        <w:spacing w:after="0" w:line="225" w:lineRule="exact"/>
        <w:rPr>
          <w:sz w:val="20"/>
          <w:szCs w:val="20"/>
          <w:color w:val="auto"/>
        </w:rPr>
      </w:pPr>
    </w:p>
    <w:p>
      <w:pPr>
        <w:ind w:left="40" w:right="139" w:firstLine="648"/>
        <w:spacing w:after="0" w:line="290" w:lineRule="auto"/>
        <w:rPr>
          <w:sz w:val="20"/>
          <w:szCs w:val="20"/>
          <w:color w:val="auto"/>
        </w:rPr>
      </w:pPr>
      <w:r>
        <w:rPr>
          <w:rFonts w:ascii="Arial" w:cs="Arial" w:eastAsia="Arial" w:hAnsi="Arial"/>
          <w:sz w:val="16"/>
          <w:szCs w:val="16"/>
          <w:color w:val="auto"/>
        </w:rPr>
        <w:t>In December 2017, we entered into a license agreement, the Fosun License Agreement, with Fosun Pharma under which we granted Fosun Pharma an exclusive license to develop and commercialize tenapanor in China for the treatment, diagnosis or prevention of irritable bowel syndrome with constipation and chronic idiopathic constipation, hyperphosphatemia related to chronic kidney disease, and other diseases or conditions for which we obtain marketing approval in either the US or China, collectively, the Fosun Field. The Fosun Field excludes the treatment of cancer. We retained the rights to tenapanor outside of China, and also retained the rights to tenapanor in China for indications other than those in the Fosun Field. Pursuant to the terms of the Fosun License Agreement, Fosun Pharma is responsible for all of the development and commercialization costs for tenapanor in the Fosun Field in China.</w:t>
      </w:r>
    </w:p>
    <w:p>
      <w:pPr>
        <w:spacing w:after="0" w:line="165" w:lineRule="exact"/>
        <w:rPr>
          <w:sz w:val="20"/>
          <w:szCs w:val="20"/>
          <w:color w:val="auto"/>
        </w:rPr>
      </w:pPr>
    </w:p>
    <w:p>
      <w:pPr>
        <w:ind w:left="40" w:right="99" w:firstLine="648"/>
        <w:spacing w:after="0" w:line="279" w:lineRule="auto"/>
        <w:rPr>
          <w:sz w:val="20"/>
          <w:szCs w:val="20"/>
          <w:color w:val="auto"/>
        </w:rPr>
      </w:pPr>
      <w:r>
        <w:rPr>
          <w:rFonts w:ascii="Arial" w:cs="Arial" w:eastAsia="Arial" w:hAnsi="Arial"/>
          <w:sz w:val="17"/>
          <w:szCs w:val="17"/>
          <w:color w:val="auto"/>
        </w:rPr>
        <w:t>Under the terms of the Fosun License Agreement, we are responsible for supplying the tenapanor drug product for Fosun Pharma’s use in development and during commercialization until Fosun Pharma has assumed such responsibility. Additionally, we are responsible for supplying the tenapanor drug substance for Fosun Pharma’s use in development and commercialization throughout the term of the Fosun License Agreement.</w:t>
      </w:r>
    </w:p>
    <w:p>
      <w:pPr>
        <w:spacing w:after="0" w:line="171"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Under the terms of the Fosun License Agreement, we received an upfront payment of $12.0 million and are eligible to receive additional milestones of up to $113.0 million in the aggregate, of which we have recognized and received $3.0 million to date, as well as tiered royalty payments on aggregate net sales ranging from the mid-teens percent to twenty percent, subject to certain reductions under certain circumstances, as described in the Fosun License Agreement.</w:t>
      </w:r>
    </w:p>
    <w:p>
      <w:pPr>
        <w:spacing w:after="0" w:line="157"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The Fosun License Agreement will continue until all of Fosun Pharma’s applicable payment obligations under the License Agreement have been performed or have expired, or the agreement is earlier terminated. Under the terms of the Fosun License Agreement, we and Fosun Pharma each have the right to terminate the agreement for material breach by the other party or in the event of insolvency by the other party. In addition, Fosun Pharma may terminate the agreement for convenience, and we may terminate the agreement if Fosun Pharma challenges any patents licensed to it under the agreement.</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License agreement with Knight Therapeutics</w:t>
      </w:r>
    </w:p>
    <w:p>
      <w:pPr>
        <w:spacing w:after="0" w:line="225" w:lineRule="exact"/>
        <w:rPr>
          <w:sz w:val="20"/>
          <w:szCs w:val="20"/>
          <w:color w:val="auto"/>
        </w:rPr>
      </w:pPr>
    </w:p>
    <w:p>
      <w:pPr>
        <w:ind w:left="40" w:right="79" w:firstLine="648"/>
        <w:spacing w:after="0" w:line="275" w:lineRule="auto"/>
        <w:rPr>
          <w:sz w:val="20"/>
          <w:szCs w:val="20"/>
          <w:color w:val="auto"/>
        </w:rPr>
      </w:pPr>
      <w:r>
        <w:rPr>
          <w:rFonts w:ascii="Arial" w:cs="Arial" w:eastAsia="Arial" w:hAnsi="Arial"/>
          <w:sz w:val="17"/>
          <w:szCs w:val="17"/>
          <w:color w:val="auto"/>
        </w:rPr>
        <w:t>In March 2018, we entered into a license agreement with Knight that provides Knight with exclusive rights to commercialize tenapanor in Canada. Under the terms of the agreement, Ardelyx is eligible to receive up to CAD 25 million in total payments, worth up to $19.2 million at the currency exchange rate on December 31, 2019, including an upfront payment and development and sales milestones, as well as tiered royalties on net sales ranging from the mid-single digits to the low twenties. Knight will have the exclusive rights to market and sell tenapanor in Canada.</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DEVELOPMENT</w:t>
      </w:r>
    </w:p>
    <w:p>
      <w:pPr>
        <w:spacing w:after="0" w:line="229" w:lineRule="exact"/>
        <w:rPr>
          <w:sz w:val="20"/>
          <w:szCs w:val="20"/>
          <w:color w:val="auto"/>
        </w:rPr>
      </w:pPr>
    </w:p>
    <w:p>
      <w:pPr>
        <w:ind w:left="40" w:right="719" w:firstLine="648"/>
        <w:spacing w:after="0" w:line="263" w:lineRule="auto"/>
        <w:rPr>
          <w:sz w:val="20"/>
          <w:szCs w:val="20"/>
          <w:color w:val="auto"/>
        </w:rPr>
      </w:pPr>
      <w:r>
        <w:rPr>
          <w:rFonts w:ascii="Arial" w:cs="Arial" w:eastAsia="Arial" w:hAnsi="Arial"/>
          <w:sz w:val="18"/>
          <w:szCs w:val="18"/>
          <w:color w:val="auto"/>
        </w:rPr>
        <w:t>In December 2019, we completed an underwritten public offering of 23,000,000 shares of common stock, resulting in the receipt of aggregate gross proceeds of approximately $143.8 million, less underwriting discounts, commissions and offering expenses.</w:t>
      </w:r>
    </w:p>
    <w:p>
      <w:pPr>
        <w:spacing w:after="0" w:line="184" w:lineRule="exact"/>
        <w:rPr>
          <w:sz w:val="20"/>
          <w:szCs w:val="20"/>
          <w:color w:val="auto"/>
        </w:rPr>
      </w:pPr>
    </w:p>
    <w:p>
      <w:pPr>
        <w:jc w:val="both"/>
        <w:ind w:left="40" w:right="639" w:firstLine="648"/>
        <w:spacing w:after="0" w:line="263" w:lineRule="auto"/>
        <w:rPr>
          <w:sz w:val="20"/>
          <w:szCs w:val="20"/>
          <w:color w:val="auto"/>
        </w:rPr>
      </w:pPr>
      <w:r>
        <w:rPr>
          <w:rFonts w:ascii="Arial" w:cs="Arial" w:eastAsia="Arial" w:hAnsi="Arial"/>
          <w:sz w:val="18"/>
          <w:szCs w:val="18"/>
          <w:color w:val="auto"/>
        </w:rPr>
        <w:t>Additionally, in November 2019, we enhanced our strategic partnership with KKC by entering into a stock purchase agreement, pursuant to which we sold to KKC an aggregate of 2,873,563 shares of our common stock for aggregate gross proceeds of approximately $20.0 million.</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December 31, 2019, we had cash, cash equivalents and short-term investments totaling $247.5 million.</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40" w:right="139" w:firstLine="648"/>
        <w:spacing w:after="0" w:line="272" w:lineRule="auto"/>
        <w:rPr>
          <w:sz w:val="20"/>
          <w:szCs w:val="20"/>
          <w:color w:val="auto"/>
        </w:rPr>
      </w:pPr>
      <w:r>
        <w:rPr>
          <w:rFonts w:ascii="Arial" w:cs="Arial" w:eastAsia="Arial" w:hAnsi="Arial"/>
          <w:sz w:val="17"/>
          <w:szCs w:val="17"/>
          <w:color w:val="auto"/>
        </w:rPr>
        <w:t>Our commercial success depends in part on our ability to obtain and maintain proprietary protection for our drug candidates, manufacturing and process discoveries, and other know-how, to operate without infringing the proprietary rights of others and to prevent others from infringing our proprietary rights. Our policy is to seek to protect our intellectual property by, among other methods, filing U.S. and foreign patent applications related to our proprietary technology and inventions that are important to the development and operation of our business. We also rely on trade secrets and careful monitoring of our proprietary information to protect aspects of our business that are not amenable to, or that we do not consider appropriate for, patent protection.</w:t>
      </w:r>
    </w:p>
    <w:p>
      <w:pPr>
        <w:spacing w:after="0" w:line="177"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our issued patents will provide sufficient proprietary protection from competitors. Any patents that we hold may be challenged, circumvented or invalidated by third parties. If third parties prepare and file patent applications in the United States that also claim technology or therapeutics to which we have rights, we may have to participate in interference proceedings in the U.S. Patent and Trademark Office, or USPTO, to determine priority of invention, which would result in substantial costs to us even if the eventual outcome is favorable to us.</w:t>
      </w:r>
    </w:p>
    <w:p>
      <w:pPr>
        <w:spacing w:after="0" w:line="185" w:lineRule="exact"/>
        <w:rPr>
          <w:sz w:val="20"/>
          <w:szCs w:val="20"/>
          <w:color w:val="auto"/>
        </w:rPr>
      </w:pPr>
    </w:p>
    <w:p>
      <w:pPr>
        <w:ind w:left="40" w:right="79" w:firstLine="648"/>
        <w:spacing w:after="0" w:line="273" w:lineRule="auto"/>
        <w:rPr>
          <w:sz w:val="20"/>
          <w:szCs w:val="20"/>
          <w:color w:val="auto"/>
        </w:rPr>
      </w:pPr>
      <w:r>
        <w:rPr>
          <w:rFonts w:ascii="Arial" w:cs="Arial" w:eastAsia="Arial" w:hAnsi="Arial"/>
          <w:sz w:val="17"/>
          <w:szCs w:val="17"/>
          <w:color w:val="auto"/>
        </w:rPr>
        <w:t>The term of individual patents depends upon the legal term of the patents in countries in which they are obtained. In most countries, including the United States, the patent term is generally 20 years from the earliest date of filing a non-provisional patent application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w:t>
      </w:r>
    </w:p>
    <w:p>
      <w:pPr>
        <w:spacing w:after="0" w:line="178" w:lineRule="exact"/>
        <w:rPr>
          <w:sz w:val="20"/>
          <w:szCs w:val="20"/>
          <w:color w:val="auto"/>
        </w:rPr>
      </w:pPr>
    </w:p>
    <w:p>
      <w:pPr>
        <w:ind w:left="40" w:right="99" w:firstLine="648"/>
        <w:spacing w:after="0" w:line="272" w:lineRule="auto"/>
        <w:rPr>
          <w:sz w:val="20"/>
          <w:szCs w:val="20"/>
          <w:color w:val="auto"/>
        </w:rPr>
      </w:pPr>
      <w:r>
        <w:rPr>
          <w:rFonts w:ascii="Arial" w:cs="Arial" w:eastAsia="Arial" w:hAnsi="Arial"/>
          <w:sz w:val="17"/>
          <w:szCs w:val="17"/>
          <w:color w:val="auto"/>
        </w:rPr>
        <w:t>In addition, in the United States, the Hatch-Waxman Act permits a patent term extension of up to five years beyond the expiration of a U.S. patent as partial compensation for the patent term lost during the FDA regulatory review process occurring while the patent is in force. A patent extension cannot extend the remaining term of a patent beyond a total of 14 years from the date of product approval, and only one patent applicable to each regulatory review period may be extended and only those claims covering the approved drug, a method for using it or a method for manufacturing it may be extended. Similar provisions are available in the European Union and certain other foreign jurisdictions to extend the term of a patent that covers an approved drug.</w:t>
      </w:r>
    </w:p>
    <w:p>
      <w:pPr>
        <w:spacing w:after="0" w:line="177" w:lineRule="exact"/>
        <w:rPr>
          <w:sz w:val="20"/>
          <w:szCs w:val="20"/>
          <w:color w:val="auto"/>
        </w:rPr>
      </w:pPr>
    </w:p>
    <w:p>
      <w:pPr>
        <w:ind w:left="40" w:right="79" w:firstLine="648"/>
        <w:spacing w:after="0" w:line="293" w:lineRule="auto"/>
        <w:rPr>
          <w:sz w:val="20"/>
          <w:szCs w:val="20"/>
          <w:color w:val="auto"/>
        </w:rPr>
      </w:pPr>
      <w:r>
        <w:rPr>
          <w:rFonts w:ascii="Arial" w:cs="Arial" w:eastAsia="Arial" w:hAnsi="Arial"/>
          <w:sz w:val="16"/>
          <w:szCs w:val="16"/>
          <w:color w:val="auto"/>
        </w:rPr>
        <w:t>We may rely, in some circumstances, on trade secrets to protect our technology.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collaboration partners, sponsored researchers and other advisors to execute confidentiality agreements upon the commencement of employment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55" w:lineRule="auto"/>
        <w:rPr>
          <w:sz w:val="20"/>
          <w:szCs w:val="20"/>
          <w:color w:val="auto"/>
        </w:rPr>
      </w:pPr>
      <w:r>
        <w:rPr>
          <w:rFonts w:ascii="Arial" w:cs="Arial" w:eastAsia="Arial" w:hAnsi="Arial"/>
          <w:sz w:val="18"/>
          <w:szCs w:val="18"/>
          <w:color w:val="auto"/>
        </w:rPr>
        <w:t>or consulting relationships with us. These agreements provide that all confidential information concerning the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the normal working hours, on our premises or using our equipment or proprietary information, are our exclusive property.</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Tenapanor patents</w:t>
      </w:r>
    </w:p>
    <w:p>
      <w:pPr>
        <w:spacing w:after="0" w:line="225" w:lineRule="exact"/>
        <w:rPr>
          <w:sz w:val="20"/>
          <w:szCs w:val="20"/>
          <w:color w:val="auto"/>
        </w:rPr>
      </w:pPr>
    </w:p>
    <w:p>
      <w:pPr>
        <w:ind w:left="40" w:right="119" w:firstLine="648"/>
        <w:spacing w:after="0" w:line="289" w:lineRule="auto"/>
        <w:rPr>
          <w:sz w:val="20"/>
          <w:szCs w:val="20"/>
          <w:color w:val="auto"/>
        </w:rPr>
      </w:pPr>
      <w:r>
        <w:rPr>
          <w:rFonts w:ascii="Arial" w:cs="Arial" w:eastAsia="Arial" w:hAnsi="Arial"/>
          <w:sz w:val="16"/>
          <w:szCs w:val="16"/>
          <w:color w:val="auto"/>
        </w:rPr>
        <w:t>Our tenapanor patent portfolio is wholly owned by us. This portfolio includes four issued U.S. patents, two issued Japanese patents, two issued patents in each of Korea, Hong Kong, Israel and Mexico and one issued patent in each of the following territories: Australia, China, and the European Union. These issued patents cover the composition and certain methods of using tenapanor and are predicted, without extension or adjustment, to expire in December 2029. The portfolio further includes patents covering the use of tenapanor for the control of serum phosphorus that has issued in U.S., Europe, Japan, China, Australia, Russia and Taiwan and is pending in other countries. These patents are predicted, without extension or adjustment, to expire in April 2034. We have related national patent applications pending in Europe, China, India, Israel and a number of other countries. Any patents issuing from these patent applications are also predicted without extension or adjustment to expire in December 2029.</w:t>
      </w:r>
    </w:p>
    <w:p>
      <w:pPr>
        <w:spacing w:after="0" w:line="166" w:lineRule="exact"/>
        <w:rPr>
          <w:sz w:val="20"/>
          <w:szCs w:val="20"/>
          <w:color w:val="auto"/>
        </w:rPr>
      </w:pPr>
    </w:p>
    <w:p>
      <w:pPr>
        <w:jc w:val="both"/>
        <w:ind w:left="40" w:right="259" w:firstLine="648"/>
        <w:spacing w:after="0" w:line="263" w:lineRule="auto"/>
        <w:rPr>
          <w:sz w:val="20"/>
          <w:szCs w:val="20"/>
          <w:color w:val="auto"/>
        </w:rPr>
      </w:pPr>
      <w:r>
        <w:rPr>
          <w:rFonts w:ascii="Arial" w:cs="Arial" w:eastAsia="Arial" w:hAnsi="Arial"/>
          <w:sz w:val="18"/>
          <w:szCs w:val="18"/>
          <w:color w:val="auto"/>
        </w:rPr>
        <w:t>Additional U.S. and international patent applications are pending covering additional methods of treatment with tenapanor, and composition of matter and methods of using compounds that we believe may be follow on compounds to tenapanor.</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Other program patents</w:t>
      </w:r>
    </w:p>
    <w:p>
      <w:pPr>
        <w:spacing w:after="0" w:line="225" w:lineRule="exact"/>
        <w:rPr>
          <w:sz w:val="20"/>
          <w:szCs w:val="20"/>
          <w:color w:val="auto"/>
        </w:rPr>
      </w:pPr>
    </w:p>
    <w:p>
      <w:pPr>
        <w:ind w:left="40" w:right="499" w:firstLine="648"/>
        <w:spacing w:after="0" w:line="342" w:lineRule="auto"/>
        <w:rPr>
          <w:sz w:val="20"/>
          <w:szCs w:val="20"/>
          <w:color w:val="auto"/>
        </w:rPr>
      </w:pPr>
      <w:r>
        <w:rPr>
          <w:rFonts w:ascii="Arial" w:cs="Arial" w:eastAsia="Arial" w:hAnsi="Arial"/>
          <w:sz w:val="16"/>
          <w:szCs w:val="16"/>
          <w:color w:val="auto"/>
        </w:rPr>
        <w:t>We have patent applications pending in the United States and internationally that cover the compositions and methods of using our TGR5 agonists, our FXR agonists and compounds in our RDX013 program.</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40" w:right="119" w:firstLine="648"/>
        <w:spacing w:after="0" w:line="290" w:lineRule="auto"/>
        <w:rPr>
          <w:sz w:val="20"/>
          <w:szCs w:val="20"/>
          <w:color w:val="auto"/>
        </w:rPr>
      </w:pPr>
      <w:r>
        <w:rPr>
          <w:rFonts w:ascii="Arial" w:cs="Arial" w:eastAsia="Arial" w:hAnsi="Arial"/>
          <w:sz w:val="16"/>
          <w:szCs w:val="16"/>
          <w:color w:val="auto"/>
        </w:rPr>
        <w:t>To date, we have relied upon third-party contract manufacturing organizations, or CMOs, to manufacture both the active pharmaceutical ingredient and final drug product dosage forms of our potential drug candidates used as clinical trial material. We expect that we will continue to rely upon CMOs for the manufacture of our clinical trial materials and for our commercial product requirements, when and if regulatory approval is received. Our license agreements with KKC, Knight, and Fosun Pharma require us to supply final drug product dosage forms of tenapanor and/or active pharmaceutical ingredient for their use in the development of tenapanor in each of their respective territories, and we are further obligated to continue to supply active pharmaceutical ingredient to support their commercialization of tenapanor in each of their territories. We expect that we will use CMOs to satisfy our supply obligations to our collaboration partners.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40" w:right="299" w:firstLine="648"/>
        <w:spacing w:after="0" w:line="255"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These agencies and other federal, state and local entities regulate research and development activities and the testing, manufacture, quality control, safety, effectiveness, labeling, storage, record keeping, approval, advertising and promotion, distribution, post-approval monitoring and reporting, sampling, and export and import of our product candidates.</w:t>
      </w:r>
    </w:p>
    <w:p>
      <w:pPr>
        <w:spacing w:after="0" w:line="192" w:lineRule="exact"/>
        <w:rPr>
          <w:sz w:val="20"/>
          <w:szCs w:val="20"/>
          <w:color w:val="auto"/>
        </w:rPr>
      </w:pPr>
    </w:p>
    <w:p>
      <w:pPr>
        <w:ind w:left="40" w:right="59" w:firstLine="648"/>
        <w:spacing w:after="0" w:line="275" w:lineRule="auto"/>
        <w:rPr>
          <w:sz w:val="20"/>
          <w:szCs w:val="20"/>
          <w:color w:val="auto"/>
        </w:rPr>
      </w:pPr>
      <w:r>
        <w:rPr>
          <w:rFonts w:ascii="Arial" w:cs="Arial" w:eastAsia="Arial" w:hAnsi="Arial"/>
          <w:sz w:val="17"/>
          <w:szCs w:val="17"/>
          <w:color w:val="auto"/>
        </w:rPr>
        <w:t>In the United States, the FDA regulates drug products under the Federal Food, Drug, and Cosmetic Act, or FFDCA, and the FDA’s implementing regulations. If we fail to comply with applicable FDA or other requirements at any time during the drug development process, the approval process or after approval, we may become subject to administrative or judicial sanctions. These sanctions could include the FDA’s refusal to approve pending applications, license suspension or revocation, withdrawal of an approval, warning or untitled letters, product recalls, product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311" w:lineRule="auto"/>
        <w:rPr>
          <w:sz w:val="20"/>
          <w:szCs w:val="20"/>
          <w:color w:val="auto"/>
        </w:rPr>
      </w:pPr>
      <w:r>
        <w:rPr>
          <w:rFonts w:ascii="Arial" w:cs="Arial" w:eastAsia="Arial" w:hAnsi="Arial"/>
          <w:sz w:val="16"/>
          <w:szCs w:val="16"/>
          <w:color w:val="auto"/>
        </w:rPr>
        <w:t>seizures, total or partial suspension of production or distribution, injunctions, fines, civil penalties or criminal prosecution. Any FDA enforcement action could have a material adverse effect on us. FDA approval is required before any new unapproved drug or dosage form, including a new use of a previously approved drug, can be marketed in the United States.</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w:t>
      </w:r>
    </w:p>
    <w:p>
      <w:pPr>
        <w:spacing w:after="0" w:line="225" w:lineRule="exact"/>
        <w:rPr>
          <w:sz w:val="20"/>
          <w:szCs w:val="20"/>
          <w:color w:val="auto"/>
        </w:rPr>
      </w:pPr>
    </w:p>
    <w:p>
      <w:pPr>
        <w:jc w:val="both"/>
        <w:ind w:left="1340" w:right="279" w:hanging="324"/>
        <w:spacing w:after="0" w:line="342" w:lineRule="auto"/>
        <w:tabs>
          <w:tab w:leader="none" w:pos="1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completion of extensive preclinical laboratory tests, preclinical animal studies and formulation studies, some performed in accordance with the FDA’s current Good Laboratory Practice, or GLP, regulations;</w:t>
      </w:r>
    </w:p>
    <w:p>
      <w:pPr>
        <w:spacing w:after="0" w:line="123" w:lineRule="exact"/>
        <w:rPr>
          <w:rFonts w:ascii="Arial" w:cs="Arial" w:eastAsia="Arial" w:hAnsi="Arial"/>
          <w:sz w:val="16"/>
          <w:szCs w:val="16"/>
          <w:color w:val="auto"/>
        </w:rPr>
      </w:pPr>
    </w:p>
    <w:p>
      <w:pPr>
        <w:ind w:left="1340" w:right="719" w:hanging="324"/>
        <w:spacing w:after="0" w:line="277"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or IND, application which must become effective before human clinical trials in the United States may begin;</w:t>
      </w:r>
    </w:p>
    <w:p>
      <w:pPr>
        <w:spacing w:after="0" w:line="170" w:lineRule="exact"/>
        <w:rPr>
          <w:rFonts w:ascii="Arial" w:cs="Arial" w:eastAsia="Arial" w:hAnsi="Arial"/>
          <w:sz w:val="18"/>
          <w:szCs w:val="18"/>
          <w:color w:val="auto"/>
        </w:rPr>
      </w:pPr>
    </w:p>
    <w:p>
      <w:pPr>
        <w:ind w:left="1340" w:right="239" w:hanging="324"/>
        <w:spacing w:after="0" w:line="277"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trial site before each trial may be initiated;</w:t>
      </w:r>
    </w:p>
    <w:p>
      <w:pPr>
        <w:spacing w:after="0" w:line="170" w:lineRule="exact"/>
        <w:rPr>
          <w:rFonts w:ascii="Arial" w:cs="Arial" w:eastAsia="Arial" w:hAnsi="Arial"/>
          <w:sz w:val="18"/>
          <w:szCs w:val="18"/>
          <w:color w:val="auto"/>
        </w:rPr>
      </w:pPr>
    </w:p>
    <w:p>
      <w:pPr>
        <w:ind w:left="1340" w:right="159" w:hanging="324"/>
        <w:spacing w:after="0" w:line="263"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regulations to establish the safety and efficacy of the drug candidate for each proposed indication;</w:t>
      </w:r>
    </w:p>
    <w:p>
      <w:pPr>
        <w:spacing w:after="0" w:line="183" w:lineRule="exact"/>
        <w:rPr>
          <w:rFonts w:ascii="Arial" w:cs="Arial" w:eastAsia="Arial" w:hAnsi="Arial"/>
          <w:sz w:val="18"/>
          <w:szCs w:val="18"/>
          <w:color w:val="auto"/>
        </w:rPr>
      </w:pPr>
    </w:p>
    <w:p>
      <w:pPr>
        <w:ind w:left="1340" w:hanging="324"/>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NDA;</w:t>
      </w:r>
    </w:p>
    <w:p>
      <w:pPr>
        <w:spacing w:after="0" w:line="225" w:lineRule="exact"/>
        <w:rPr>
          <w:rFonts w:ascii="Arial" w:cs="Arial" w:eastAsia="Arial" w:hAnsi="Arial"/>
          <w:sz w:val="18"/>
          <w:szCs w:val="18"/>
          <w:color w:val="auto"/>
        </w:rPr>
      </w:pPr>
    </w:p>
    <w:p>
      <w:pPr>
        <w:ind w:left="1340" w:right="119" w:hanging="324"/>
        <w:spacing w:after="0" w:line="342" w:lineRule="auto"/>
        <w:tabs>
          <w:tab w:leader="none" w:pos="1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at which the drug is produced to assess compliance with current Good Manufacturing Practice, or cGMP, regulations;</w:t>
      </w:r>
    </w:p>
    <w:p>
      <w:pPr>
        <w:spacing w:after="0" w:line="123" w:lineRule="exact"/>
        <w:rPr>
          <w:rFonts w:ascii="Arial" w:cs="Arial" w:eastAsia="Arial" w:hAnsi="Arial"/>
          <w:sz w:val="16"/>
          <w:szCs w:val="16"/>
          <w:color w:val="auto"/>
        </w:rPr>
      </w:pPr>
    </w:p>
    <w:p>
      <w:pPr>
        <w:ind w:left="1340" w:hanging="324"/>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satisfactory completion of a potential review by an FDA advisory committee, if applicable; and</w:t>
      </w:r>
    </w:p>
    <w:p>
      <w:pPr>
        <w:spacing w:after="0" w:line="225" w:lineRule="exact"/>
        <w:rPr>
          <w:rFonts w:ascii="Arial" w:cs="Arial" w:eastAsia="Arial" w:hAnsi="Arial"/>
          <w:sz w:val="18"/>
          <w:szCs w:val="18"/>
          <w:color w:val="auto"/>
        </w:rPr>
      </w:pPr>
    </w:p>
    <w:p>
      <w:pPr>
        <w:ind w:left="1340" w:right="199" w:hanging="324"/>
        <w:spacing w:after="0" w:line="277"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sale or commercial shipment of the drug.</w:t>
      </w:r>
    </w:p>
    <w:p>
      <w:pPr>
        <w:spacing w:after="0" w:line="170"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6"/>
          <w:szCs w:val="16"/>
          <w:color w:val="auto"/>
        </w:rPr>
        <w:t>The preclinical and clinical testing and approval process requires substantial time, effort and financial resources, and we cannot be certain that any approvals for our product candidates will be granted on a timely basis, if at all. Nonclinical tests include laboratory evaluation of product chemistry, formulation, stability and toxicity, as well as animal studies to assess the characteristics and potential safety and efficacy of the product. The results of preclinical tests, together with manufacturing information, analytical data and a proposed clinical trial protocol and other information, are submitted as part of an IND to the FDA. Some preclinical testing may continue even after the IND is submitted. The IND automatically becomes effective 30 days after receipt by the FDA, unless the FDA, within the 30</w:t>
      </w:r>
      <w:r>
        <w:rPr>
          <w:rFonts w:ascii="MS PGothic" w:cs="MS PGothic" w:eastAsia="MS PGothic" w:hAnsi="MS PGothic"/>
          <w:sz w:val="16"/>
          <w:szCs w:val="16"/>
          <w:color w:val="auto"/>
        </w:rPr>
        <w:t>‑</w:t>
      </w:r>
      <w:r>
        <w:rPr>
          <w:rFonts w:ascii="Arial" w:cs="Arial" w:eastAsia="Arial" w:hAnsi="Arial"/>
          <w:sz w:val="16"/>
          <w:szCs w:val="16"/>
          <w:color w:val="auto"/>
        </w:rPr>
        <w:t>day time period, raises concerns or questions relating to the IND and places the clinical trial on a clinical hold, including concerns that human research subjects will be exposed to unreasonable health risks. In such a case, the IND sponsor and the FDA must resolve any outstanding concerns before the clinical trial can begin. A separate submission to an existing IND must also be made for each successive clinical trial conducted during product development.</w:t>
      </w:r>
    </w:p>
    <w:p>
      <w:pPr>
        <w:spacing w:after="0" w:line="206"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Clinical trials are conducted under protocols detailing, among other things, the objectives of the clinical trial, the parameters to be used in monitoring safety and the effectiveness criteria to be used. Each protocol must be submitted to the FDA as part of the IND.</w:t>
      </w:r>
    </w:p>
    <w:p>
      <w:pPr>
        <w:spacing w:after="0" w:line="187" w:lineRule="exact"/>
        <w:rPr>
          <w:sz w:val="20"/>
          <w:szCs w:val="20"/>
          <w:color w:val="auto"/>
        </w:rPr>
      </w:pPr>
    </w:p>
    <w:p>
      <w:pPr>
        <w:ind w:left="40" w:right="139" w:firstLine="648"/>
        <w:spacing w:after="0" w:line="275" w:lineRule="auto"/>
        <w:rPr>
          <w:sz w:val="20"/>
          <w:szCs w:val="20"/>
          <w:color w:val="auto"/>
        </w:rPr>
      </w:pPr>
      <w:r>
        <w:rPr>
          <w:rFonts w:ascii="Arial" w:cs="Arial" w:eastAsia="Arial" w:hAnsi="Arial"/>
          <w:sz w:val="17"/>
          <w:szCs w:val="17"/>
          <w:color w:val="auto"/>
        </w:rPr>
        <w:t>An independent IRB or ethics committee for each medical center proposing to conduct a clinical trial must also review and approve a plan for any clinical trial before it can begin at that center and the IRB must monitor the clinical trial until it is completed. The FDA, the IRB, or the sponsor may suspend or discontinue a clinical trial at any time on various grounds, including a finding that the subjects are being exposed to an unacceptable health risk. Clinical testing also must satisfy extensive GCP requirements, including the requirements for informed consent.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All clinical research performed in the United States in support of an NDA must be authorized in advance by the FDA under the IND regulations and procedures described above. However, 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an NDA so long as the clinical trial is conducted in compliance with GCP and if the FDA is able to validate the data from the study through an onsite inspection, if necessary. GCP includes review and approval by an independent ethics committee, such as an IRB, and obtaining and documenting the freely given informed consent of the subject before study initiation. If the applicant seeks approval of an NDA solely on the basis of foreign data, the FDA will only accept such data if they are applicable to the U.S. population and U.S. medical practice, the studies have been performed by clinical investigators of recognized competence, and the data may be considered valid without the need for an on-site inspection by the FDA, or if the FDA considers such an inspection to be necessary, the FDA is able to validate the data through an on-site inspection or through other appropriate means.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left="40" w:right="299" w:firstLine="648"/>
        <w:spacing w:after="0" w:line="277" w:lineRule="auto"/>
        <w:rPr>
          <w:sz w:val="20"/>
          <w:szCs w:val="20"/>
          <w:color w:val="auto"/>
        </w:rPr>
      </w:pPr>
      <w:r>
        <w:rPr>
          <w:rFonts w:ascii="Arial" w:cs="Arial" w:eastAsia="Arial" w:hAnsi="Arial"/>
          <w:sz w:val="18"/>
          <w:szCs w:val="18"/>
          <w:color w:val="auto"/>
        </w:rPr>
        <w:t>The clinical investigation of a new drug is typically conducted in three or four phases, which may overlap or be combined, and generally proceed as follows.</w:t>
      </w:r>
    </w:p>
    <w:p>
      <w:pPr>
        <w:spacing w:after="0" w:line="170" w:lineRule="exact"/>
        <w:rPr>
          <w:sz w:val="20"/>
          <w:szCs w:val="20"/>
          <w:color w:val="auto"/>
        </w:rPr>
      </w:pPr>
    </w:p>
    <w:p>
      <w:pPr>
        <w:ind w:left="1340" w:right="59" w:hanging="324"/>
        <w:spacing w:after="0" w:line="259"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Clinical trials are initially conducted in a limited population of subjects to test the drug</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 for safety, dose tolerance, absorption, metabolism, distribution and excretion in healthy humans or, on occasion, in patients with severe problems or life-threatening diseases to gain an early indication of its effectiveness.</w:t>
      </w:r>
    </w:p>
    <w:p>
      <w:pPr>
        <w:spacing w:after="0" w:line="186" w:lineRule="exact"/>
        <w:rPr>
          <w:rFonts w:ascii="Arial" w:cs="Arial" w:eastAsia="Arial" w:hAnsi="Arial"/>
          <w:sz w:val="18"/>
          <w:szCs w:val="18"/>
          <w:color w:val="auto"/>
        </w:rPr>
      </w:pPr>
    </w:p>
    <w:p>
      <w:pPr>
        <w:ind w:left="1340" w:right="519" w:hanging="324"/>
        <w:spacing w:after="0" w:line="259"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Clinical trials are generally conducted in a limited patient population to evaluate dosage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and appropriate dosage, identify possible adverse effects and safety risks, and evaluate preliminarily the efficacy of the drug for specific targeted indications in patients with the disease or condition under study.</w:t>
      </w:r>
    </w:p>
    <w:p>
      <w:pPr>
        <w:spacing w:after="0" w:line="186" w:lineRule="exact"/>
        <w:rPr>
          <w:rFonts w:ascii="Arial" w:cs="Arial" w:eastAsia="Arial" w:hAnsi="Arial"/>
          <w:sz w:val="18"/>
          <w:szCs w:val="18"/>
          <w:color w:val="auto"/>
        </w:rPr>
      </w:pPr>
    </w:p>
    <w:p>
      <w:pPr>
        <w:ind w:left="1340" w:right="119" w:hanging="324"/>
        <w:spacing w:after="0" w:line="271" w:lineRule="auto"/>
        <w:tabs>
          <w:tab w:leader="none" w:pos="13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Phase 3</w:t>
      </w:r>
      <w:r>
        <w:rPr>
          <w:rFonts w:ascii="Arial" w:cs="Arial" w:eastAsia="Arial" w:hAnsi="Arial"/>
          <w:sz w:val="17"/>
          <w:szCs w:val="17"/>
          <w:color w:val="auto"/>
        </w:rPr>
        <w:t>: Clinical trials are typically conducted when Phase 2 clinical trials demonstrate that a dose range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product candidate is effective and has an acceptable safety profile. Phase 3 clinical trials are commonly referred to as “pivotal” studies, which typically denotes a study which presents the data that the FDA or other relevant regulatory agency will use to determine whether or not to approve a drug. Phase 3 clinical trials are generally undertaken with large numbers of patients, such as groups of several hundred to several thousand, to further evaluate dosage, to provide substantial evidence of clinical efficacy and to further test for safety in an expanded and diverse patient population at multiple, geographically-dispersed clinical trial sites.</w:t>
      </w:r>
    </w:p>
    <w:p>
      <w:pPr>
        <w:spacing w:after="0" w:line="178" w:lineRule="exact"/>
        <w:rPr>
          <w:rFonts w:ascii="Arial" w:cs="Arial" w:eastAsia="Arial" w:hAnsi="Arial"/>
          <w:sz w:val="17"/>
          <w:szCs w:val="17"/>
          <w:color w:val="auto"/>
        </w:rPr>
      </w:pPr>
    </w:p>
    <w:p>
      <w:pPr>
        <w:ind w:left="1340" w:right="179" w:hanging="324"/>
        <w:spacing w:after="0" w:line="279" w:lineRule="auto"/>
        <w:tabs>
          <w:tab w:leader="none" w:pos="13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Phase 4</w:t>
      </w:r>
      <w:r>
        <w:rPr>
          <w:rFonts w:ascii="Arial" w:cs="Arial" w:eastAsia="Arial" w:hAnsi="Arial"/>
          <w:sz w:val="17"/>
          <w:szCs w:val="17"/>
          <w:color w:val="auto"/>
        </w:rPr>
        <w:t>: In some cases, the FDA may condition approval of an NDA for a product candidate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sponsor’s agreement to conduct additional clinical trials after NDA approval. In other cases, a sponsor may voluntarily conduct additional clinical trials post approval to gain more information about the drug. Such post approval trials are typically referred to as Phase 4 clinical trials.</w:t>
      </w:r>
    </w:p>
    <w:p>
      <w:pPr>
        <w:spacing w:after="0" w:line="171" w:lineRule="exact"/>
        <w:rPr>
          <w:sz w:val="20"/>
          <w:szCs w:val="20"/>
          <w:color w:val="auto"/>
        </w:rPr>
      </w:pPr>
    </w:p>
    <w:p>
      <w:pPr>
        <w:ind w:left="40" w:right="99" w:firstLine="648"/>
        <w:spacing w:after="0" w:line="272" w:lineRule="auto"/>
        <w:rPr>
          <w:sz w:val="20"/>
          <w:szCs w:val="20"/>
          <w:color w:val="auto"/>
        </w:rPr>
      </w:pPr>
      <w:r>
        <w:rPr>
          <w:rFonts w:ascii="Arial" w:cs="Arial" w:eastAsia="Arial" w:hAnsi="Arial"/>
          <w:sz w:val="17"/>
          <w:szCs w:val="17"/>
          <w:color w:val="auto"/>
        </w:rPr>
        <w:t>Concurrent with clinical trials, companies usually complete additional nonclinical studies and must also develop additional information about the chemistry and physical characteristics of the drug and finalize a process for manufacturing the drug in commercial quantities in accordance with 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177" w:lineRule="exact"/>
        <w:rPr>
          <w:sz w:val="20"/>
          <w:szCs w:val="20"/>
          <w:color w:val="auto"/>
        </w:rPr>
      </w:pPr>
    </w:p>
    <w:p>
      <w:pPr>
        <w:ind w:left="40" w:right="439" w:firstLine="648"/>
        <w:spacing w:after="0" w:line="308" w:lineRule="auto"/>
        <w:rPr>
          <w:sz w:val="20"/>
          <w:szCs w:val="20"/>
          <w:color w:val="auto"/>
        </w:rPr>
      </w:pPr>
      <w:r>
        <w:rPr>
          <w:rFonts w:ascii="Arial" w:cs="Arial" w:eastAsia="Arial" w:hAnsi="Arial"/>
          <w:sz w:val="17"/>
          <w:szCs w:val="17"/>
          <w:color w:val="auto"/>
        </w:rPr>
        <w:t>The FDA, the IRB or the clinical trial sponsor may suspend or terminate a clinical trial at any time on various grounds, including a finding that the research subjects are being exposed to an unacceptable health risk.</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648"/>
        <w:spacing w:after="0" w:line="279" w:lineRule="auto"/>
        <w:rPr>
          <w:sz w:val="20"/>
          <w:szCs w:val="20"/>
          <w:color w:val="auto"/>
        </w:rPr>
      </w:pPr>
      <w:r>
        <w:rPr>
          <w:rFonts w:ascii="Arial" w:cs="Arial" w:eastAsia="Arial" w:hAnsi="Arial"/>
          <w:sz w:val="17"/>
          <w:szCs w:val="17"/>
          <w:color w:val="auto"/>
        </w:rPr>
        <w:t>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study. We may also suspend or terminate a clinical trial based on evolving business objectives and/or competitive climate.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New drug applications</w:t>
      </w:r>
    </w:p>
    <w:p>
      <w:pPr>
        <w:spacing w:after="0" w:line="225" w:lineRule="exact"/>
        <w:rPr>
          <w:sz w:val="20"/>
          <w:szCs w:val="20"/>
          <w:color w:val="auto"/>
        </w:rPr>
      </w:pPr>
    </w:p>
    <w:p>
      <w:pPr>
        <w:ind w:left="40" w:right="79" w:firstLine="648"/>
        <w:spacing w:after="0" w:line="279" w:lineRule="auto"/>
        <w:rPr>
          <w:sz w:val="20"/>
          <w:szCs w:val="20"/>
          <w:color w:val="auto"/>
        </w:rPr>
      </w:pPr>
      <w:r>
        <w:rPr>
          <w:rFonts w:ascii="Arial" w:cs="Arial" w:eastAsia="Arial" w:hAnsi="Arial"/>
          <w:sz w:val="17"/>
          <w:szCs w:val="17"/>
          <w:color w:val="auto"/>
        </w:rPr>
        <w:t>The results of preclinical studies and of the clinical trials, together with other detailed information, including extensive manufacturing information and information on the composition of the drug, are submitted to the FDA in the form of an NDA requesting approval to market the drug for one or more specified indications. The FDA reviews an NDA to determine, among other things, whether a drug is safe and effective for its intended use.</w:t>
      </w:r>
    </w:p>
    <w:p>
      <w:pPr>
        <w:spacing w:after="0" w:line="171" w:lineRule="exact"/>
        <w:rPr>
          <w:sz w:val="20"/>
          <w:szCs w:val="20"/>
          <w:color w:val="auto"/>
        </w:rPr>
      </w:pPr>
    </w:p>
    <w:p>
      <w:pPr>
        <w:ind w:left="40" w:right="59" w:firstLine="648"/>
        <w:spacing w:after="0" w:line="219" w:lineRule="exact"/>
        <w:rPr>
          <w:sz w:val="20"/>
          <w:szCs w:val="20"/>
          <w:color w:val="auto"/>
        </w:rPr>
      </w:pPr>
      <w:r>
        <w:rPr>
          <w:rFonts w:ascii="Arial" w:cs="Arial" w:eastAsia="Arial" w:hAnsi="Arial"/>
          <w:sz w:val="18"/>
          <w:szCs w:val="18"/>
          <w:color w:val="auto"/>
        </w:rPr>
        <w:t>Under the Prescription Drug User Fee Act, the FDA has a goal of responding to standard review NDAs of new molecular entities within ten months after the 60</w:t>
      </w:r>
      <w:r>
        <w:rPr>
          <w:rFonts w:ascii="MS PGothic" w:cs="MS PGothic" w:eastAsia="MS PGothic" w:hAnsi="MS PGothic"/>
          <w:sz w:val="18"/>
          <w:szCs w:val="18"/>
          <w:color w:val="auto"/>
        </w:rPr>
        <w:t>‑</w:t>
      </w:r>
      <w:r>
        <w:rPr>
          <w:rFonts w:ascii="Arial" w:cs="Arial" w:eastAsia="Arial" w:hAnsi="Arial"/>
          <w:sz w:val="18"/>
          <w:szCs w:val="18"/>
          <w:color w:val="auto"/>
        </w:rPr>
        <w:t>day filing review period, or six months after the 60</w:t>
      </w:r>
      <w:r>
        <w:rPr>
          <w:rFonts w:ascii="MS PGothic" w:cs="MS PGothic" w:eastAsia="MS PGothic" w:hAnsi="MS PGothic"/>
          <w:sz w:val="18"/>
          <w:szCs w:val="18"/>
          <w:color w:val="auto"/>
        </w:rPr>
        <w:t>‑</w:t>
      </w:r>
      <w:r>
        <w:rPr>
          <w:rFonts w:ascii="Arial" w:cs="Arial" w:eastAsia="Arial" w:hAnsi="Arial"/>
          <w:sz w:val="18"/>
          <w:szCs w:val="18"/>
          <w:color w:val="auto"/>
        </w:rPr>
        <w:t>day filing review period for priority review NDAs, but this timeframe is often extended by FDA requests for additional information or clarification. The FDA may refer the application to an advisory committee for review, evaluation and recommendation as to whether the application should be approved. The FDA is not bound by the recommendation of an advisory committee, but it generally follows such recommendations.</w:t>
      </w:r>
    </w:p>
    <w:p>
      <w:pPr>
        <w:spacing w:after="0" w:line="203" w:lineRule="exact"/>
        <w:rPr>
          <w:sz w:val="20"/>
          <w:szCs w:val="20"/>
          <w:color w:val="auto"/>
        </w:rPr>
      </w:pPr>
    </w:p>
    <w:p>
      <w:pPr>
        <w:ind w:left="40" w:right="79" w:firstLine="648"/>
        <w:spacing w:after="0" w:line="301" w:lineRule="auto"/>
        <w:rPr>
          <w:sz w:val="20"/>
          <w:szCs w:val="20"/>
          <w:color w:val="auto"/>
        </w:rPr>
      </w:pPr>
      <w:r>
        <w:rPr>
          <w:rFonts w:ascii="Arial" w:cs="Arial" w:eastAsia="Arial" w:hAnsi="Arial"/>
          <w:sz w:val="16"/>
          <w:szCs w:val="16"/>
          <w:color w:val="auto"/>
        </w:rPr>
        <w:t>Before approving an application, the FDA will inspect the facility or the facilities at which the finished drug product, and sometimes the active pharmaceutical ingredient, or API, is manufactured, and will not approve the drug unless cGMP compliance is satisfactory. The FDA may also inspect the sites at which the clinical trials were conducted to assess their compliance, and will not approve the drug unless compliance with cGCP requirements is satisfactory.</w:t>
      </w:r>
    </w:p>
    <w:p>
      <w:pPr>
        <w:spacing w:after="0" w:line="157" w:lineRule="exact"/>
        <w:rPr>
          <w:sz w:val="20"/>
          <w:szCs w:val="20"/>
          <w:color w:val="auto"/>
        </w:rPr>
      </w:pPr>
    </w:p>
    <w:p>
      <w:pPr>
        <w:ind w:left="40" w:right="99" w:firstLine="648"/>
        <w:spacing w:after="0" w:line="285" w:lineRule="auto"/>
        <w:rPr>
          <w:sz w:val="20"/>
          <w:szCs w:val="20"/>
          <w:color w:val="auto"/>
        </w:rPr>
      </w:pPr>
      <w:r>
        <w:rPr>
          <w:rFonts w:ascii="Arial" w:cs="Arial" w:eastAsia="Arial" w:hAnsi="Arial"/>
          <w:sz w:val="16"/>
          <w:szCs w:val="16"/>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trial(s), and/or other significant, expensive and time-consuming requirements related to clinical trials, preclinical studies or manufacturing. Even if such additional information is submitted, the FDA may ultimately decide that the NDA does not satisfy the criteria for approval. The FDA could also approve the NDA with a Risk Evaluation and Mitigation Strategy, or REMS,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The FDA has the authority to prevent or limit further marketing of a drug based on the results of these post-marketing programs. Once the FDA approves an NDA, or supplement thereto, the FDA may withdraw the approval if ongoing regulatory requirements are not met or if safety problems are identified after the drug reaches the market.</w:t>
      </w:r>
    </w:p>
    <w:p>
      <w:pPr>
        <w:spacing w:after="0" w:line="176" w:lineRule="exact"/>
        <w:rPr>
          <w:sz w:val="20"/>
          <w:szCs w:val="20"/>
          <w:color w:val="auto"/>
        </w:rPr>
      </w:pPr>
    </w:p>
    <w:p>
      <w:pPr>
        <w:ind w:left="40" w:right="159" w:firstLine="648"/>
        <w:spacing w:after="0" w:line="257" w:lineRule="auto"/>
        <w:rPr>
          <w:sz w:val="20"/>
          <w:szCs w:val="20"/>
          <w:color w:val="auto"/>
        </w:rPr>
      </w:pPr>
      <w:r>
        <w:rPr>
          <w:rFonts w:ascii="Arial" w:cs="Arial" w:eastAsia="Arial" w:hAnsi="Arial"/>
          <w:sz w:val="18"/>
          <w:szCs w:val="18"/>
          <w:color w:val="auto"/>
        </w:rPr>
        <w:t>Drugs may be marketed only for the FDA approved indications and in accordance with the provisions of the approved labeling.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preclinical studies and clinical trials.</w:t>
      </w:r>
    </w:p>
    <w:p>
      <w:pPr>
        <w:spacing w:after="0" w:line="188" w:lineRule="exact"/>
        <w:rPr>
          <w:sz w:val="20"/>
          <w:szCs w:val="20"/>
          <w:color w:val="auto"/>
        </w:rPr>
      </w:pPr>
    </w:p>
    <w:p>
      <w:pPr>
        <w:ind w:left="40" w:right="119" w:firstLine="648"/>
        <w:spacing w:after="0" w:line="293" w:lineRule="auto"/>
        <w:rPr>
          <w:sz w:val="20"/>
          <w:szCs w:val="20"/>
          <w:color w:val="auto"/>
        </w:rPr>
      </w:pPr>
      <w:r>
        <w:rPr>
          <w:rFonts w:ascii="Arial" w:cs="Arial" w:eastAsia="Arial" w:hAnsi="Arial"/>
          <w:sz w:val="16"/>
          <w:szCs w:val="16"/>
          <w:color w:val="auto"/>
        </w:rPr>
        <w:t>The testing and approval processes require substantial time, effort and financial resources, and each may take several years to complete. The FDA may not grant approval on a timely basis, or at all. Even if we believe a clinical trial has demonstrated safety and efficacy of one of our drug candidates for the proposed indication, the results may not be satisfactory to the FDA. Nonclinical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drugs. The FDA may limit the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79" w:lineRule="auto"/>
        <w:rPr>
          <w:sz w:val="20"/>
          <w:szCs w:val="20"/>
          <w:color w:val="auto"/>
        </w:rPr>
      </w:pPr>
      <w:r>
        <w:rPr>
          <w:rFonts w:ascii="Arial" w:cs="Arial" w:eastAsia="Arial" w:hAnsi="Arial"/>
          <w:sz w:val="17"/>
          <w:szCs w:val="17"/>
          <w:color w:val="auto"/>
        </w:rPr>
        <w:t>indications for use or place other conditions on any approvals that could restrict the commercial application of the drugs. After approval, certain changes to the approved drug, such as adding new indications, manufacturing changes, or additional labeling claims are subject to further FDA review and approval. Depending on the nature of the change proposed, an NDA supplement must be filed and approved before the change may be implemented.</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225" w:lineRule="exact"/>
        <w:rPr>
          <w:sz w:val="20"/>
          <w:szCs w:val="20"/>
          <w:color w:val="auto"/>
        </w:rPr>
      </w:pPr>
    </w:p>
    <w:p>
      <w:pPr>
        <w:ind w:left="40" w:right="139" w:firstLine="648"/>
        <w:spacing w:after="0" w:line="287" w:lineRule="auto"/>
        <w:rPr>
          <w:sz w:val="20"/>
          <w:szCs w:val="20"/>
          <w:color w:val="auto"/>
        </w:rPr>
      </w:pPr>
      <w:r>
        <w:rPr>
          <w:rFonts w:ascii="Arial" w:cs="Arial" w:eastAsia="Arial" w:hAnsi="Arial"/>
          <w:sz w:val="16"/>
          <w:szCs w:val="16"/>
          <w:color w:val="auto"/>
        </w:rPr>
        <w:t>Any drugs manufactured or distributed by us or our collaboration partners pursuant to FDA approvals would be subject to continuing regulation by the FDA, including recordkeeping requirements and reporting of adverse experiences associated with the drug. Drug manufacturers and their subcontractors are required to register their establishments with the FDA and certain state agencies, and are subject to periodic announced and unannounced inspections by the FDA and certain state agencies for compliance with ongoing regulatory requirements, including cGMP, which impose certain procedural and documentation requirements upon us and our third-party manufacturers. Failure to comply with the statutory and regulatory requirements can subject a manufacturer to possible legal or regulatory action, such as warning or untitled letters, suspension of manufacturing, seizure of product, injunctive action or possible civil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among other things, halt our clinical trials, require us to recall a drug from distribution or withdraw approval of the NDA for that drug.</w:t>
      </w:r>
    </w:p>
    <w:p>
      <w:pPr>
        <w:spacing w:after="0" w:line="168"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among other things, adverse publicity, warning or untitled letters, corrective advertising and potential civil and criminal penalties. Physicians may prescribe legally available drugs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Hatch-Waxman Act</w:t>
      </w:r>
    </w:p>
    <w:p>
      <w:pPr>
        <w:spacing w:after="0" w:line="225" w:lineRule="exact"/>
        <w:rPr>
          <w:sz w:val="20"/>
          <w:szCs w:val="20"/>
          <w:color w:val="auto"/>
        </w:rPr>
      </w:pPr>
    </w:p>
    <w:p>
      <w:pPr>
        <w:ind w:left="40" w:right="59" w:firstLine="648"/>
        <w:spacing w:after="0" w:line="282" w:lineRule="auto"/>
        <w:rPr>
          <w:sz w:val="20"/>
          <w:szCs w:val="20"/>
          <w:color w:val="auto"/>
        </w:rPr>
      </w:pPr>
      <w:r>
        <w:rPr>
          <w:rFonts w:ascii="Arial" w:cs="Arial" w:eastAsia="Arial" w:hAnsi="Arial"/>
          <w:sz w:val="16"/>
          <w:szCs w:val="16"/>
          <w:color w:val="auto"/>
        </w:rPr>
        <w:t>Section 505 of the FFDCA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nonclinical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505(b)</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(2) NDA.</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39" w:firstLine="648"/>
        <w:spacing w:after="0" w:line="286" w:lineRule="auto"/>
        <w:rPr>
          <w:sz w:val="20"/>
          <w:szCs w:val="20"/>
          <w:color w:val="auto"/>
        </w:rPr>
      </w:pPr>
      <w:r>
        <w:rPr>
          <w:rFonts w:ascii="Arial" w:cs="Arial" w:eastAsia="Arial" w:hAnsi="Arial"/>
          <w:sz w:val="16"/>
          <w:szCs w:val="16"/>
          <w:color w:val="auto"/>
        </w:rPr>
        <w:t>Upon submission of an ANDA or a 505(b)(2) NDA, an applicant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Generally, the ANDA or 505(b)</w:t>
      </w:r>
    </w:p>
    <w:p>
      <w:pPr>
        <w:spacing w:after="0" w:line="1" w:lineRule="exact"/>
        <w:rPr>
          <w:sz w:val="20"/>
          <w:szCs w:val="20"/>
          <w:color w:val="auto"/>
        </w:rPr>
      </w:pPr>
    </w:p>
    <w:p>
      <w:pPr>
        <w:ind w:left="40" w:right="79" w:firstLine="4"/>
        <w:spacing w:after="0" w:line="295" w:lineRule="auto"/>
        <w:tabs>
          <w:tab w:leader="none" w:pos="295" w:val="left"/>
        </w:tabs>
        <w:numPr>
          <w:ilvl w:val="0"/>
          <w:numId w:val="8"/>
        </w:numPr>
        <w:rPr>
          <w:rFonts w:ascii="Arial" w:cs="Arial" w:eastAsia="Arial" w:hAnsi="Arial"/>
          <w:sz w:val="16"/>
          <w:szCs w:val="16"/>
          <w:color w:val="auto"/>
        </w:rPr>
      </w:pPr>
      <w:r>
        <w:rPr>
          <w:rFonts w:ascii="Arial" w:cs="Arial" w:eastAsia="Arial" w:hAnsi="Arial"/>
          <w:sz w:val="16"/>
          <w:szCs w:val="16"/>
          <w:color w:val="auto"/>
        </w:rPr>
        <w:t>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w:t>
      </w:r>
    </w:p>
    <w:p>
      <w:pPr>
        <w:spacing w:after="0" w:line="161"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6"/>
          <w:szCs w:val="16"/>
          <w:color w:val="auto"/>
        </w:rPr>
        <w:t>If the ANDA or 505(b)(2) NDA applicant has provided a Paragraph IV certification to the FDA,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w:t>
      </w:r>
      <w:r>
        <w:rPr>
          <w:rFonts w:ascii="MS PGothic" w:cs="MS PGothic" w:eastAsia="MS PGothic" w:hAnsi="MS PGothic"/>
          <w:sz w:val="16"/>
          <w:szCs w:val="16"/>
          <w:color w:val="auto"/>
        </w:rPr>
        <w:t>‑</w:t>
      </w:r>
      <w:r>
        <w:rPr>
          <w:rFonts w:ascii="Arial" w:cs="Arial" w:eastAsia="Arial" w:hAnsi="Arial"/>
          <w:sz w:val="16"/>
          <w:szCs w:val="16"/>
          <w:color w:val="auto"/>
        </w:rPr>
        <w:t>month stay. In instances where an ANDA or 505(b)(2) NDA applicant files a paragraph IV certification, the NDA holder or patent owner(s) regularly take action to trigger the 30</w:t>
      </w:r>
      <w:r>
        <w:rPr>
          <w:rFonts w:ascii="MS PGothic" w:cs="MS PGothic" w:eastAsia="MS PGothic" w:hAnsi="MS PGothic"/>
          <w:sz w:val="16"/>
          <w:szCs w:val="16"/>
          <w:color w:val="auto"/>
        </w:rPr>
        <w:t>‑</w:t>
      </w:r>
      <w:r>
        <w:rPr>
          <w:rFonts w:ascii="Arial" w:cs="Arial" w:eastAsia="Arial" w:hAnsi="Arial"/>
          <w:sz w:val="16"/>
          <w:szCs w:val="16"/>
          <w:color w:val="auto"/>
        </w:rPr>
        <w:t>month stay, recognizing that the related patent litigation may take</w:t>
      </w:r>
    </w:p>
    <w:p>
      <w:pPr>
        <w:spacing w:after="0" w:line="5" w:lineRule="exact"/>
        <w:rPr>
          <w:sz w:val="20"/>
          <w:szCs w:val="20"/>
          <w:color w:val="auto"/>
        </w:rPr>
      </w:pPr>
    </w:p>
    <w:p>
      <w:pPr>
        <w:ind w:left="40" w:right="179"/>
        <w:spacing w:after="0" w:line="255" w:lineRule="auto"/>
        <w:rPr>
          <w:sz w:val="20"/>
          <w:szCs w:val="20"/>
          <w:color w:val="auto"/>
        </w:rPr>
      </w:pPr>
      <w:r>
        <w:rPr>
          <w:rFonts w:ascii="Arial" w:cs="Arial" w:eastAsia="Arial" w:hAnsi="Arial"/>
          <w:sz w:val="18"/>
          <w:szCs w:val="18"/>
          <w:color w:val="auto"/>
        </w:rPr>
        <w:t>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190" w:lineRule="exact"/>
        <w:rPr>
          <w:sz w:val="20"/>
          <w:szCs w:val="20"/>
          <w:color w:val="auto"/>
        </w:rPr>
      </w:pPr>
    </w:p>
    <w:p>
      <w:pPr>
        <w:ind w:left="40" w:right="119" w:firstLine="648"/>
        <w:spacing w:after="0" w:line="270" w:lineRule="auto"/>
        <w:rPr>
          <w:sz w:val="20"/>
          <w:szCs w:val="20"/>
          <w:color w:val="auto"/>
        </w:rPr>
      </w:pPr>
      <w:r>
        <w:rPr>
          <w:rFonts w:ascii="Arial" w:cs="Arial" w:eastAsia="Arial" w:hAnsi="Arial"/>
          <w:sz w:val="17"/>
          <w:szCs w:val="17"/>
          <w:color w:val="auto"/>
        </w:rPr>
        <w:t>The Hatch-Waxman Act establishes periods of regulatory exclusivity for certain approved drug products, during which the FDA cannot approve (or in some cases accept) an ANDA or 505(b)(2) application that relies on the branded reference drug. For example, the holder of an NDA, including a 505(b)(2) NDA, may obtain five years of exclusivity upon approval of a new drug containing new chemical entities, or NCEs, that have not been previously approved by the FDA.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certification of patent invalidity or non-infringement.</w:t>
      </w:r>
    </w:p>
    <w:p>
      <w:pPr>
        <w:spacing w:after="0" w:line="181"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8"/>
          <w:szCs w:val="18"/>
          <w:color w:val="auto"/>
        </w:rPr>
        <w:t>The Hatch-Waxman Act also provides three years of marketing exclusivity to the holder of an NDA (including a 505(b)(2) NDA)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This three-year exclusivity period protects against FDA approval of ANDAs and 505(b)(2) NDAs for the condition of the new drug’s approval. As a general matter, the three-year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ind w:left="40" w:right="79" w:firstLine="648"/>
        <w:spacing w:after="0" w:line="293" w:lineRule="auto"/>
        <w:rPr>
          <w:sz w:val="20"/>
          <w:szCs w:val="20"/>
          <w:color w:val="auto"/>
        </w:rPr>
      </w:pPr>
      <w:r>
        <w:rPr>
          <w:rFonts w:ascii="Arial" w:cs="Arial" w:eastAsia="Arial" w:hAnsi="Arial"/>
          <w:sz w:val="16"/>
          <w:szCs w:val="16"/>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or CMS, other divisions of the U.S. Department of Health and Human Services (e.g., the Office of Inspector General), the U.S. Department of Justice, state Attorneys General, and other state and local government agencies. These laws include but are not limited to, the Anti-Kickback Statute, the federal False Claims Act, the federal Physician Payments Sunshine Act, and other state and federal laws and regulations.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7"/>
          <w:szCs w:val="17"/>
          <w:color w:val="auto"/>
        </w:rPr>
        <w:t>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a person or entity does not need to have actual knowledge of the statute or specific intent to violate it in order to have committed a violation. Moreover, the Affordable Care Act provides that the government may assert that a claim including items or services resulting from a violation of the federal Anti-Kickback Statute constitutes a false or fraudulent claim for purposes of the False Claims Act.</w:t>
      </w:r>
    </w:p>
    <w:p>
      <w:pPr>
        <w:spacing w:after="0" w:line="181" w:lineRule="exact"/>
        <w:rPr>
          <w:sz w:val="20"/>
          <w:szCs w:val="20"/>
          <w:color w:val="auto"/>
        </w:rPr>
      </w:pPr>
    </w:p>
    <w:p>
      <w:pPr>
        <w:ind w:left="40" w:right="59" w:firstLine="648"/>
        <w:spacing w:after="0" w:line="267" w:lineRule="auto"/>
        <w:rPr>
          <w:sz w:val="20"/>
          <w:szCs w:val="20"/>
          <w:color w:val="auto"/>
        </w:rPr>
      </w:pPr>
      <w:r>
        <w:rPr>
          <w:rFonts w:ascii="Arial" w:cs="Arial" w:eastAsia="Arial" w:hAnsi="Arial"/>
          <w:sz w:val="17"/>
          <w:szCs w:val="17"/>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Although we would not submit claims directly to payors, manufacturers can be held liable under these laws if they are deemed to “cause”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off-label promotion of drugs. Penalties for a False Claims Act violation include three times the actual damages sustained by the government, plus mandatory civil penalties of between $11,181 and $22,363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91" w:lineRule="exact"/>
        <w:rPr>
          <w:sz w:val="20"/>
          <w:szCs w:val="20"/>
          <w:color w:val="auto"/>
        </w:rPr>
      </w:pPr>
    </w:p>
    <w:p>
      <w:pPr>
        <w:ind w:left="40" w:right="99" w:firstLine="648"/>
        <w:spacing w:after="0" w:line="285" w:lineRule="auto"/>
        <w:rPr>
          <w:sz w:val="20"/>
          <w:szCs w:val="20"/>
          <w:color w:val="auto"/>
        </w:rPr>
      </w:pPr>
      <w:r>
        <w:rPr>
          <w:rFonts w:ascii="Arial" w:cs="Arial" w:eastAsia="Arial" w:hAnsi="Arial"/>
          <w:sz w:val="16"/>
          <w:szCs w:val="16"/>
          <w:color w:val="auto"/>
        </w:rPr>
        <w:t>In addition to the laws described above, the Patient Protection and Affordable Care Act, as amended by the Health Care and Education Reconciliation Act, collectively known as the Affordable Care Act, also imposed new reporting requirements on drug manufacturers for payments made to physicians and teaching hospitals, as well as ownership and investment interests held by physicians and their immediate family members. Failure to submit required information may result in civil monetary penalties of up to an aggregate of $165,786 per year (or up to an aggregate of $1.105 million</w:t>
      </w:r>
    </w:p>
    <w:p>
      <w:pPr>
        <w:spacing w:after="0" w:line="2" w:lineRule="exact"/>
        <w:rPr>
          <w:sz w:val="20"/>
          <w:szCs w:val="20"/>
          <w:color w:val="auto"/>
        </w:rPr>
      </w:pPr>
    </w:p>
    <w:p>
      <w:pPr>
        <w:ind w:left="40" w:right="159"/>
        <w:spacing w:after="0" w:line="255" w:lineRule="auto"/>
        <w:rPr>
          <w:sz w:val="20"/>
          <w:szCs w:val="20"/>
          <w:color w:val="auto"/>
        </w:rPr>
      </w:pPr>
      <w:r>
        <w:rPr>
          <w:rFonts w:ascii="Arial" w:cs="Arial" w:eastAsia="Arial" w:hAnsi="Arial"/>
          <w:sz w:val="18"/>
          <w:szCs w:val="18"/>
          <w:color w:val="auto"/>
        </w:rPr>
        <w:t>per year for “knowing failures”), for all payments, transfers of value or ownership or investment interests that are not timely, accurately and completely reported in an annual submission. Manufacturers must submit reports by the 90th day of each subsequent calendar year.</w:t>
      </w:r>
    </w:p>
    <w:p>
      <w:pPr>
        <w:spacing w:after="0" w:line="190"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7"/>
          <w:szCs w:val="17"/>
          <w:color w:val="auto"/>
        </w:rPr>
        <w:t>Many states have also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regulation of payments made to physicians and other healthcare providers. Certain states mandate implementation of compliance programs, impose restrictions on drug manufacturers’ marketing practices and/or require the tracking and reporting of pricing and marketing information as well as gifts, compensation and other remuneration to physicians. Many of these laws contain ambiguities as to what is required to comply with such laws, which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perhaps federal, authorities.</w:t>
      </w:r>
    </w:p>
    <w:p>
      <w:pPr>
        <w:spacing w:after="0" w:line="185" w:lineRule="exact"/>
        <w:rPr>
          <w:sz w:val="20"/>
          <w:szCs w:val="20"/>
          <w:color w:val="auto"/>
        </w:rPr>
      </w:pPr>
    </w:p>
    <w:p>
      <w:pPr>
        <w:ind w:left="40" w:right="79" w:firstLine="648"/>
        <w:spacing w:after="0" w:line="293" w:lineRule="auto"/>
        <w:rPr>
          <w:sz w:val="20"/>
          <w:szCs w:val="20"/>
          <w:color w:val="auto"/>
        </w:rPr>
      </w:pPr>
      <w:r>
        <w:rPr>
          <w:rFonts w:ascii="Arial" w:cs="Arial" w:eastAsia="Arial" w:hAnsi="Arial"/>
          <w:sz w:val="16"/>
          <w:szCs w:val="16"/>
          <w:color w:val="auto"/>
        </w:rPr>
        <w:t>Because we intend to commercialize products that could be reimbursed under a federal healthcare program and other governmental healthcare programs, we plan to develop a comprehensive compliance program that establishes internal controls to facilitate adherence to the rules and program requirements to which we will or may become subject. Although compliance programs can mitigate the risk of investigation and prosecution for violations of these laws, the risks cannot be entirely eliminated. Due to the breadth of these laws, the absence of guidance in the form of regulations or court decisions, and the potential for additional legal or regulatory change in this area, it is possible that our future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311" w:lineRule="auto"/>
        <w:rPr>
          <w:sz w:val="20"/>
          <w:szCs w:val="20"/>
          <w:color w:val="auto"/>
        </w:rPr>
      </w:pPr>
      <w:r>
        <w:rPr>
          <w:rFonts w:ascii="Arial" w:cs="Arial" w:eastAsia="Arial" w:hAnsi="Arial"/>
          <w:sz w:val="16"/>
          <w:szCs w:val="16"/>
          <w:color w:val="auto"/>
        </w:rPr>
        <w:t>sales and marketing practices and/or our future relationships with physicians and other healthcare providers might be challenged under such laws. Any action against us for violation of these laws, even if we successfully defend against it, could cause us to incur significant legal expenses and divert our management’s attention from the operation of our business.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Third-party coverage and reimbursement</w:t>
      </w:r>
    </w:p>
    <w:p>
      <w:pPr>
        <w:spacing w:after="0" w:line="225" w:lineRule="exact"/>
        <w:rPr>
          <w:sz w:val="20"/>
          <w:szCs w:val="20"/>
          <w:color w:val="auto"/>
        </w:rPr>
      </w:pPr>
    </w:p>
    <w:p>
      <w:pPr>
        <w:ind w:left="40" w:right="99" w:firstLine="648"/>
        <w:spacing w:after="0" w:line="268" w:lineRule="auto"/>
        <w:rPr>
          <w:sz w:val="20"/>
          <w:szCs w:val="20"/>
          <w:color w:val="auto"/>
        </w:rPr>
      </w:pPr>
      <w:r>
        <w:rPr>
          <w:rFonts w:ascii="Arial" w:cs="Arial" w:eastAsia="Arial" w:hAnsi="Arial"/>
          <w:sz w:val="17"/>
          <w:szCs w:val="17"/>
          <w:color w:val="auto"/>
        </w:rPr>
        <w:t>Sales of pharmaceutical products depend in significant part on the availability of coverage and adequate reimbursement by third-party payors, such as state and federal governments, including Medicare and Medicaid, and commercial managed care providers. In the United States, no uniform policy of coverage and reimbursement for drug products exists among third-party payors. Accordingly, decisions regarding the extent of coverage and amount of reimbursement to be provided for our product candidates, if approved, will be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 Third-party payors may limit coverage to specific drug products on an approved list, or formulary, which might not include all of the FDA-approved drugs for a particular indication. A decision by a third-party payor not to cover our product candidates could reduce physician utilization of our products once approved and have a material adverse effect on our future sales, results of operations and financial condition. 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84" w:lineRule="exact"/>
        <w:rPr>
          <w:sz w:val="20"/>
          <w:szCs w:val="20"/>
          <w:color w:val="auto"/>
        </w:rPr>
      </w:pPr>
    </w:p>
    <w:p>
      <w:pPr>
        <w:ind w:left="40" w:right="159" w:firstLine="648"/>
        <w:spacing w:after="0" w:line="269" w:lineRule="auto"/>
        <w:rPr>
          <w:sz w:val="20"/>
          <w:szCs w:val="20"/>
          <w:color w:val="auto"/>
        </w:rPr>
      </w:pPr>
      <w:r>
        <w:rPr>
          <w:rFonts w:ascii="Arial" w:cs="Arial" w:eastAsia="Arial" w:hAnsi="Arial"/>
          <w:sz w:val="17"/>
          <w:szCs w:val="17"/>
          <w:color w:val="auto"/>
        </w:rPr>
        <w:t>In addition, in July 2010, CMS released its final rule to implement a bundled prospective payment system for the treatment of CKD patients on dialysis as required by the Medicare Improvements for Patients and Providers Act, or MIPPA. The bundled payment includes all renal dialysis services furnished for outpatient maintenance dialysis, including ESRD-related drugs and biologicals. The final rule delayed the inclusion of oral medications without intravenous equivalents in the bundled payment until January 1, 2014 and in April 2014, due to subsequent legislative amendments, CMS provided that such inclusion will remain delayed until January 1, 2025. Unless additional Congressional action is taken, beginning in 2025 ESRD-related drugs will be included in the bundle and separate Medicare reimbursement will no longer be available for such drugs, as it is today under Medicare Part D. While it is too early to project the full impact that bundling may have on drugs for the control of serum phosphorus, the impact could potentially cause dramatic price reductions for tenapanor, if approved.</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left="40" w:right="99" w:firstLine="648"/>
        <w:spacing w:after="0" w:line="311" w:lineRule="auto"/>
        <w:rPr>
          <w:sz w:val="20"/>
          <w:szCs w:val="20"/>
          <w:color w:val="auto"/>
        </w:rPr>
      </w:pPr>
      <w:r>
        <w:rPr>
          <w:rFonts w:ascii="Arial" w:cs="Arial" w:eastAsia="Arial" w:hAnsi="Arial"/>
          <w:sz w:val="16"/>
          <w:szCs w:val="16"/>
          <w:color w:val="auto"/>
        </w:rPr>
        <w:t>In March 2010, Congress passed, and President Obama signed into law, the Patient Protection and Affordable Care Act, a healthcare reform measure, or the Affordable Care Act. The Affordable Care Act substantially changes the way healthcare is financed by both governmental and private insurers, and significantly impacts the pharmaceutical industry.</w:t>
      </w:r>
    </w:p>
    <w:p>
      <w:pPr>
        <w:spacing w:after="0" w:line="149"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The Affordable Care Act contains a number of provisions, including those governing enrollment in federal healthcare programs, reimbursement changes and fraud and abuse measures, which have impacted existing government healthcare programs and have resulted in the development of new programs, including Medicare payment for performance initiatives and improvements to the physician quality reporting system and feedback program.</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Additionally, the Affordable Care Act:</w:t>
      </w:r>
    </w:p>
    <w:p>
      <w:pPr>
        <w:spacing w:after="0" w:line="225" w:lineRule="exact"/>
        <w:rPr>
          <w:sz w:val="20"/>
          <w:szCs w:val="20"/>
          <w:color w:val="auto"/>
        </w:rPr>
      </w:pPr>
    </w:p>
    <w:p>
      <w:pPr>
        <w:ind w:left="1340" w:right="299" w:hanging="324"/>
        <w:spacing w:after="0" w:line="277"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the minimum level of Medicaid rebates payable by manufacturers of brand-name drugs from 15.1% to 23.1%;</w:t>
      </w:r>
    </w:p>
    <w:p>
      <w:pPr>
        <w:spacing w:after="0" w:line="170" w:lineRule="exact"/>
        <w:rPr>
          <w:rFonts w:ascii="Arial" w:cs="Arial" w:eastAsia="Arial" w:hAnsi="Arial"/>
          <w:sz w:val="18"/>
          <w:szCs w:val="18"/>
          <w:color w:val="auto"/>
        </w:rPr>
      </w:pPr>
    </w:p>
    <w:p>
      <w:pPr>
        <w:ind w:left="1340" w:hanging="324"/>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requires collection of rebates for drugs paid by Medicaid managed care organizations;</w:t>
      </w:r>
    </w:p>
    <w:p>
      <w:pPr>
        <w:spacing w:after="0" w:line="225" w:lineRule="exact"/>
        <w:rPr>
          <w:rFonts w:ascii="Arial" w:cs="Arial" w:eastAsia="Arial" w:hAnsi="Arial"/>
          <w:sz w:val="18"/>
          <w:szCs w:val="18"/>
          <w:color w:val="auto"/>
        </w:rPr>
      </w:pPr>
    </w:p>
    <w:p>
      <w:pPr>
        <w:ind w:left="1340" w:right="519" w:hanging="324"/>
        <w:spacing w:after="0" w:line="342" w:lineRule="auto"/>
        <w:tabs>
          <w:tab w:leader="none" w:pos="1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expands eligibility criteria for Medicaid programs by, among other things, allowing states to offer Medicaid coverage to additional individuals and by adding new mandatory eligibility categories for</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40" w:right="639"/>
        <w:spacing w:after="0" w:line="277" w:lineRule="auto"/>
        <w:rPr>
          <w:sz w:val="20"/>
          <w:szCs w:val="20"/>
          <w:color w:val="auto"/>
        </w:rPr>
      </w:pPr>
      <w:r>
        <w:rPr>
          <w:rFonts w:ascii="Arial" w:cs="Arial" w:eastAsia="Arial" w:hAnsi="Arial"/>
          <w:sz w:val="18"/>
          <w:szCs w:val="18"/>
          <w:color w:val="auto"/>
        </w:rPr>
        <w:t>certain individuals with income at or below 133% of the federal poverty level, thereby potentially increasing a manufacturer’s Medicaid rebate liability;</w:t>
      </w:r>
    </w:p>
    <w:p>
      <w:pPr>
        <w:spacing w:after="0" w:line="170" w:lineRule="exact"/>
        <w:rPr>
          <w:sz w:val="20"/>
          <w:szCs w:val="20"/>
          <w:color w:val="auto"/>
        </w:rPr>
      </w:pPr>
    </w:p>
    <w:p>
      <w:pPr>
        <w:ind w:left="1340" w:right="579" w:hanging="324"/>
        <w:spacing w:after="0" w:line="277" w:lineRule="auto"/>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expands access to commercial health insurance coverage through new state-based health insurance marketplaces, or exchanges;</w:t>
      </w:r>
    </w:p>
    <w:p>
      <w:pPr>
        <w:spacing w:after="0" w:line="170" w:lineRule="exact"/>
        <w:rPr>
          <w:rFonts w:ascii="Arial" w:cs="Arial" w:eastAsia="Arial" w:hAnsi="Arial"/>
          <w:sz w:val="18"/>
          <w:szCs w:val="18"/>
          <w:color w:val="auto"/>
        </w:rPr>
      </w:pPr>
    </w:p>
    <w:p>
      <w:pPr>
        <w:ind w:left="1340" w:right="59" w:hanging="324"/>
        <w:spacing w:after="0" w:line="279" w:lineRule="auto"/>
        <w:tabs>
          <w:tab w:leader="none" w:pos="1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requires manufacturers to participate in a coverage gap discount program, under which they must agree to offer 50 percent point-of-sale discounts off negotiated prices of applicable brand drugs to eligible beneficiaries during their coverage gap period, as a condition for the manufacturer’s outpatient drugs to be covered under Medicare Part D, beginning January 2011; and</w:t>
      </w:r>
    </w:p>
    <w:p>
      <w:pPr>
        <w:spacing w:after="0" w:line="171" w:lineRule="exact"/>
        <w:rPr>
          <w:rFonts w:ascii="Arial" w:cs="Arial" w:eastAsia="Arial" w:hAnsi="Arial"/>
          <w:sz w:val="17"/>
          <w:szCs w:val="17"/>
          <w:color w:val="auto"/>
        </w:rPr>
      </w:pPr>
    </w:p>
    <w:p>
      <w:pPr>
        <w:ind w:left="1340" w:right="319" w:hanging="324"/>
        <w:spacing w:after="0" w:line="277" w:lineRule="auto"/>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imposes a non-deductible annual fee on pharmaceutical manufacturers or importers who sell “branded prescription drugs” to specified federal government programs.</w:t>
      </w:r>
    </w:p>
    <w:p>
      <w:pPr>
        <w:spacing w:after="0" w:line="170"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Affordable Care Act. We expect that the new presidential administration and U.S. Congress will likely continue to seek to modify, repeal, or otherwise invalidate all or certain provisions of, the Affordable Care Act. There is still uncertainty with respect to the impact President Trump’s administration and the U.S. Congress may have, if any, and any changes will likely take time to unfold, and could have an impact on coverage and reimbursement for healthcare items and services covered by plans that were authorized by the Affordable Care Act.</w:t>
      </w:r>
    </w:p>
    <w:p>
      <w:pPr>
        <w:spacing w:after="0" w:line="192" w:lineRule="exact"/>
        <w:rPr>
          <w:sz w:val="20"/>
          <w:szCs w:val="20"/>
          <w:color w:val="auto"/>
        </w:rPr>
      </w:pPr>
    </w:p>
    <w:p>
      <w:pPr>
        <w:ind w:left="40" w:right="179" w:firstLine="648"/>
        <w:spacing w:after="0" w:line="267"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was enacted. For example, in August 2011, the Budget Control Act of 2011, among other things, included aggregate reductions to Medicare payments to providers of 2 percent per fiscal year, which went into effect on April 1, 2013, and, due to subsequent legislative amendments, will remain in effect through 2025 unless additional Congressional action is taken. In January 2013, the American Taxpayer Relief Act, among other things, further reduced Medicare payments to several providers, including hospitals, imaging centers and cancer treatment centers, and increased the statute of limitations period for the government to recover overpayments to providers from three to five years. Additionally, individual states have also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These new laws and the regulations and policies implementing them, as well as other healthcare reform measures that may be adopted in the future, may have a material adverse effect on our industry generally and on our ability to successfully develop and commercialize our products.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jc w:val="both"/>
        <w:ind w:left="40" w:right="179" w:firstLine="648"/>
        <w:spacing w:after="0" w:line="311" w:lineRule="auto"/>
        <w:rPr>
          <w:sz w:val="20"/>
          <w:szCs w:val="20"/>
          <w:color w:val="auto"/>
        </w:rPr>
      </w:pPr>
      <w:r>
        <w:rPr>
          <w:rFonts w:ascii="Arial" w:cs="Arial" w:eastAsia="Arial" w:hAnsi="Arial"/>
          <w:sz w:val="16"/>
          <w:szCs w:val="16"/>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40" w:right="199" w:firstLine="648"/>
        <w:spacing w:after="0" w:line="257" w:lineRule="auto"/>
        <w:rPr>
          <w:sz w:val="20"/>
          <w:szCs w:val="20"/>
          <w:color w:val="auto"/>
        </w:rPr>
      </w:pPr>
      <w:r>
        <w:rPr>
          <w:rFonts w:ascii="Arial" w:cs="Arial" w:eastAsia="Arial" w:hAnsi="Arial"/>
          <w:sz w:val="18"/>
          <w:szCs w:val="18"/>
          <w:color w:val="auto"/>
        </w:rPr>
        <w:t>As of December 31, 2019, we had a total of 88 employees, all of which were full-time employees, including a total of 14 employees with Ph.D. degrees. Within our workforce, 63 employees are engaged in research and development and the remaining 25 in general management and administration, including finance, legal, and market development. None of our employees are represented by labor unions or covered by collective bargaining agreements. We believe that we maintain good relations with our employees.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40" w:right="399" w:firstLine="648"/>
        <w:spacing w:after="0" w:line="220" w:lineRule="exact"/>
        <w:rPr>
          <w:sz w:val="20"/>
          <w:szCs w:val="20"/>
          <w:color w:val="auto"/>
        </w:rPr>
      </w:pPr>
      <w:r>
        <w:rPr>
          <w:rFonts w:ascii="Arial" w:cs="Arial" w:eastAsia="Arial" w:hAnsi="Arial"/>
          <w:sz w:val="17"/>
          <w:szCs w:val="17"/>
          <w:color w:val="auto"/>
        </w:rPr>
        <w:t>We were incorporated in Delaware on October 17, 2007, under the name Nteryx and changed our name to Ardelyx, Inc. in June 2008. We operate in only one business segment, which is the research and development of biopharmaceutical products. Our principal offices are located at 34175 Ardenwood Blvd., Fremont, CA 94555, and our telephone number is (510) 745</w:t>
      </w:r>
      <w:r>
        <w:rPr>
          <w:rFonts w:ascii="MS PGothic" w:cs="MS PGothic" w:eastAsia="MS PGothic" w:hAnsi="MS PGothic"/>
          <w:sz w:val="17"/>
          <w:szCs w:val="17"/>
          <w:color w:val="auto"/>
        </w:rPr>
        <w:t>‑</w:t>
      </w:r>
      <w:r>
        <w:rPr>
          <w:rFonts w:ascii="Arial" w:cs="Arial" w:eastAsia="Arial" w:hAnsi="Arial"/>
          <w:sz w:val="17"/>
          <w:szCs w:val="17"/>
          <w:color w:val="auto"/>
        </w:rPr>
        <w:t>1700. Our website address is www.ardelyx.com.</w:t>
      </w:r>
    </w:p>
    <w:p>
      <w:pPr>
        <w:spacing w:after="0" w:line="204" w:lineRule="exact"/>
        <w:rPr>
          <w:sz w:val="20"/>
          <w:szCs w:val="20"/>
          <w:color w:val="auto"/>
        </w:rPr>
      </w:pPr>
    </w:p>
    <w:p>
      <w:pPr>
        <w:ind w:left="40" w:right="79" w:firstLine="648"/>
        <w:spacing w:after="0" w:line="219" w:lineRule="exact"/>
        <w:rPr>
          <w:sz w:val="20"/>
          <w:szCs w:val="20"/>
          <w:color w:val="auto"/>
        </w:rPr>
      </w:pPr>
      <w:r>
        <w:rPr>
          <w:rFonts w:ascii="Arial" w:cs="Arial" w:eastAsia="Arial" w:hAnsi="Arial"/>
          <w:sz w:val="17"/>
          <w:szCs w:val="17"/>
          <w:color w:val="auto"/>
        </w:rPr>
        <w:t>We file electronically with the Securities and Exchange Commission, or SEC, our annual reports on Form 10</w:t>
      </w:r>
      <w:r>
        <w:rPr>
          <w:rFonts w:ascii="MS PGothic" w:cs="MS PGothic" w:eastAsia="MS PGothic" w:hAnsi="MS PGothic"/>
          <w:sz w:val="17"/>
          <w:szCs w:val="17"/>
          <w:color w:val="auto"/>
        </w:rPr>
        <w:t>‑</w:t>
      </w:r>
      <w:r>
        <w:rPr>
          <w:rFonts w:ascii="Arial" w:cs="Arial" w:eastAsia="Arial" w:hAnsi="Arial"/>
          <w:sz w:val="17"/>
          <w:szCs w:val="17"/>
          <w:color w:val="auto"/>
        </w:rPr>
        <w:t>K, quarterly reports on Form 10</w:t>
      </w:r>
      <w:r>
        <w:rPr>
          <w:rFonts w:ascii="MS PGothic" w:cs="MS PGothic" w:eastAsia="MS PGothic" w:hAnsi="MS PGothic"/>
          <w:sz w:val="17"/>
          <w:szCs w:val="17"/>
          <w:color w:val="auto"/>
        </w:rPr>
        <w:t>‑</w:t>
      </w:r>
      <w:r>
        <w:rPr>
          <w:rFonts w:ascii="Arial" w:cs="Arial" w:eastAsia="Arial" w:hAnsi="Arial"/>
          <w:sz w:val="17"/>
          <w:szCs w:val="17"/>
          <w:color w:val="auto"/>
        </w:rPr>
        <w:t>Q and current reports on Form 8</w:t>
      </w:r>
      <w:r>
        <w:rPr>
          <w:rFonts w:ascii="MS PGothic" w:cs="MS PGothic" w:eastAsia="MS PGothic" w:hAnsi="MS PGothic"/>
          <w:sz w:val="17"/>
          <w:szCs w:val="17"/>
          <w:color w:val="auto"/>
        </w:rPr>
        <w:t>‑</w:t>
      </w:r>
      <w:r>
        <w:rPr>
          <w:rFonts w:ascii="Arial" w:cs="Arial" w:eastAsia="Arial" w:hAnsi="Arial"/>
          <w:sz w:val="17"/>
          <w:szCs w:val="17"/>
          <w:color w:val="auto"/>
        </w:rPr>
        <w:t>K pursuant to Section 13(a) or 15(d) of the Securities Exchange Act of 1934, as amended. We make available on our website at www.ardelyx.com, free of charge, copies of these reports, as soon as reasonably practicable after we electronically file such material with, or furnish it to, the SEC. The SEC maintains a website that contains reports, proxy and information statements, and other information regarding issuers that file electronically with the SEC. The address of that website is www.sec.gov.</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40" w:right="59" w:firstLine="324"/>
        <w:spacing w:after="0" w:line="219" w:lineRule="exact"/>
        <w:rPr>
          <w:sz w:val="20"/>
          <w:szCs w:val="20"/>
          <w:color w:val="auto"/>
        </w:rPr>
      </w:pPr>
      <w:r>
        <w:rPr>
          <w:rFonts w:ascii="Arial" w:cs="Arial" w:eastAsia="Arial" w:hAnsi="Arial"/>
          <w:sz w:val="17"/>
          <w:szCs w:val="17"/>
          <w:i w:val="1"/>
          <w:iCs w:val="1"/>
          <w:color w:val="auto"/>
        </w:rPr>
        <w:t>Our business involves significant risks, some of which are described below. You should carefully consider these risks, as well as other information in this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including our financial statements and the related notes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170"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To date, we have not commercialized any products or generated any revenue from the sale of products.</w:t>
      </w:r>
    </w:p>
    <w:p>
      <w:pPr>
        <w:spacing w:after="0" w:line="188" w:lineRule="exact"/>
        <w:rPr>
          <w:sz w:val="20"/>
          <w:szCs w:val="20"/>
          <w:color w:val="auto"/>
        </w:rPr>
      </w:pPr>
    </w:p>
    <w:p>
      <w:pPr>
        <w:jc w:val="both"/>
        <w:ind w:left="40" w:right="59" w:firstLine="324"/>
        <w:spacing w:after="0" w:line="279" w:lineRule="auto"/>
        <w:rPr>
          <w:sz w:val="20"/>
          <w:szCs w:val="20"/>
          <w:color w:val="auto"/>
        </w:rPr>
      </w:pPr>
      <w:r>
        <w:rPr>
          <w:rFonts w:ascii="Arial" w:cs="Arial" w:eastAsia="Arial" w:hAnsi="Arial"/>
          <w:sz w:val="17"/>
          <w:szCs w:val="17"/>
          <w:color w:val="auto"/>
        </w:rPr>
        <w:t>We are not profitable and have incurred losses in each year since our inception in October 2007, and we do not know whether or when we will become profitable. We have only a limited operating history upon which to evaluate our business and prospects. We continue to incur significant research, development and other expenses related to our ongoing operations. As of December 31, 2019, we had an accumulated deficit of $460.5 million.</w:t>
      </w:r>
    </w:p>
    <w:p>
      <w:pPr>
        <w:spacing w:after="0" w:line="171" w:lineRule="exact"/>
        <w:rPr>
          <w:sz w:val="20"/>
          <w:szCs w:val="20"/>
          <w:color w:val="auto"/>
        </w:rPr>
      </w:pPr>
    </w:p>
    <w:p>
      <w:pPr>
        <w:jc w:val="both"/>
        <w:ind w:left="40" w:right="59" w:firstLine="324"/>
        <w:spacing w:after="0" w:line="275" w:lineRule="auto"/>
        <w:rPr>
          <w:sz w:val="20"/>
          <w:szCs w:val="20"/>
          <w:color w:val="auto"/>
        </w:rPr>
      </w:pPr>
      <w:r>
        <w:rPr>
          <w:rFonts w:ascii="Arial" w:cs="Arial" w:eastAsia="Arial" w:hAnsi="Arial"/>
          <w:sz w:val="17"/>
          <w:szCs w:val="17"/>
          <w:color w:val="auto"/>
        </w:rPr>
        <w:t>We expect to continue incur substantial operating losses for the foreseeable future as we prepare for the potential commercialization of, and incur manufacturing and development costs for, tenapanor, including costs associated with preparing the new drug application, or NDA, for submission to the U.S. Food and Drug Administration, or FDA, to request marketing authorization for tenapanor for the control of serum phosphorus in CKD patients on dialysis, commercializing tenapanor for that indication, and continuing our discovery and research activities.</w:t>
      </w:r>
    </w:p>
    <w:p>
      <w:pPr>
        <w:spacing w:after="0" w:line="176"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187"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225" w:lineRule="exact"/>
        <w:rPr>
          <w:sz w:val="20"/>
          <w:szCs w:val="20"/>
          <w:color w:val="auto"/>
        </w:rPr>
      </w:pPr>
    </w:p>
    <w:p>
      <w:pPr>
        <w:jc w:val="both"/>
        <w:ind w:left="40" w:right="59" w:firstLine="324"/>
        <w:spacing w:after="0" w:line="290" w:lineRule="auto"/>
        <w:rPr>
          <w:sz w:val="20"/>
          <w:szCs w:val="20"/>
          <w:color w:val="auto"/>
        </w:rPr>
      </w:pPr>
      <w:r>
        <w:rPr>
          <w:rFonts w:ascii="Arial" w:cs="Arial" w:eastAsia="Arial" w:hAnsi="Arial"/>
          <w:sz w:val="16"/>
          <w:szCs w:val="16"/>
          <w:color w:val="auto"/>
        </w:rPr>
        <w:t>We received FDA approval for our NDA for tenapanor for the treatment of IBS-C in September 2019. However, we do not currently expect to commercialize tenapanor for IBS-C ourselves in the United States, and have not entered into a collaboration partnership for such commercialization. We have no other products approved for sale and have never generated any revenue from product sales. Our ability to generate revenue from product sales and achieve profitability depends on our ability to obtain the regulatory and marketing approvals necessary to commercialize tenapanor for the control of serum phosphorus in CKD patients on dialysis, either on our own or with one or more collaboration partners, and on our ability to successfully identify a collaboration partner for the commercialization of tenapanor for the treatment of IBS-C. There can be no assurances that we will generate product revenue from sales of tenapanor, either on our own,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or with a collaboration partner. Our ability to generate future revenue from product sales or pursuant to milestone payments depends heavily on many factors, including but not limited to:</w:t>
      </w:r>
    </w:p>
    <w:p>
      <w:pPr>
        <w:spacing w:after="0" w:line="157" w:lineRule="exact"/>
        <w:rPr>
          <w:sz w:val="20"/>
          <w:szCs w:val="20"/>
          <w:color w:val="auto"/>
        </w:rPr>
      </w:pPr>
    </w:p>
    <w:p>
      <w:pPr>
        <w:ind w:left="700" w:right="79" w:hanging="332"/>
        <w:spacing w:after="0" w:line="246" w:lineRule="auto"/>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obtaining regulatory approvals for tenapanor for the control of serum phosphorus in CKD patients on dialysis, either on our own or with one or more collaboration partners;</w:t>
      </w:r>
    </w:p>
    <w:p>
      <w:pPr>
        <w:spacing w:after="0" w:line="169"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for IBS-C in the United States;</w:t>
      </w:r>
    </w:p>
    <w:p>
      <w:pPr>
        <w:spacing w:after="0" w:line="169" w:lineRule="exact"/>
        <w:rPr>
          <w:rFonts w:ascii="Arial" w:cs="Arial" w:eastAsia="Arial" w:hAnsi="Arial"/>
          <w:sz w:val="18"/>
          <w:szCs w:val="18"/>
          <w:color w:val="231F20"/>
        </w:rPr>
      </w:pPr>
    </w:p>
    <w:p>
      <w:pPr>
        <w:jc w:val="both"/>
        <w:ind w:left="700" w:right="79" w:hanging="332"/>
        <w:spacing w:after="0" w:line="235" w:lineRule="auto"/>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which has been approved by the FDA for the treatment of IBS-C, and/or tenapanor for the control of serum phosphorus in CKD patients on dialysis, if approved, either on our own or with one or more collaboration partners;</w:t>
      </w:r>
    </w:p>
    <w:p>
      <w:pPr>
        <w:spacing w:after="0" w:line="174" w:lineRule="exact"/>
        <w:rPr>
          <w:rFonts w:ascii="Arial" w:cs="Arial" w:eastAsia="Arial" w:hAnsi="Arial"/>
          <w:sz w:val="18"/>
          <w:szCs w:val="18"/>
          <w:color w:val="231F20"/>
        </w:rPr>
      </w:pPr>
    </w:p>
    <w:p>
      <w:pPr>
        <w:jc w:val="both"/>
        <w:ind w:left="700" w:right="79" w:hanging="332"/>
        <w:spacing w:after="0" w:line="231" w:lineRule="auto"/>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developing a sustainable and scalable manufacturing process for tenapanor and establishing and maintaining supply and manufacturing relationships with third parties that can provide an adequate (in amount and quality) supply of product to support the market demand for tenapanor for the treatment of IBS-C, and/or, if approved, tenapanor for the control of serum phosphorus in CKD patients on dialysis;</w:t>
      </w:r>
    </w:p>
    <w:p>
      <w:pPr>
        <w:spacing w:after="0" w:line="175"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obtaining market acceptance of tenapanor as a viable treatment option for the indications for which it is approved and commercialized;</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addressing any competing technological and market developments;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identifying, assessing, acquiring, in-licensing and/or developing new product candidates;</w:t>
      </w:r>
    </w:p>
    <w:p>
      <w:pPr>
        <w:spacing w:after="0" w:line="198"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negotiating favorable terms in any collaboration partnership, licensing or other arrangements into which we may enter;</w:t>
      </w:r>
    </w:p>
    <w:p>
      <w:pPr>
        <w:spacing w:after="0" w:line="169" w:lineRule="exact"/>
        <w:rPr>
          <w:rFonts w:ascii="Arial" w:cs="Arial" w:eastAsia="Arial" w:hAnsi="Arial"/>
          <w:sz w:val="18"/>
          <w:szCs w:val="18"/>
          <w:color w:val="231F20"/>
        </w:rPr>
      </w:pPr>
    </w:p>
    <w:p>
      <w:pPr>
        <w:jc w:val="both"/>
        <w:ind w:left="700" w:right="79" w:hanging="332"/>
        <w:spacing w:after="0" w:line="235" w:lineRule="auto"/>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74" w:lineRule="exact"/>
        <w:rPr>
          <w:rFonts w:ascii="Arial" w:cs="Arial" w:eastAsia="Arial" w:hAnsi="Arial"/>
          <w:sz w:val="18"/>
          <w:szCs w:val="18"/>
          <w:color w:val="231F20"/>
        </w:rPr>
      </w:pPr>
    </w:p>
    <w:p>
      <w:pPr>
        <w:ind w:left="700" w:hanging="332"/>
        <w:spacing w:after="0"/>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attracting, hiring, and retaining qualified personnel.</w:t>
      </w:r>
    </w:p>
    <w:p>
      <w:pPr>
        <w:spacing w:after="0" w:line="212" w:lineRule="exact"/>
        <w:rPr>
          <w:sz w:val="20"/>
          <w:szCs w:val="20"/>
          <w:color w:val="auto"/>
        </w:rPr>
      </w:pPr>
    </w:p>
    <w:p>
      <w:pPr>
        <w:jc w:val="both"/>
        <w:ind w:left="40" w:right="59" w:firstLine="324"/>
        <w:spacing w:after="0" w:line="285" w:lineRule="auto"/>
        <w:rPr>
          <w:sz w:val="20"/>
          <w:szCs w:val="20"/>
          <w:color w:val="auto"/>
        </w:rPr>
      </w:pPr>
      <w:r>
        <w:rPr>
          <w:rFonts w:ascii="Arial" w:cs="Arial" w:eastAsia="Arial" w:hAnsi="Arial"/>
          <w:sz w:val="16"/>
          <w:szCs w:val="16"/>
          <w:color w:val="auto"/>
        </w:rPr>
        <w:t>In cases where we are successful in obtaining regulatory approvals to market tenapanor for one or more indications, our revenue will be dependent, in part, upon the size of the markets in the territories for which regulatory approval is granted, our ability to identify a collaboration partner and negotiate acceptable terms for a collaboration partnership for the commercialization of tenapanor for the IBS-C indication in the United States, the accepted price for the product, the ability to get reimbursement at any price and whether we are commercializing the product or the product is being commercialized by a collaboration partner, and in such case, whether we have royalty and/or co-promotion rights for that territory, and whether any royalty we have a right to receive from a collaboration partner is in excess of the royalty we owe AstraZeneca as a result of the termination of our License Agreement with AstraZeneca in 2015. See NOTE 13, COLLABORATION AND LICENSING AGREEMENTS, in the notes to our financial statements, included in Part II, Item 8, of this Annual Report on Form 10-K, for details on our obligations to AstraZeneca. While there is significant uncertainty related to the insurance coverage and reimbursement of newly approved products in general in the United States, there is additional uncertainty related to insurance coverage and reimbursement for drugs, like tenapanor, which, if approved, will be marketed for the control of serum phosphorus in CKD patients on dialysis. If we are successful in obtaining regulatory approval to market tenapanor for the control of serum phosphorus in CKD patients on dialysis, our ability to generate and sustain future revenues from sales of tenapanor for such indication, may be dependent upon whether tenapanor, along with other oral only drugs for CKD patients on dialysis, are bundled into the ESRD Prospective Payment System beginning in 2025, and the manner in which such introduction into the ESRD Prospective Payment System may occur. See “</w:t>
      </w:r>
      <w:r>
        <w:rPr>
          <w:rFonts w:ascii="Arial" w:cs="Arial" w:eastAsia="Arial" w:hAnsi="Arial"/>
          <w:sz w:val="16"/>
          <w:szCs w:val="16"/>
          <w:b w:val="1"/>
          <w:bCs w:val="1"/>
          <w:i w:val="1"/>
          <w:iCs w:val="1"/>
          <w:color w:val="auto"/>
        </w:rPr>
        <w:t>Third-party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payor coverage and reimbursement status of newly-approved products is uncertain. Failure 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b w:val="1"/>
          <w:bCs w:val="1"/>
          <w:i w:val="1"/>
          <w:iCs w:val="1"/>
          <w:color w:val="auto"/>
        </w:rPr>
        <w:t xml:space="preserve">obtain or maintain adequate coverage and reimbursement for our products, if approved, could limit our ability to market those products and decrease our ability to generate revenue” </w:t>
      </w:r>
      <w:r>
        <w:rPr>
          <w:rFonts w:ascii="Arial" w:cs="Arial" w:eastAsia="Arial" w:hAnsi="Arial"/>
          <w:sz w:val="17"/>
          <w:szCs w:val="17"/>
          <w:color w:val="auto"/>
        </w:rPr>
        <w:t>below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Additionally, if the number of patients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suitable for tenapanor is not as significant as we estimate, the indication approved by regulatory authorities is narrower than we expect, coverage and reimbursement for tenapanor are not available in the manner and to the extent which we expect, or the reasonably accepted population for treatment is narrowed by competition, physician choice or treatment guidelines, we may not generate significant revenue from the sale of tenapanor, even if approved. Even if we achieve profitability in the future, we may not be able to sustain profitability in subsequent periods. Our failure to generate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18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30"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On May 16, 2018, we entered into a loan and security agreement with Solar Capital, Ltd. and Western Alliance Bank, or collectively the Lenders, pursuant to which the Lenders agreed to provide us a $50.0 million term loan facility with a maturity date of November 1, 2022. The full amount of the loan was funded on May 16, 2018. Until we have repaid such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182"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 xml:space="preserve">We are permitted to make interest only payments on the loan facility through December 1, 2020. However,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Lenders determine that a material adverse change has occurred; we or our assets become subject to certain legal proceedings, such as bankruptcy proceedings; we are unable to pay our debts as they become due; or we default on contracts with third parties which would permit </w:t>
      </w:r>
      <w:r>
        <w:rPr>
          <w:rFonts w:ascii="Arial" w:cs="Arial" w:eastAsia="Arial" w:hAnsi="Arial"/>
          <w:sz w:val="14"/>
          <w:szCs w:val="14"/>
          <w:color w:val="auto"/>
        </w:rPr>
        <w:t>the</w:t>
      </w:r>
      <w:r>
        <w:rPr>
          <w:rFonts w:ascii="Arial" w:cs="Arial" w:eastAsia="Arial" w:hAnsi="Arial"/>
          <w:sz w:val="16"/>
          <w:szCs w:val="16"/>
          <w:color w:val="auto"/>
        </w:rPr>
        <w:t xml:space="preserve"> Lenders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The Lenders could also exercise their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167"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and the inability to access this necessary capital when needed on acceptable terms, or at all, could force us to delay, limit, reduce or terminate our pre-commercialization efforts for tenapanor and our other product development and platform development activities.</w:t>
      </w:r>
    </w:p>
    <w:p>
      <w:pPr>
        <w:spacing w:after="0" w:line="149" w:lineRule="exact"/>
        <w:rPr>
          <w:sz w:val="20"/>
          <w:szCs w:val="20"/>
          <w:color w:val="auto"/>
        </w:rPr>
      </w:pPr>
    </w:p>
    <w:p>
      <w:pPr>
        <w:jc w:val="both"/>
        <w:ind w:left="40" w:right="59" w:firstLine="324"/>
        <w:spacing w:after="0" w:line="291" w:lineRule="auto"/>
        <w:rPr>
          <w:sz w:val="20"/>
          <w:szCs w:val="20"/>
          <w:color w:val="auto"/>
        </w:rPr>
      </w:pPr>
      <w:r>
        <w:rPr>
          <w:rFonts w:ascii="Arial" w:cs="Arial" w:eastAsia="Arial" w:hAnsi="Arial"/>
          <w:sz w:val="16"/>
          <w:szCs w:val="16"/>
          <w:color w:val="auto"/>
        </w:rPr>
        <w:t>Since our inception, most of our resources have been dedicated to our research and development activities, including developing our clinical product candidate tenapanor and developing our proprietary drug discovery and design platform. We believe that we will continue to expend substantial resources for the foreseeable future, including costs associated with the preparation and submission of the NDA for, and, if approved, the commercialization of tenapanor for the control of serum phosphorus in CKD patients on dialysis, research and development, conducting preclinical studies and clinical trials for our other programs, obtaining regulatory approvals, developing and maintaining scalable manufacturing processes for our product candidates and sales and marketing. Because the outcome of any clinical trial and/or regulatory approval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process is highly uncertain, we cannot reasonably estimate the actual amounts necessary to successfully complete the development, regulatory approval process and commercialization or co-promotion of any of our product candidates. Our future funding requirements will depend on many factors, including, but not limited to:</w:t>
      </w:r>
    </w:p>
    <w:p>
      <w:pPr>
        <w:spacing w:after="0" w:line="170" w:lineRule="exact"/>
        <w:rPr>
          <w:sz w:val="20"/>
          <w:szCs w:val="20"/>
          <w:color w:val="auto"/>
        </w:rPr>
      </w:pPr>
    </w:p>
    <w:p>
      <w:pPr>
        <w:ind w:left="700" w:right="79" w:hanging="332"/>
        <w:spacing w:after="0" w:line="246" w:lineRule="auto"/>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preparation and submission of an NDA with the FDA to request marketing authorization for tenapanor for the control of serum phosphorus in CKD patients on dialysis;</w:t>
      </w:r>
    </w:p>
    <w:p>
      <w:pPr>
        <w:spacing w:after="0" w:line="169"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in IBS-C in the United States;</w:t>
      </w:r>
    </w:p>
    <w:p>
      <w:pPr>
        <w:spacing w:after="0" w:line="169" w:lineRule="exact"/>
        <w:rPr>
          <w:rFonts w:ascii="Arial" w:cs="Arial" w:eastAsia="Arial" w:hAnsi="Arial"/>
          <w:sz w:val="18"/>
          <w:szCs w:val="18"/>
          <w:color w:val="231F20"/>
        </w:rPr>
      </w:pPr>
    </w:p>
    <w:p>
      <w:pPr>
        <w:jc w:val="both"/>
        <w:ind w:left="700" w:right="59" w:hanging="332"/>
        <w:spacing w:after="0" w:line="231" w:lineRule="auto"/>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which has been approved by the FDA for the treatment of patients with IBS-C, with one or more collaboration partners; and, our ability to successfully commercialize tenapanor for the control of serum phosphorus in CKD patients on dialysis, if approved, either alone or with one or more collaboration partners;</w:t>
      </w:r>
    </w:p>
    <w:p>
      <w:pPr>
        <w:spacing w:after="0" w:line="175"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69"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selling and marketing costs associated with tenapanor, including the cost and timing of building our sales and marketing capabilities;</w:t>
      </w:r>
    </w:p>
    <w:p>
      <w:pPr>
        <w:spacing w:after="0" w:line="169" w:lineRule="exact"/>
        <w:rPr>
          <w:rFonts w:ascii="Arial" w:cs="Arial" w:eastAsia="Arial" w:hAnsi="Arial"/>
          <w:sz w:val="18"/>
          <w:szCs w:val="18"/>
          <w:color w:val="231F20"/>
        </w:rPr>
      </w:pPr>
    </w:p>
    <w:p>
      <w:pPr>
        <w:jc w:val="both"/>
        <w:ind w:left="700" w:right="79" w:hanging="332"/>
        <w:spacing w:after="0" w:line="235" w:lineRule="auto"/>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74" w:lineRule="exact"/>
        <w:rPr>
          <w:rFonts w:ascii="Arial" w:cs="Arial" w:eastAsia="Arial" w:hAnsi="Arial"/>
          <w:sz w:val="18"/>
          <w:szCs w:val="18"/>
          <w:color w:val="231F20"/>
        </w:rPr>
      </w:pPr>
    </w:p>
    <w:p>
      <w:pPr>
        <w:ind w:left="700" w:hanging="332"/>
        <w:spacing w:after="0"/>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timing, receipt, and amount of sales of, or royalties on, tenapanor, if any;</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sales price and the availability of adequate third-party reimbursement for tenapanor, if approved;</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cash requirements of any future acquisitions or discovery of product candidates;</w:t>
      </w:r>
    </w:p>
    <w:p>
      <w:pPr>
        <w:spacing w:after="0" w:line="198"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 including RDX013;</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time and cost necessary to respond to technological and market developments;</w:t>
      </w:r>
    </w:p>
    <w:p>
      <w:pPr>
        <w:spacing w:after="0" w:line="198" w:lineRule="exact"/>
        <w:rPr>
          <w:rFonts w:ascii="Arial" w:cs="Arial" w:eastAsia="Arial" w:hAnsi="Arial"/>
          <w:sz w:val="18"/>
          <w:szCs w:val="18"/>
          <w:color w:val="231F20"/>
        </w:rPr>
      </w:pPr>
    </w:p>
    <w:p>
      <w:pPr>
        <w:jc w:val="both"/>
        <w:ind w:left="700" w:right="59" w:hanging="332"/>
        <w:spacing w:after="0" w:line="231" w:lineRule="auto"/>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75"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payment of interest and principal related to our loan and security agreement entered into with Solar Capital Ltd. and Western Alliance Bank during May 2018.</w:t>
      </w:r>
    </w:p>
    <w:p>
      <w:pPr>
        <w:spacing w:after="0" w:line="183" w:lineRule="exact"/>
        <w:rPr>
          <w:sz w:val="20"/>
          <w:szCs w:val="20"/>
          <w:color w:val="auto"/>
        </w:rPr>
      </w:pPr>
    </w:p>
    <w:p>
      <w:pPr>
        <w:jc w:val="both"/>
        <w:ind w:left="40" w:right="59" w:firstLine="324"/>
        <w:spacing w:after="0" w:line="293" w:lineRule="auto"/>
        <w:rPr>
          <w:sz w:val="20"/>
          <w:szCs w:val="20"/>
          <w:color w:val="auto"/>
        </w:rPr>
      </w:pPr>
      <w:r>
        <w:rPr>
          <w:rFonts w:ascii="Arial" w:cs="Arial" w:eastAsia="Arial" w:hAnsi="Arial"/>
          <w:sz w:val="16"/>
          <w:szCs w:val="16"/>
          <w:color w:val="auto"/>
        </w:rPr>
        <w:t>Additional funds may not be available when we need them on terms that are acceptable to us, or at all. If adequate funds are not available to us on a timely basis, we may be required to delay, limit, reduce or terminate our research activities, preclinical and clinical trials for our product candidates and our establishment and maintenance of sales and marketing capabilities or other activities that may be necessary to commercialize tenapanor, either alone or with collaboration partners. Additionally, our inability to access capital on a timely basis and on terms that are acceptable to us may force us to restructure certain aspects of our business or identify and complete one or more strategic collaborations or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other transactions in order to fund the development or commercialization of tenapanor or certain of our product candidates through the use of alternative structures.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tenapanor, which may not receive regulatory approval for the control of serum phosphorus or be successfully commercialized for IBS-C or hyperphosphatemia.</w:t>
      </w:r>
    </w:p>
    <w:p>
      <w:pPr>
        <w:spacing w:after="0" w:line="184"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To date, we have invested a significant amount of our efforts and financial resources in the research and development of tenapanor, which is currently our lead product candidate. The clinical and commercial success of tenapanor will depend on a number of factors, including the following:</w:t>
      </w:r>
    </w:p>
    <w:p>
      <w:pPr>
        <w:spacing w:after="0" w:line="170" w:lineRule="exact"/>
        <w:rPr>
          <w:sz w:val="20"/>
          <w:szCs w:val="20"/>
          <w:color w:val="auto"/>
        </w:rPr>
      </w:pPr>
    </w:p>
    <w:p>
      <w:pPr>
        <w:ind w:left="700" w:right="59" w:hanging="332"/>
        <w:spacing w:after="0" w:line="246" w:lineRule="auto"/>
        <w:tabs>
          <w:tab w:leader="none" w:pos="70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our ability to, in a timely manner and under terms that are acceptable to us, establish a collaboration partnership for the commercialization of tenapanor for the treatment of IBS-C in the United States;</w:t>
      </w:r>
    </w:p>
    <w:p>
      <w:pPr>
        <w:spacing w:after="0" w:line="169" w:lineRule="exact"/>
        <w:rPr>
          <w:rFonts w:ascii="Arial" w:cs="Arial" w:eastAsia="Arial" w:hAnsi="Arial"/>
          <w:sz w:val="18"/>
          <w:szCs w:val="18"/>
          <w:color w:val="231F20"/>
        </w:rPr>
      </w:pPr>
    </w:p>
    <w:p>
      <w:pPr>
        <w:jc w:val="both"/>
        <w:ind w:left="700" w:right="59" w:hanging="332"/>
        <w:spacing w:after="0" w:line="231" w:lineRule="auto"/>
        <w:tabs>
          <w:tab w:leader="none" w:pos="70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the ability of the third-party manufacturers we contract with to successfully execute and scale up the manufacturing processes for tenapanor, which has not yet been fully demonstrated, and to manufacture supplies of tenapanor and to develop, validate and maintain commercially viable manufacturing processes that are compliant with cGMP requirements;</w:t>
      </w:r>
    </w:p>
    <w:p>
      <w:pPr>
        <w:spacing w:after="0" w:line="175" w:lineRule="exact"/>
        <w:rPr>
          <w:rFonts w:ascii="Arial" w:cs="Arial" w:eastAsia="Arial" w:hAnsi="Arial"/>
          <w:sz w:val="18"/>
          <w:szCs w:val="18"/>
          <w:color w:val="231F20"/>
        </w:rPr>
      </w:pPr>
    </w:p>
    <w:p>
      <w:pPr>
        <w:jc w:val="both"/>
        <w:ind w:left="700" w:right="79" w:hanging="332"/>
        <w:spacing w:after="0" w:line="235" w:lineRule="auto"/>
        <w:tabs>
          <w:tab w:leader="none" w:pos="70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whether the FDA requires us to conduct clinical trials in addition to those anticipated prior to approval to market tenapanor for the control of serum phosphorus, which could delay the commercialization of tenapanor for the control of serum phosphorus in CKD patients on dialysis in the U.S;</w:t>
      </w:r>
    </w:p>
    <w:p>
      <w:pPr>
        <w:spacing w:after="0" w:line="174" w:lineRule="exact"/>
        <w:rPr>
          <w:rFonts w:ascii="Arial" w:cs="Arial" w:eastAsia="Arial" w:hAnsi="Arial"/>
          <w:sz w:val="18"/>
          <w:szCs w:val="18"/>
          <w:color w:val="231F20"/>
        </w:rPr>
      </w:pPr>
    </w:p>
    <w:p>
      <w:pPr>
        <w:jc w:val="both"/>
        <w:ind w:left="700" w:right="79" w:hanging="332"/>
        <w:spacing w:after="0" w:line="235" w:lineRule="auto"/>
        <w:tabs>
          <w:tab w:leader="none" w:pos="70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whether or not the content of the label approved by the FDA or foreign regulatory authorities may materially and adversely impact our ability the ability of our collaboration partners to commercialize the product for the approved indication, or for any other indication;</w:t>
      </w:r>
    </w:p>
    <w:p>
      <w:pPr>
        <w:spacing w:after="0" w:line="174"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whether we will be required to conduct clinical trials in addition to those anticipated to obtain adequate commercial pricing;</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the prevalence and severity of adverse side effects of tenapanor;</w:t>
      </w:r>
    </w:p>
    <w:p>
      <w:pPr>
        <w:spacing w:after="0" w:line="198"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whether tenapanor’s safety and efficacy profile is satisfactory to the FDA and foreign regulatory authorities to gain marketing approval for the control of serum phosphorus;</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the timely receipt of necessary marketing approvals from the FDA and foreign regulatory authorities;</w:t>
      </w:r>
    </w:p>
    <w:p>
      <w:pPr>
        <w:spacing w:after="0" w:line="198" w:lineRule="exact"/>
        <w:rPr>
          <w:rFonts w:ascii="Arial" w:cs="Arial" w:eastAsia="Arial" w:hAnsi="Arial"/>
          <w:sz w:val="18"/>
          <w:szCs w:val="18"/>
          <w:color w:val="231F20"/>
        </w:rPr>
      </w:pPr>
    </w:p>
    <w:p>
      <w:pPr>
        <w:jc w:val="both"/>
        <w:ind w:left="700" w:right="59" w:hanging="332"/>
        <w:spacing w:after="0" w:line="235" w:lineRule="auto"/>
        <w:tabs>
          <w:tab w:leader="none" w:pos="70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174" w:lineRule="exact"/>
        <w:rPr>
          <w:rFonts w:ascii="Arial" w:cs="Arial" w:eastAsia="Arial" w:hAnsi="Arial"/>
          <w:sz w:val="18"/>
          <w:szCs w:val="18"/>
          <w:color w:val="231F20"/>
        </w:rPr>
      </w:pPr>
    </w:p>
    <w:p>
      <w:pPr>
        <w:ind w:left="700" w:hanging="332"/>
        <w:spacing w:after="0"/>
        <w:tabs>
          <w:tab w:leader="none" w:pos="70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achieving and maintaining compliance with all regulatory requirements applicable to tenapanor;</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acceptance of tenapanor as safe, effective and well-tolerated by patients and the medical community;</w:t>
      </w:r>
    </w:p>
    <w:p>
      <w:pPr>
        <w:spacing w:after="0" w:line="198" w:lineRule="exact"/>
        <w:rPr>
          <w:rFonts w:ascii="Arial" w:cs="Arial" w:eastAsia="Arial" w:hAnsi="Arial"/>
          <w:sz w:val="18"/>
          <w:szCs w:val="18"/>
          <w:color w:val="231F20"/>
        </w:rPr>
      </w:pPr>
    </w:p>
    <w:p>
      <w:pPr>
        <w:jc w:val="both"/>
        <w:ind w:left="700" w:right="79" w:hanging="332"/>
        <w:spacing w:after="0" w:line="276" w:lineRule="auto"/>
        <w:tabs>
          <w:tab w:leader="none" w:pos="700" w:val="left"/>
        </w:tabs>
        <w:numPr>
          <w:ilvl w:val="0"/>
          <w:numId w:val="13"/>
        </w:numPr>
        <w:rPr>
          <w:rFonts w:ascii="Arial" w:cs="Arial" w:eastAsia="Arial" w:hAnsi="Arial"/>
          <w:sz w:val="16"/>
          <w:szCs w:val="16"/>
          <w:color w:val="231F20"/>
        </w:rPr>
      </w:pPr>
      <w:r>
        <w:rPr>
          <w:rFonts w:ascii="Arial" w:cs="Arial" w:eastAsia="Arial" w:hAnsi="Arial"/>
          <w:sz w:val="16"/>
          <w:szCs w:val="16"/>
          <w:color w:val="auto"/>
        </w:rPr>
        <w:t>our ability, alone or with collaboration partners, to manage the complex pricing and reimbursement negotiations associated with marketing the same product at different doses for separate indications for tenapanor for the treatment of IBS-C, and, if approved, for the control of serum phosphorus in CKD patients on dialysis;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700" w:right="79" w:hanging="332"/>
        <w:spacing w:after="0" w:line="246" w:lineRule="auto"/>
        <w:tabs>
          <w:tab w:leader="none" w:pos="70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availability, perceived advantages, relative cost, relative safety and relative efficacy of tenapanor compared to alternative and competing treatments;</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14"/>
        </w:numPr>
        <w:rPr>
          <w:rFonts w:ascii="Arial" w:cs="Arial" w:eastAsia="Arial" w:hAnsi="Arial"/>
          <w:sz w:val="16"/>
          <w:szCs w:val="16"/>
          <w:color w:val="231F20"/>
        </w:rPr>
      </w:pPr>
      <w:r>
        <w:rPr>
          <w:rFonts w:ascii="Arial" w:cs="Arial" w:eastAsia="Arial" w:hAnsi="Arial"/>
          <w:sz w:val="16"/>
          <w:szCs w:val="16"/>
          <w:color w:val="auto"/>
        </w:rPr>
        <w:t>obtaining and sustaining an adequate level of coverage and reimbursement for tenapanor by third-party payors;</w:t>
      </w:r>
    </w:p>
    <w:p>
      <w:pPr>
        <w:spacing w:after="0" w:line="221" w:lineRule="exact"/>
        <w:rPr>
          <w:rFonts w:ascii="Arial" w:cs="Arial" w:eastAsia="Arial" w:hAnsi="Arial"/>
          <w:sz w:val="16"/>
          <w:szCs w:val="16"/>
          <w:color w:val="231F20"/>
        </w:rPr>
      </w:pPr>
    </w:p>
    <w:p>
      <w:pPr>
        <w:ind w:left="700" w:hanging="332"/>
        <w:spacing w:after="0"/>
        <w:tabs>
          <w:tab w:leader="none" w:pos="70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enforcing intellectual property rights in and to tenapanor;</w:t>
      </w:r>
    </w:p>
    <w:p>
      <w:pPr>
        <w:spacing w:after="0" w:line="198"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a continued acceptable safety and tolerability profile of tenapanor following approval.</w:t>
      </w:r>
    </w:p>
    <w:p>
      <w:pPr>
        <w:spacing w:after="0" w:line="212"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As tenapanor is a first-in-class drug, there is a higher likelihood that approval may not be attained as compared to a class of drugs with approved products. Although tenapanor met the primary endpoints in all of the three Phase 3 clinical trials evaluating tenapanor for the control of serum phosphorus in CKD patients on dialysis, there can be no assurances that we will receive regulatory approval to market tenapanor for the control of serum phosphorus in CKD patients on dialysis. Further, it may not be possible or practicable to demonstrate, or if approved, to market tenapanor on the basis of certain of the benefits we believe tenapanor possesses. If the number of patients in the market for tenapanor or the price that the market can bear is not as significant as we estimate, or if we are not able to secure adequate coverage and reimbursement for tenapanor, we may not generate sufficient revenue from sales of tenapanor for the control of serum phosphorus, if approved, or for IBS-C. Additionally, we may not be successful in establishing a collaboration partnership for the commercialization of tenapanor for the treatment of IBS-C in the United States in a timely manner and under terms that are acceptable to us. Accordingly, there can be no assurance that tenapanor will ever be successfully commercialized or that we will ever generate income from sales of tenapanor. If we are not successful in completing the NDA submission for, and obtaining approval for, tenapanor for the control of serum phosphorus, or we are not successful in commercializing tenapanor, or are significantly delayed in doing so, our business will be materially harmed.</w:t>
      </w:r>
    </w:p>
    <w:p>
      <w:pPr>
        <w:spacing w:after="0" w:line="171" w:lineRule="exact"/>
        <w:rPr>
          <w:sz w:val="20"/>
          <w:szCs w:val="20"/>
          <w:color w:val="auto"/>
        </w:rPr>
      </w:pPr>
    </w:p>
    <w:p>
      <w:pPr>
        <w:jc w:val="both"/>
        <w:ind w:left="40" w:right="59" w:firstLine="324"/>
        <w:spacing w:after="0" w:line="327" w:lineRule="auto"/>
        <w:rPr>
          <w:sz w:val="20"/>
          <w:szCs w:val="20"/>
          <w:color w:val="auto"/>
        </w:rPr>
      </w:pPr>
      <w:r>
        <w:rPr>
          <w:rFonts w:ascii="Arial" w:cs="Arial" w:eastAsia="Arial" w:hAnsi="Arial"/>
          <w:sz w:val="15"/>
          <w:szCs w:val="15"/>
          <w:b w:val="1"/>
          <w:bCs w:val="1"/>
          <w:i w:val="1"/>
          <w:iCs w:val="1"/>
          <w:color w:val="auto"/>
        </w:rPr>
        <w:t>Even if we are successful in obtaining regulatory approval for tenapanor for the control of serum phosphorus, and tenapanor is ultimately commercialized for any approved indications, tenapanor may never achieve market acceptance, sufficient third-party coverage or reimbursement, or commercial success, which will depend, in part, upon the degree of acceptance among physicians, patients, patient advocacy groups, health care payors and the medical community.</w:t>
      </w:r>
    </w:p>
    <w:p>
      <w:pPr>
        <w:spacing w:after="0" w:line="140" w:lineRule="exact"/>
        <w:rPr>
          <w:sz w:val="20"/>
          <w:szCs w:val="20"/>
          <w:color w:val="auto"/>
        </w:rPr>
      </w:pPr>
    </w:p>
    <w:p>
      <w:pPr>
        <w:jc w:val="both"/>
        <w:ind w:left="40" w:right="59" w:firstLine="324"/>
        <w:spacing w:after="0" w:line="279" w:lineRule="auto"/>
        <w:rPr>
          <w:sz w:val="20"/>
          <w:szCs w:val="20"/>
          <w:color w:val="auto"/>
        </w:rPr>
      </w:pPr>
      <w:r>
        <w:rPr>
          <w:rFonts w:ascii="Arial" w:cs="Arial" w:eastAsia="Arial" w:hAnsi="Arial"/>
          <w:sz w:val="17"/>
          <w:szCs w:val="17"/>
          <w:color w:val="auto"/>
        </w:rPr>
        <w:t>Even if we are successful in obtaining regulatory approval for tenapanor for the control of serum phosphorus, and tenapanor is ultimately commercialized for any approved indications, tenapanor may not achieve market acceptance among physicians, patients, third-party payors, patient advocacy groups, and the medical community. Market acceptance of tenapanor, in the event that marketing approval is obtained, depends on a number of factors, including:</w:t>
      </w:r>
    </w:p>
    <w:p>
      <w:pPr>
        <w:spacing w:after="0" w:line="117" w:lineRule="exact"/>
        <w:rPr>
          <w:sz w:val="20"/>
          <w:szCs w:val="20"/>
          <w:color w:val="auto"/>
        </w:rPr>
      </w:pPr>
    </w:p>
    <w:p>
      <w:pPr>
        <w:jc w:val="both"/>
        <w:ind w:left="700" w:right="59" w:hanging="332"/>
        <w:spacing w:after="0" w:line="231"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tenapanor for IBS-C in the United States, our ability to obtain a collaboration partner for commercialization and the strength of such collaboration partner’s financial resources and marketing and distribution organizations, as well as the commitment of such collaboration partner’s sales organization to tenapanor;</w:t>
      </w:r>
    </w:p>
    <w:p>
      <w:pPr>
        <w:spacing w:after="0" w:line="134" w:lineRule="exact"/>
        <w:rPr>
          <w:rFonts w:ascii="Arial" w:cs="Arial" w:eastAsia="Arial" w:hAnsi="Arial"/>
          <w:sz w:val="18"/>
          <w:szCs w:val="18"/>
          <w:color w:val="auto"/>
        </w:rPr>
      </w:pPr>
    </w:p>
    <w:p>
      <w:pPr>
        <w:ind w:left="700" w:hanging="33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efficacy demonstrated in our clinical trials;</w:t>
      </w:r>
    </w:p>
    <w:p>
      <w:pPr>
        <w:spacing w:after="0" w:line="157" w:lineRule="exact"/>
        <w:rPr>
          <w:rFonts w:ascii="Arial" w:cs="Arial" w:eastAsia="Arial" w:hAnsi="Arial"/>
          <w:sz w:val="18"/>
          <w:szCs w:val="18"/>
          <w:color w:val="auto"/>
        </w:rPr>
      </w:pPr>
    </w:p>
    <w:p>
      <w:pPr>
        <w:jc w:val="both"/>
        <w:ind w:left="700" w:right="59" w:hanging="332"/>
        <w:spacing w:after="0" w:line="235"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tenapanor for the control of serum phosphorus, whether tenapanor, along with other oral only medications, are included in the bundled prospective payment system for the treatment of ESRD patients, and the manner in which such transition is achieved;</w:t>
      </w:r>
    </w:p>
    <w:p>
      <w:pPr>
        <w:spacing w:after="0" w:line="134" w:lineRule="exact"/>
        <w:rPr>
          <w:rFonts w:ascii="Arial" w:cs="Arial" w:eastAsia="Arial" w:hAnsi="Arial"/>
          <w:sz w:val="18"/>
          <w:szCs w:val="18"/>
          <w:color w:val="auto"/>
        </w:rPr>
      </w:pPr>
    </w:p>
    <w:p>
      <w:pPr>
        <w:ind w:left="700" w:hanging="33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overall safety and tolerability profile of the product;</w:t>
      </w:r>
    </w:p>
    <w:p>
      <w:pPr>
        <w:spacing w:after="0" w:line="157" w:lineRule="exact"/>
        <w:rPr>
          <w:rFonts w:ascii="Arial" w:cs="Arial" w:eastAsia="Arial" w:hAnsi="Arial"/>
          <w:sz w:val="18"/>
          <w:szCs w:val="18"/>
          <w:color w:val="auto"/>
        </w:rPr>
      </w:pPr>
    </w:p>
    <w:p>
      <w:pPr>
        <w:ind w:left="700" w:hanging="33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clinical indications for which it is approved;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700" w:right="79" w:hanging="332"/>
        <w:spacing w:after="0" w:line="246"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advantages over new or traditional or existing therapies, including recently approved therapies or therapies that the physician community anticipate will be approved;</w:t>
      </w:r>
    </w:p>
    <w:p>
      <w:pPr>
        <w:spacing w:after="0" w:line="129" w:lineRule="exact"/>
        <w:rPr>
          <w:rFonts w:ascii="Arial" w:cs="Arial" w:eastAsia="Arial" w:hAnsi="Arial"/>
          <w:sz w:val="18"/>
          <w:szCs w:val="18"/>
          <w:color w:val="auto"/>
        </w:rPr>
      </w:pPr>
    </w:p>
    <w:p>
      <w:pPr>
        <w:ind w:left="700" w:right="79" w:hanging="332"/>
        <w:spacing w:after="0" w:line="246"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physicians, major operators of clinics and patients of tenapanor as a safe, effective and well-tolerated treatment;</w:t>
      </w:r>
    </w:p>
    <w:p>
      <w:pPr>
        <w:spacing w:after="0" w:line="129"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tenapanor;</w:t>
      </w:r>
    </w:p>
    <w:p>
      <w:pPr>
        <w:spacing w:after="0" w:line="157" w:lineRule="exact"/>
        <w:rPr>
          <w:rFonts w:ascii="Arial" w:cs="Arial" w:eastAsia="Arial" w:hAnsi="Arial"/>
          <w:sz w:val="18"/>
          <w:szCs w:val="18"/>
          <w:color w:val="auto"/>
        </w:rPr>
      </w:pPr>
    </w:p>
    <w:p>
      <w:pPr>
        <w:ind w:left="700" w:right="79" w:hanging="332"/>
        <w:spacing w:after="0" w:line="246"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and perceived advantages of tenapanor over current treatment options or alternative treatments, including future alternative treatments;</w:t>
      </w:r>
    </w:p>
    <w:p>
      <w:pPr>
        <w:spacing w:after="0" w:line="129" w:lineRule="exact"/>
        <w:rPr>
          <w:rFonts w:ascii="Arial" w:cs="Arial" w:eastAsia="Arial" w:hAnsi="Arial"/>
          <w:sz w:val="18"/>
          <w:szCs w:val="18"/>
          <w:color w:val="auto"/>
        </w:rPr>
      </w:pPr>
    </w:p>
    <w:p>
      <w:pPr>
        <w:ind w:left="700" w:right="79" w:hanging="332"/>
        <w:spacing w:after="0" w:line="246"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and the willingness to pay for tenapanor, if approved, on the part of physicians and patients;</w:t>
      </w:r>
    </w:p>
    <w:p>
      <w:pPr>
        <w:spacing w:after="0" w:line="129"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alternative products and their ability to meet market demand; and</w:t>
      </w:r>
    </w:p>
    <w:p>
      <w:pPr>
        <w:spacing w:after="0" w:line="157"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w:t>
      </w:r>
    </w:p>
    <w:p>
      <w:pPr>
        <w:spacing w:after="0" w:line="171"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7"/>
          <w:szCs w:val="17"/>
          <w:color w:val="auto"/>
        </w:rPr>
        <w:t>Any failure by us to obtain a collaboration partner for the commercialization of tenapanor in the United States for IBS-C and any failure of tenapanor to achieve market acceptance, sufficient third-party coverage or reimbursement, or commercial success for any approved indications would adversely affect our results of operations.</w:t>
      </w:r>
    </w:p>
    <w:p>
      <w:pPr>
        <w:spacing w:after="0" w:line="165"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We currently have no sales organization. If we are unable to establish sales capabilities on our own or through third parties, we may not be able to commercialize tenapanor or any of our other product candidates.</w:t>
      </w:r>
    </w:p>
    <w:p>
      <w:pPr>
        <w:spacing w:after="0" w:line="146"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We currently do not have a sales organization. In order to commercialize or co-promote tenapanor for the treatment of IBS-C, we currently plan to seek a collaborative relationship with one or more third parties, rather than to build internal marketing, sales, distribution, managerial and other non-technical capabilities for the commercialization of tenapanor for IBS-C. There can be no assurances that we will be successful in establishing collaborative relationships in a timely manner or on terms that are acceptable to us, and if we fail to do so, we may choose to further delay, or delay indefinitely, the commercialization of tenapanor for IBS-C.</w:t>
      </w:r>
    </w:p>
    <w:p>
      <w:pPr>
        <w:spacing w:after="0" w:line="192" w:lineRule="exact"/>
        <w:rPr>
          <w:sz w:val="20"/>
          <w:szCs w:val="20"/>
          <w:color w:val="auto"/>
        </w:rPr>
      </w:pPr>
    </w:p>
    <w:p>
      <w:pPr>
        <w:jc w:val="both"/>
        <w:ind w:left="40" w:right="59" w:firstLine="324"/>
        <w:spacing w:after="0" w:line="290" w:lineRule="auto"/>
        <w:rPr>
          <w:sz w:val="20"/>
          <w:szCs w:val="20"/>
          <w:color w:val="auto"/>
        </w:rPr>
      </w:pPr>
      <w:r>
        <w:rPr>
          <w:rFonts w:ascii="Arial" w:cs="Arial" w:eastAsia="Arial" w:hAnsi="Arial"/>
          <w:sz w:val="16"/>
          <w:szCs w:val="16"/>
          <w:color w:val="auto"/>
        </w:rPr>
        <w:t>We currently plan to commercialize tenapanor for the control of serum phosphorus in CKD patients on dialysis, if approved, on our own. In order to do so, we will need to establish an appropriate sales organization with technical expertise, as well as supporting distribution capabilities. This will be expensive and time consuming. As a company, we have no prior experience in the marketing, sale and distribution of pharmaceutical products and there are significant risks involved in building and managing a sales organization, including our ability to secure the capital necessary to fund such efforts on acceptable terms,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w:t>
      </w:r>
    </w:p>
    <w:p>
      <w:pPr>
        <w:spacing w:after="0" w:line="165"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If we fail or are delayed in the development of our internal sales, marketing and distribution capabilities, we may choose to delay the commercialization tenapanor for the control of serum phosphorus, if approved, or such commercialization could be adversely impacted.</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Third-party payor coverage and reimbursement status of newly-approved products are uncertain. Failure to obtain or maintain adequate coverage and reimbursement for our products, if approved, could limit our ability to market those products and decrease our ability to generate revenue.</w:t>
      </w:r>
    </w:p>
    <w:p>
      <w:pPr>
        <w:spacing w:after="0" w:line="184" w:lineRule="exact"/>
        <w:rPr>
          <w:sz w:val="20"/>
          <w:szCs w:val="20"/>
          <w:color w:val="auto"/>
        </w:rPr>
      </w:pPr>
    </w:p>
    <w:p>
      <w:pPr>
        <w:jc w:val="both"/>
        <w:ind w:left="40" w:right="59" w:firstLine="324"/>
        <w:spacing w:after="0" w:line="296" w:lineRule="auto"/>
        <w:rPr>
          <w:sz w:val="20"/>
          <w:szCs w:val="20"/>
          <w:color w:val="auto"/>
        </w:rPr>
      </w:pPr>
      <w:r>
        <w:rPr>
          <w:rFonts w:ascii="Arial" w:cs="Arial" w:eastAsia="Arial" w:hAnsi="Arial"/>
          <w:sz w:val="16"/>
          <w:szCs w:val="16"/>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organizations, or reimbursed by government authorities, private health insurers, and other third-party payors. If coverage and reimbursement are not available, or are available only to limited levels, we, or our collaboration partners,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157"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or CMS, an agency within the U.S.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195" w:lineRule="exact"/>
        <w:rPr>
          <w:sz w:val="20"/>
          <w:szCs w:val="20"/>
          <w:color w:val="auto"/>
        </w:rPr>
      </w:pPr>
    </w:p>
    <w:p>
      <w:pPr>
        <w:jc w:val="both"/>
        <w:ind w:left="40" w:right="59" w:firstLine="324"/>
        <w:spacing w:after="0" w:line="268" w:lineRule="auto"/>
        <w:rPr>
          <w:sz w:val="20"/>
          <w:szCs w:val="20"/>
          <w:color w:val="auto"/>
        </w:rPr>
      </w:pPr>
      <w:r>
        <w:rPr>
          <w:rFonts w:ascii="Arial" w:cs="Arial" w:eastAsia="Arial" w:hAnsi="Arial"/>
          <w:sz w:val="17"/>
          <w:szCs w:val="17"/>
          <w:color w:val="auto"/>
        </w:rPr>
        <w:t>There is increased uncertainty related to insurance coverage and reimbursement for drugs, like tenapanor, which, if approved, will be marketed for the control of serum phosphorus in CKD patients on dialysis. In January 2011, CMS implemented a new prospective payment system for dialysis treatment. Under the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intravenous equivalents in the bundled payment was initially delayed until January 1, 2014 and through several subsequent legislative actions was delayed again January 1, 2025. As a result, absent further legislation on this matter, beginning in 2025, oral-only ESRD-related drugs may be included in the ESRD bundle and separate Medicare payment for these drugs will no longer be available, as is the case today under Medicare Part D. While it is too early to project the full impact that bundling may have on the industry, the impact could potentially cause dramatic price reductions for tenapanor, if approved. We may be unable to sell tenapanor, if approved, to dialysis providers on a profitable basis if third-party payors reduce their current levels of payment, or if our costs of production are higher than levels necessary for an appropriate gross margin after payment of all discounts, rebates and chargebacks.</w:t>
      </w:r>
    </w:p>
    <w:p>
      <w:pPr>
        <w:spacing w:after="0" w:line="184" w:lineRule="exact"/>
        <w:rPr>
          <w:sz w:val="20"/>
          <w:szCs w:val="20"/>
          <w:color w:val="auto"/>
        </w:rPr>
      </w:pPr>
    </w:p>
    <w:p>
      <w:pPr>
        <w:jc w:val="both"/>
        <w:ind w:left="40" w:right="59" w:firstLine="324"/>
        <w:spacing w:after="0" w:line="290"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5" w:lineRule="exact"/>
        <w:rPr>
          <w:sz w:val="20"/>
          <w:szCs w:val="20"/>
          <w:color w:val="auto"/>
        </w:rPr>
      </w:pPr>
    </w:p>
    <w:p>
      <w:pPr>
        <w:jc w:val="both"/>
        <w:ind w:left="40" w:right="59" w:firstLine="324"/>
        <w:spacing w:after="0" w:line="291"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6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may not be successful in our efforts to develop our product candidates that are at an early stage of development, or expand our pipeline of product candidates, as a result of numerous factors, which may include the inability to access capital necessary to fund such efforts on acceptable terms.</w:t>
      </w:r>
    </w:p>
    <w:p>
      <w:pPr>
        <w:spacing w:after="0" w:line="184" w:lineRule="exact"/>
        <w:rPr>
          <w:sz w:val="20"/>
          <w:szCs w:val="20"/>
          <w:color w:val="auto"/>
        </w:rPr>
      </w:pPr>
    </w:p>
    <w:p>
      <w:pPr>
        <w:jc w:val="both"/>
        <w:ind w:left="40" w:right="59" w:firstLine="324"/>
        <w:spacing w:after="0" w:line="301" w:lineRule="auto"/>
        <w:rPr>
          <w:sz w:val="20"/>
          <w:szCs w:val="20"/>
          <w:color w:val="auto"/>
        </w:rPr>
      </w:pPr>
      <w:r>
        <w:rPr>
          <w:rFonts w:ascii="Arial" w:cs="Arial" w:eastAsia="Arial" w:hAnsi="Arial"/>
          <w:sz w:val="16"/>
          <w:szCs w:val="16"/>
          <w:color w:val="auto"/>
        </w:rPr>
        <w:t>A key element of our strategy has been focused on the expansion of our pipeline of product candidates utilizing our proprietary drug discovery and design platform and to advance such product candidates through clinical development. Our inability to access capital in a timely manner or on acceptable terms to fund our early stage product candidates may force us to consider certain restructuring activities to enable the funding of those early assets through the use of alternative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structures. In addition, of the large number of drugs in development, only a small percentage of such drugs successfully complete the FDA regulatory approval process and are commercialized. Accordingly, even if we are able to continue to fund our research and early stage development programs, there can be no assurance that any product candidates will reach the clinic or be successfully developed or commercialized.</w:t>
      </w:r>
    </w:p>
    <w:p>
      <w:pPr>
        <w:spacing w:after="0" w:line="187"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effective and well-tolerated. Our research programs may initially show promise in identifying potential product candidates, and we may select candidates for development, yet we may fail to advance product candidates to clinical development for many reasons, including the following:</w:t>
      </w:r>
    </w:p>
    <w:p>
      <w:pPr>
        <w:spacing w:after="0" w:line="179" w:lineRule="exact"/>
        <w:rPr>
          <w:sz w:val="20"/>
          <w:szCs w:val="20"/>
          <w:color w:val="auto"/>
        </w:rPr>
      </w:pPr>
    </w:p>
    <w:p>
      <w:pPr>
        <w:jc w:val="both"/>
        <w:ind w:left="700" w:right="59" w:hanging="332"/>
        <w:spacing w:after="0" w:line="235" w:lineRule="auto"/>
        <w:tabs>
          <w:tab w:leader="none" w:pos="70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we may be unable to access sufficient capital on acceptable terms to fund the development of all of our assets and as a result we may be forced to delay or terminate the development of certain product candidates, or to consider restructuring efforts to secure alternate funding for those assets;</w:t>
      </w:r>
    </w:p>
    <w:p>
      <w:pPr>
        <w:spacing w:after="0" w:line="174"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the research methodology used and our drug discovery and design platform may not be successful in identifying potential product candidates;</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competitors may develop alternatives that render our product candidates obsolete or less attractive;</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7"/>
        </w:numPr>
        <w:rPr>
          <w:rFonts w:ascii="Arial" w:cs="Arial" w:eastAsia="Arial" w:hAnsi="Arial"/>
          <w:sz w:val="16"/>
          <w:szCs w:val="16"/>
          <w:color w:val="231F20"/>
        </w:rPr>
      </w:pPr>
      <w:r>
        <w:rPr>
          <w:rFonts w:ascii="Arial" w:cs="Arial" w:eastAsia="Arial" w:hAnsi="Arial"/>
          <w:sz w:val="16"/>
          <w:szCs w:val="16"/>
          <w:color w:val="auto"/>
        </w:rPr>
        <w:t>product candidates we develop may nevertheless be covered by third parties’ patents or other exclusive rights;</w:t>
      </w:r>
    </w:p>
    <w:p>
      <w:pPr>
        <w:spacing w:after="0" w:line="221" w:lineRule="exact"/>
        <w:rPr>
          <w:rFonts w:ascii="Arial" w:cs="Arial" w:eastAsia="Arial" w:hAnsi="Arial"/>
          <w:sz w:val="16"/>
          <w:szCs w:val="16"/>
          <w:color w:val="231F20"/>
        </w:rPr>
      </w:pPr>
    </w:p>
    <w:p>
      <w:pPr>
        <w:ind w:left="700" w:right="79" w:hanging="332"/>
        <w:spacing w:after="0" w:line="246" w:lineRule="auto"/>
        <w:tabs>
          <w:tab w:leader="none" w:pos="70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the market for a product candidate may change during our program so that the continued development of that product candidate is no longer reasonable;</w:t>
      </w:r>
    </w:p>
    <w:p>
      <w:pPr>
        <w:spacing w:after="0" w:line="169" w:lineRule="exact"/>
        <w:rPr>
          <w:rFonts w:ascii="Arial" w:cs="Arial" w:eastAsia="Arial" w:hAnsi="Arial"/>
          <w:sz w:val="18"/>
          <w:szCs w:val="18"/>
          <w:color w:val="231F20"/>
        </w:rPr>
      </w:pPr>
    </w:p>
    <w:p>
      <w:pPr>
        <w:jc w:val="both"/>
        <w:ind w:left="700" w:right="59" w:hanging="332"/>
        <w:spacing w:after="0" w:line="235" w:lineRule="auto"/>
        <w:tabs>
          <w:tab w:leader="none" w:pos="70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a product candidate may on further study be shown to have harmful side effects or other characteristics that indicate it is unlikely to be effective, well-tolerated or otherwise does not meet applicable regulatory or commercial criteria;</w:t>
      </w:r>
    </w:p>
    <w:p>
      <w:pPr>
        <w:spacing w:after="0" w:line="174"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a product candidate may not be capable of being produced in commercial quantities at an acceptable cost, or at all; and</w:t>
      </w:r>
    </w:p>
    <w:p>
      <w:pPr>
        <w:spacing w:after="0" w:line="169"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a product candidate may not be accepted as safe, effective and well-tolerated by patients, the medical community or third-party payors, if applicable.</w:t>
      </w:r>
    </w:p>
    <w:p>
      <w:pPr>
        <w:spacing w:after="0" w:line="183" w:lineRule="exact"/>
        <w:rPr>
          <w:sz w:val="20"/>
          <w:szCs w:val="20"/>
          <w:color w:val="auto"/>
        </w:rPr>
      </w:pPr>
    </w:p>
    <w:p>
      <w:pPr>
        <w:jc w:val="both"/>
        <w:ind w:left="40" w:right="59" w:firstLine="324"/>
        <w:spacing w:after="0" w:line="296" w:lineRule="auto"/>
        <w:rPr>
          <w:sz w:val="20"/>
          <w:szCs w:val="20"/>
          <w:color w:val="auto"/>
        </w:rPr>
      </w:pPr>
      <w:r>
        <w:rPr>
          <w:rFonts w:ascii="Arial" w:cs="Arial" w:eastAsia="Arial" w:hAnsi="Arial"/>
          <w:sz w:val="16"/>
          <w:szCs w:val="16"/>
          <w:color w:val="auto"/>
        </w:rPr>
        <w:t>Even if we are successful in continuing to expand our pipeline, through our own research and development efforts, the potential product candidates that we identify or for which we acquire rights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16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the results of earlier studies and trials may not be predictive of future trial results.</w:t>
      </w:r>
    </w:p>
    <w:p>
      <w:pPr>
        <w:spacing w:after="0" w:line="170" w:lineRule="exact"/>
        <w:rPr>
          <w:sz w:val="20"/>
          <w:szCs w:val="20"/>
          <w:color w:val="auto"/>
        </w:rPr>
      </w:pPr>
    </w:p>
    <w:p>
      <w:pPr>
        <w:jc w:val="both"/>
        <w:ind w:left="40" w:right="59" w:firstLine="324"/>
        <w:spacing w:after="0" w:line="293"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An unexpected adverse event profile, or the results of drug-drug interaction studies, may present challenges for the future development and commercialization of a product candidate for a</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particular condition despite receipt of positive efficacy data in a clinical study. A number of companies in the pharmaceutical, biopharmaceutical and biotechnology industries have suffered significant setbacks in advanced clinical trials for similar indications that we are pursuing due to lack of efficacy or adverse safety profiles, notwithstanding promising results in earlier studies, and we cannot be certain that we will not face similar setbacks.</w:t>
      </w:r>
    </w:p>
    <w:p>
      <w:pPr>
        <w:spacing w:after="0" w:line="171"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Furthermore, we could encounter delays if our ongoing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Any delays in completing a clinical trial will increase costs, slow down our development and regulatory approval process for our potential products and jeopardize the ability to commence product sales and generate revenue from a potential product. Any of these occurrences may significantly harm our business, financial condition and prospects.</w:t>
      </w:r>
    </w:p>
    <w:p>
      <w:pPr>
        <w:spacing w:after="0" w:line="185"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Furthermore, even though we have completed our Phase 3 clinical development program for tenapanor for the control of serum phosphorus, the results may not be sufficient to obtain the desired regulatory approval for tenapanor, or if such regulatory approval is obtained, the content of the label approved by regulatory authorities may materially and adversely impact our ability to commercialize the product for the approved indication.</w:t>
      </w:r>
    </w:p>
    <w:p>
      <w:pPr>
        <w:spacing w:after="0" w:line="187"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additional products or commercialize our product candidates.</w:t>
      </w:r>
    </w:p>
    <w:p>
      <w:pPr>
        <w:spacing w:after="0" w:line="165" w:lineRule="exact"/>
        <w:rPr>
          <w:sz w:val="20"/>
          <w:szCs w:val="20"/>
          <w:color w:val="auto"/>
        </w:rPr>
      </w:pPr>
    </w:p>
    <w:p>
      <w:pPr>
        <w:jc w:val="both"/>
        <w:ind w:left="40" w:right="59" w:firstLine="324"/>
        <w:spacing w:after="0" w:line="284" w:lineRule="auto"/>
        <w:rPr>
          <w:sz w:val="20"/>
          <w:szCs w:val="20"/>
          <w:color w:val="auto"/>
        </w:rPr>
      </w:pPr>
      <w:r>
        <w:rPr>
          <w:rFonts w:ascii="Arial" w:cs="Arial" w:eastAsia="Arial" w:hAnsi="Arial"/>
          <w:sz w:val="16"/>
          <w:szCs w:val="16"/>
          <w:color w:val="auto"/>
        </w:rPr>
        <w:t>We do not have the ability to independently conduct clinical trials and, in some cases, nonclinical studies.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or GCPs, for clinical studies. GLPs and GCPs are regulations and guidelines enforced by the FDA, the Competent Authorities of the Member States of the European Economic Area, or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or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b w:val="1"/>
          <w:bCs w:val="1"/>
          <w:i w:val="1"/>
          <w:iCs w:val="1"/>
          <w:color w:val="auto"/>
        </w:rPr>
        <w:t>Our products or product candidates may cause undesirable side effects or have other properties that could delay our clinical trials, or delay or prevent regulatory approval, limit the commercial profile of an approved label, or result in significant negative consequences following any regulatory approval that is achieved. If we or others identify undesirable side effects caused by any product candidate following receipt of marketing approval, the ability to market such product candidate could be compromised.</w:t>
      </w:r>
    </w:p>
    <w:p>
      <w:pPr>
        <w:spacing w:after="0" w:line="188"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Undesirable side effects caused by our products or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 experienced drug-related side effects including diarrhea, nausea, vomiting, flatulence, abdominal discomfort, abdominal pain, abdominal distention and changes in electrolytes. Despite our receipt of marketing approval for tenapanor for IBS-C and the completion of our Phase 3 clinical program for tenapanor for the control of serum phosphorus, in the event that future trials conducted by us with tenapanor, or trials we conduct with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for such indication, or any such other product candidate, for any or all targeted indications. Additionally, 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71"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In addition, if we or others identify undesirable side effects caused by one of our products for which we have received regulatory approval, a number of potentially significant negative consequences could occur, including:</w:t>
      </w:r>
    </w:p>
    <w:p>
      <w:pPr>
        <w:spacing w:after="0" w:line="157" w:lineRule="exact"/>
        <w:rPr>
          <w:sz w:val="20"/>
          <w:szCs w:val="20"/>
          <w:color w:val="auto"/>
        </w:rPr>
      </w:pPr>
    </w:p>
    <w:p>
      <w:pPr>
        <w:ind w:left="700" w:hanging="332"/>
        <w:spacing w:after="0"/>
        <w:tabs>
          <w:tab w:leader="none" w:pos="70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regulatory authorities may withdraw their approval of the product or seize the product;</w:t>
      </w:r>
    </w:p>
    <w:p>
      <w:pPr>
        <w:spacing w:after="0" w:line="157" w:lineRule="exact"/>
        <w:rPr>
          <w:rFonts w:ascii="Arial" w:cs="Arial" w:eastAsia="Arial" w:hAnsi="Arial"/>
          <w:sz w:val="18"/>
          <w:szCs w:val="18"/>
          <w:color w:val="231F20"/>
        </w:rPr>
      </w:pPr>
    </w:p>
    <w:p>
      <w:pPr>
        <w:ind w:left="700" w:hanging="332"/>
        <w:spacing w:after="0"/>
        <w:tabs>
          <w:tab w:leader="none" w:pos="70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we, or a collaboration partner, may be required to recall the product;</w:t>
      </w:r>
    </w:p>
    <w:p>
      <w:pPr>
        <w:spacing w:after="0" w:line="157" w:lineRule="exact"/>
        <w:rPr>
          <w:rFonts w:ascii="Arial" w:cs="Arial" w:eastAsia="Arial" w:hAnsi="Arial"/>
          <w:sz w:val="18"/>
          <w:szCs w:val="18"/>
          <w:color w:val="231F20"/>
        </w:rPr>
      </w:pPr>
    </w:p>
    <w:p>
      <w:pPr>
        <w:jc w:val="both"/>
        <w:ind w:left="700" w:right="59" w:hanging="332"/>
        <w:spacing w:after="0" w:line="227" w:lineRule="auto"/>
        <w:tabs>
          <w:tab w:leader="none" w:pos="70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additional restrictions may be imposed on the marketing of the particular product or the manufacturing processes for the product or any component thereof, including the imposition of a Risk Evaluation and Mitigation Strategy, or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spacing w:after="0" w:line="134" w:lineRule="exact"/>
        <w:rPr>
          <w:rFonts w:ascii="Arial" w:cs="Arial" w:eastAsia="Arial" w:hAnsi="Arial"/>
          <w:sz w:val="18"/>
          <w:szCs w:val="18"/>
          <w:color w:val="231F20"/>
        </w:rPr>
      </w:pPr>
    </w:p>
    <w:p>
      <w:pPr>
        <w:ind w:left="700" w:hanging="332"/>
        <w:spacing w:after="0"/>
        <w:tabs>
          <w:tab w:leader="none" w:pos="700" w:val="left"/>
        </w:tabs>
        <w:numPr>
          <w:ilvl w:val="0"/>
          <w:numId w:val="18"/>
        </w:numPr>
        <w:rPr>
          <w:rFonts w:ascii="Arial" w:cs="Arial" w:eastAsia="Arial" w:hAnsi="Arial"/>
          <w:sz w:val="16"/>
          <w:szCs w:val="16"/>
          <w:color w:val="231F20"/>
        </w:rPr>
      </w:pPr>
      <w:r>
        <w:rPr>
          <w:rFonts w:ascii="Arial" w:cs="Arial" w:eastAsia="Arial" w:hAnsi="Arial"/>
          <w:sz w:val="16"/>
          <w:szCs w:val="16"/>
          <w:color w:val="auto"/>
        </w:rPr>
        <w:t>we, or a collaboration partner, may be subject to fines, injunctions or the imposition of civil or criminal penalties;</w:t>
      </w:r>
    </w:p>
    <w:p>
      <w:pPr>
        <w:spacing w:after="0" w:line="180" w:lineRule="exact"/>
        <w:rPr>
          <w:rFonts w:ascii="Arial" w:cs="Arial" w:eastAsia="Arial" w:hAnsi="Arial"/>
          <w:sz w:val="16"/>
          <w:szCs w:val="16"/>
          <w:color w:val="231F20"/>
        </w:rPr>
      </w:pPr>
    </w:p>
    <w:p>
      <w:pPr>
        <w:ind w:left="700" w:right="79" w:hanging="332"/>
        <w:spacing w:after="0" w:line="246" w:lineRule="auto"/>
        <w:tabs>
          <w:tab w:leader="none" w:pos="70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29" w:lineRule="exact"/>
        <w:rPr>
          <w:rFonts w:ascii="Arial" w:cs="Arial" w:eastAsia="Arial" w:hAnsi="Arial"/>
          <w:sz w:val="18"/>
          <w:szCs w:val="18"/>
          <w:color w:val="231F20"/>
        </w:rPr>
      </w:pPr>
    </w:p>
    <w:p>
      <w:pPr>
        <w:ind w:left="700" w:hanging="332"/>
        <w:spacing w:after="0"/>
        <w:tabs>
          <w:tab w:leader="none" w:pos="70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we could be sued and held liable for harm caused to patients;</w:t>
      </w:r>
    </w:p>
    <w:p>
      <w:pPr>
        <w:spacing w:after="0" w:line="157" w:lineRule="exact"/>
        <w:rPr>
          <w:rFonts w:ascii="Arial" w:cs="Arial" w:eastAsia="Arial" w:hAnsi="Arial"/>
          <w:sz w:val="18"/>
          <w:szCs w:val="18"/>
          <w:color w:val="231F20"/>
        </w:rPr>
      </w:pPr>
    </w:p>
    <w:p>
      <w:pPr>
        <w:ind w:left="700" w:hanging="332"/>
        <w:spacing w:after="0"/>
        <w:tabs>
          <w:tab w:leader="none" w:pos="70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product may become less competitive; and</w:t>
      </w:r>
    </w:p>
    <w:p>
      <w:pPr>
        <w:spacing w:after="0" w:line="157" w:lineRule="exact"/>
        <w:rPr>
          <w:rFonts w:ascii="Arial" w:cs="Arial" w:eastAsia="Arial" w:hAnsi="Arial"/>
          <w:sz w:val="18"/>
          <w:szCs w:val="18"/>
          <w:color w:val="231F20"/>
        </w:rPr>
      </w:pPr>
    </w:p>
    <w:p>
      <w:pPr>
        <w:ind w:left="700" w:hanging="332"/>
        <w:spacing w:after="0"/>
        <w:tabs>
          <w:tab w:leader="none" w:pos="70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our reputation may suffer.</w:t>
      </w:r>
    </w:p>
    <w:p>
      <w:pPr>
        <w:spacing w:after="0" w:line="171"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Any of the foregoing events could prevent us, or a collaboration partner, from achieving or maintaining market acceptance of a particular product candidate, if approved, and could result in the loss of significant revenue to us, which would materially and adversely affect our results of operations and business.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face substantial competition and our competitors may discover, develop or commercialize products faster or more successfully than us.</w:t>
      </w:r>
    </w:p>
    <w:p>
      <w:pPr>
        <w:spacing w:after="0" w:line="170" w:lineRule="exact"/>
        <w:rPr>
          <w:sz w:val="20"/>
          <w:szCs w:val="20"/>
          <w:color w:val="auto"/>
        </w:rPr>
      </w:pPr>
    </w:p>
    <w:p>
      <w:pPr>
        <w:jc w:val="both"/>
        <w:ind w:left="40" w:right="59" w:firstLine="324"/>
        <w:spacing w:after="0" w:line="301" w:lineRule="auto"/>
        <w:rPr>
          <w:sz w:val="20"/>
          <w:szCs w:val="20"/>
          <w:color w:val="auto"/>
        </w:rPr>
      </w:pPr>
      <w:r>
        <w:rPr>
          <w:rFonts w:ascii="Arial" w:cs="Arial" w:eastAsia="Arial" w:hAnsi="Arial"/>
          <w:sz w:val="16"/>
          <w:szCs w:val="16"/>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157"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For example, tenapanor will, if approved for the control of serum phosphorus in CKD patients on dialysis, compete directly with phosphate binders for the control of serum phosphorus in CKD patients on dialysis. The various types of phosphate binders commercialized in the United States include the following:</w:t>
      </w:r>
    </w:p>
    <w:p>
      <w:pPr>
        <w:spacing w:after="0" w:line="170" w:lineRule="exact"/>
        <w:rPr>
          <w:sz w:val="20"/>
          <w:szCs w:val="20"/>
          <w:color w:val="auto"/>
        </w:rPr>
      </w:pPr>
    </w:p>
    <w:p>
      <w:pPr>
        <w:ind w:left="700" w:hanging="332"/>
        <w:spacing w:after="0"/>
        <w:tabs>
          <w:tab w:leader="none" w:pos="70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Calcium carbonate (many over-the-counter brands including Tums and Caltrate);</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Calcium acetate (several prescription brands including PhosLo and Phoslyra);</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Lanthanum carbonate (Fosrenol);</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Sevelamer hydrochloride (Renagel);</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Sevelamer carbonate (Renvela);</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Sucroferric oxyhydroxide (Velphoro); and</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Ferric citrate (Auryxia).</w:t>
      </w:r>
    </w:p>
    <w:p>
      <w:pPr>
        <w:spacing w:after="0" w:line="212"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The hydrochloride form of sevelamer, Renagel, was launched in the United States by Genzyme Corporation in 1998 prior to its acquisition by Sanofi, and the carbonate form, Renvela, was launched in 2008. Generic sevelamer carbonate has been approved in certain jurisdictions in Europe since 2015 and in the U.S. market since June 2017. In addition to the currently marketed phosphate binders, we are aware of at least two other binders in development, including fermagate (Alpharen), an iron-based binder in Phase 3 being developed by Opko Health, Inc., and PT20, an iron-based binder in Phase 3 being developed by Shield Therapeutics.</w:t>
      </w:r>
    </w:p>
    <w:p>
      <w:pPr>
        <w:spacing w:after="0" w:line="192"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In respect of tenapanor for the treatment of IBS-C, 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192"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We are aware of four prescription products marketed for certain patients with IBS-C, including Linzess (linaclotide), Amitiza (lubiprostone), Trulance (plecanatide) and Zelnorm (tegaserod maleate).</w:t>
      </w:r>
    </w:p>
    <w:p>
      <w:pPr>
        <w:spacing w:after="0" w:line="170"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It is possible that our competitors will develop and market drugs or other treatments that are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88" w:lineRule="exact"/>
        <w:rPr>
          <w:sz w:val="20"/>
          <w:szCs w:val="20"/>
          <w:color w:val="auto"/>
        </w:rPr>
      </w:pPr>
    </w:p>
    <w:p>
      <w:pPr>
        <w:jc w:val="both"/>
        <w:ind w:left="40" w:right="59" w:firstLine="324"/>
        <w:spacing w:after="0" w:line="301" w:lineRule="auto"/>
        <w:rPr>
          <w:sz w:val="20"/>
          <w:szCs w:val="20"/>
          <w:color w:val="auto"/>
        </w:rPr>
      </w:pPr>
      <w:r>
        <w:rPr>
          <w:rFonts w:ascii="Arial" w:cs="Arial" w:eastAsia="Arial" w:hAnsi="Arial"/>
          <w:sz w:val="16"/>
          <w:szCs w:val="16"/>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16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experience difficulties in managing our current activities and growth given our level of managerial, operational, financial and other resources.</w:t>
      </w:r>
    </w:p>
    <w:p>
      <w:pPr>
        <w:spacing w:after="0" w:line="170"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84" w:lineRule="exact"/>
        <w:rPr>
          <w:sz w:val="20"/>
          <w:szCs w:val="20"/>
          <w:color w:val="auto"/>
        </w:rPr>
      </w:pPr>
    </w:p>
    <w:p>
      <w:pPr>
        <w:ind w:left="700" w:hanging="33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our pre-commercialization activities effectively;</w:t>
      </w:r>
    </w:p>
    <w:p>
      <w:pPr>
        <w:spacing w:after="0" w:line="211" w:lineRule="exact"/>
        <w:rPr>
          <w:rFonts w:ascii="Arial" w:cs="Arial" w:eastAsia="Arial" w:hAnsi="Arial"/>
          <w:sz w:val="18"/>
          <w:szCs w:val="18"/>
          <w:color w:val="auto"/>
        </w:rPr>
      </w:pPr>
    </w:p>
    <w:p>
      <w:pPr>
        <w:ind w:left="700" w:hanging="332"/>
        <w:spacing w:after="0"/>
        <w:tabs>
          <w:tab w:leader="none" w:pos="70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manage our clinical trials effectively;</w:t>
      </w:r>
    </w:p>
    <w:p>
      <w:pPr>
        <w:spacing w:after="0" w:line="198"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manage our internal research and development efforts effectively while carrying out our contractual obligations to licensors, contractors, collaborators, government agencies and other third parties;</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continue to improve our operational, financial and management controls, reporting systems and procedures; and</w:t>
      </w:r>
    </w:p>
    <w:p>
      <w:pPr>
        <w:spacing w:after="0" w:line="221" w:lineRule="exact"/>
        <w:rPr>
          <w:rFonts w:ascii="Arial" w:cs="Arial" w:eastAsia="Arial" w:hAnsi="Arial"/>
          <w:sz w:val="16"/>
          <w:szCs w:val="16"/>
          <w:color w:val="231F20"/>
        </w:rPr>
      </w:pPr>
    </w:p>
    <w:p>
      <w:pPr>
        <w:ind w:left="700" w:hanging="332"/>
        <w:spacing w:after="0"/>
        <w:tabs>
          <w:tab w:leader="none" w:pos="700"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retain and motivate our remaining employees and potentially identify, recruit, and integrate additional employees.</w:t>
      </w:r>
    </w:p>
    <w:p>
      <w:pPr>
        <w:spacing w:after="0" w:line="235" w:lineRule="exact"/>
        <w:rPr>
          <w:sz w:val="20"/>
          <w:szCs w:val="20"/>
          <w:color w:val="auto"/>
        </w:rPr>
      </w:pPr>
    </w:p>
    <w:p>
      <w:pPr>
        <w:jc w:val="both"/>
        <w:ind w:left="40" w:right="59" w:firstLine="324"/>
        <w:spacing w:after="0" w:line="342" w:lineRule="auto"/>
        <w:rPr>
          <w:sz w:val="20"/>
          <w:szCs w:val="20"/>
          <w:color w:val="auto"/>
        </w:rPr>
      </w:pPr>
      <w:r>
        <w:rPr>
          <w:rFonts w:ascii="Arial" w:cs="Arial" w:eastAsia="Arial" w:hAnsi="Arial"/>
          <w:sz w:val="16"/>
          <w:szCs w:val="16"/>
          <w:color w:val="auto"/>
        </w:rPr>
        <w:t>If we are unable to maintain or expand our managerial, operational, financial and other resources to the extent required to manage our development and pre-commercialization activities, our business will be materially adversely affected.</w:t>
      </w:r>
    </w:p>
    <w:p>
      <w:pPr>
        <w:spacing w:after="0" w:line="124" w:lineRule="exact"/>
        <w:rPr>
          <w:sz w:val="20"/>
          <w:szCs w:val="20"/>
          <w:color w:val="auto"/>
        </w:rPr>
      </w:pPr>
    </w:p>
    <w:p>
      <w:pPr>
        <w:jc w:val="both"/>
        <w:ind w:left="40" w:right="59"/>
        <w:spacing w:after="0" w:line="327" w:lineRule="auto"/>
        <w:rPr>
          <w:sz w:val="20"/>
          <w:szCs w:val="20"/>
          <w:color w:val="auto"/>
        </w:rPr>
      </w:pPr>
      <w:r>
        <w:rPr>
          <w:rFonts w:ascii="Arial" w:cs="Arial" w:eastAsia="Arial" w:hAnsi="Arial"/>
          <w:sz w:val="15"/>
          <w:szCs w:val="15"/>
          <w:b w:val="1"/>
          <w:bCs w:val="1"/>
          <w:i w:val="1"/>
          <w:iCs w:val="1"/>
          <w:color w:val="auto"/>
        </w:rPr>
        <w:t>We rely completely on third parties to manufacture our nonclinical and clinical drug supplies, and we intend to rely on third parties to produce commercial supplies of tenapanor, if tenapanor is ultimately commercialized for any indication. Our business would be harmed if those third parties fail to obtain approval of the FDA or comparable regulatory authorities, fail to provide us with sufficient quantities of drug, or fail to do so at acceptable quality levels or prices.</w:t>
      </w:r>
    </w:p>
    <w:p>
      <w:pPr>
        <w:spacing w:after="0" w:line="140" w:lineRule="exact"/>
        <w:rPr>
          <w:sz w:val="20"/>
          <w:szCs w:val="20"/>
          <w:color w:val="auto"/>
        </w:rPr>
      </w:pPr>
    </w:p>
    <w:p>
      <w:pPr>
        <w:jc w:val="both"/>
        <w:ind w:left="40" w:right="59" w:firstLine="324"/>
        <w:spacing w:after="0" w:line="290" w:lineRule="auto"/>
        <w:rPr>
          <w:sz w:val="20"/>
          <w:szCs w:val="20"/>
          <w:color w:val="auto"/>
        </w:rPr>
      </w:pPr>
      <w:r>
        <w:rPr>
          <w:rFonts w:ascii="Arial" w:cs="Arial" w:eastAsia="Arial" w:hAnsi="Arial"/>
          <w:sz w:val="16"/>
          <w:szCs w:val="16"/>
          <w:color w:val="auto"/>
        </w:rPr>
        <w:t>We do not currently have, nor do we plan to acquire, the infrastructure or capability internally to manufacture tenapanor or any of other our product candidates on a commercial scale, or to manufacture our drug supplies for use in the conduct of our nonclinical and clinical studies. The facilities used by our contract manufacturers to manufacture our drug supply must be approved by the FDA pursuant to inspections that will be conducted after an NDA is submitted to the FDA. Our ability to control the manufacturing process of our product candidates is limited to the contractual requirements and obligations we impose on our contract manufacturer. Although they are contractually required to so do, we are completely dependent on our contract manufacturing partners for compliance with the regulatory requirements, known as cGMPs, for manufacture of both active drug substances and finished drug products.</w:t>
      </w:r>
    </w:p>
    <w:p>
      <w:pPr>
        <w:spacing w:after="0" w:line="165" w:lineRule="exact"/>
        <w:rPr>
          <w:sz w:val="20"/>
          <w:szCs w:val="20"/>
          <w:color w:val="auto"/>
        </w:rPr>
      </w:pPr>
    </w:p>
    <w:p>
      <w:pPr>
        <w:jc w:val="both"/>
        <w:ind w:left="40" w:right="59" w:firstLine="324"/>
        <w:spacing w:after="0" w:line="253" w:lineRule="auto"/>
        <w:rPr>
          <w:sz w:val="20"/>
          <w:szCs w:val="20"/>
          <w:color w:val="auto"/>
        </w:rPr>
      </w:pPr>
      <w:r>
        <w:rPr>
          <w:rFonts w:ascii="Arial" w:cs="Arial" w:eastAsia="Arial" w:hAnsi="Arial"/>
          <w:sz w:val="18"/>
          <w:szCs w:val="18"/>
          <w:color w:val="auto"/>
        </w:rPr>
        <w:t>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require a transfer of technology to such alternative facilities and potentially additional capital investment. In addition, the use of alternative manufacturing facilities would require qualification with the FDA or comparable foreign regulatory authorities, all of which would significantly impact our ability to develop, obtain regulatory approval for or market our product candidates, if approved.</w:t>
      </w:r>
    </w:p>
    <w:p>
      <w:pPr>
        <w:spacing w:after="0" w:line="194" w:lineRule="exact"/>
        <w:rPr>
          <w:sz w:val="20"/>
          <w:szCs w:val="20"/>
          <w:color w:val="auto"/>
        </w:rPr>
      </w:pPr>
    </w:p>
    <w:p>
      <w:pPr>
        <w:jc w:val="both"/>
        <w:ind w:left="40" w:right="59" w:firstLine="324"/>
        <w:spacing w:after="0" w:line="311" w:lineRule="auto"/>
        <w:rPr>
          <w:sz w:val="20"/>
          <w:szCs w:val="20"/>
          <w:color w:val="auto"/>
        </w:rPr>
      </w:pPr>
      <w:r>
        <w:rPr>
          <w:rFonts w:ascii="Arial" w:cs="Arial" w:eastAsia="Arial" w:hAnsi="Arial"/>
          <w:sz w:val="16"/>
          <w:szCs w:val="16"/>
          <w:color w:val="auto"/>
        </w:rPr>
        <w:t>We rely on our manufacturers to purchase from third-party suppliers the materials necessary to produce our product candidates for our clinical studies. There are a limited number of suppliers for raw materials and certain processes, such as spray drying, that we use to manufacture our drugs, and there may be a need to identify alternate suppliers to prevent a</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possible disruption of the manufacture of the materials necessary to produce our product candidates for our clinical studies, and, if approved, ultimately for commercial sale. We do not have any control over the process or timing of the acquisition of these raw materials or processes by our manufacturers. Although we generally do not begin a clinical study unless we believe we have on hand, or will be able to manufacture, a sufficient supply of a product candidate to complete such study, any significant delay or discontinuity in the supply of a product candidate, or the raw material components thereof,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ind w:left="40" w:right="59" w:firstLine="324"/>
        <w:spacing w:after="0" w:line="253"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3" w:lineRule="exact"/>
        <w:rPr>
          <w:sz w:val="20"/>
          <w:szCs w:val="20"/>
          <w:color w:val="auto"/>
        </w:rPr>
      </w:pPr>
    </w:p>
    <w:p>
      <w:pPr>
        <w:ind w:left="700" w:hanging="332"/>
        <w:spacing w:after="0"/>
        <w:tabs>
          <w:tab w:leader="none" w:pos="70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decreased demand for our product candidates;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injury to our reputation;</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withdrawal of clinical trial participants;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costs to defend the related litigation;</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a diversion of management’s time and our resources;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substantial monetary awards to trial participants or patients;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1"/>
        </w:numPr>
        <w:rPr>
          <w:rFonts w:ascii="Arial" w:cs="Arial" w:eastAsia="Arial" w:hAnsi="Arial"/>
          <w:sz w:val="17"/>
          <w:szCs w:val="17"/>
          <w:color w:val="231F20"/>
        </w:rPr>
      </w:pPr>
      <w:r>
        <w:rPr>
          <w:rFonts w:ascii="Arial" w:cs="Arial" w:eastAsia="Arial" w:hAnsi="Arial"/>
          <w:sz w:val="17"/>
          <w:szCs w:val="17"/>
          <w:color w:val="auto"/>
        </w:rPr>
        <w:t>regulatory investigations, product recalls or withdrawals, or labeling, marketing or promotional restrictions;</w:t>
      </w:r>
    </w:p>
    <w:p>
      <w:pPr>
        <w:spacing w:after="0" w:line="209" w:lineRule="exact"/>
        <w:rPr>
          <w:rFonts w:ascii="Arial" w:cs="Arial" w:eastAsia="Arial" w:hAnsi="Arial"/>
          <w:sz w:val="17"/>
          <w:szCs w:val="17"/>
          <w:color w:val="231F20"/>
        </w:rPr>
      </w:pPr>
    </w:p>
    <w:p>
      <w:pPr>
        <w:ind w:left="700" w:hanging="332"/>
        <w:spacing w:after="0"/>
        <w:tabs>
          <w:tab w:leader="none" w:pos="70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loss of revenue; and</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the inability to commercialize or co-promote our product candidates.</w:t>
      </w:r>
    </w:p>
    <w:p>
      <w:pPr>
        <w:spacing w:after="0" w:line="212" w:lineRule="exact"/>
        <w:rPr>
          <w:sz w:val="20"/>
          <w:szCs w:val="20"/>
          <w:color w:val="auto"/>
        </w:rPr>
      </w:pPr>
    </w:p>
    <w:p>
      <w:pPr>
        <w:jc w:val="both"/>
        <w:ind w:left="40" w:right="59" w:firstLine="324"/>
        <w:spacing w:after="0" w:line="288" w:lineRule="auto"/>
        <w:rPr>
          <w:sz w:val="20"/>
          <w:szCs w:val="20"/>
          <w:color w:val="auto"/>
        </w:rPr>
      </w:pPr>
      <w:r>
        <w:rPr>
          <w:rFonts w:ascii="Arial" w:cs="Arial" w:eastAsia="Arial" w:hAnsi="Arial"/>
          <w:sz w:val="16"/>
          <w:szCs w:val="16"/>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If we fail to attract, retain and motivate our executives, senior management and key personnel, our business will suffer.</w:t>
      </w:r>
    </w:p>
    <w:p>
      <w:pPr>
        <w:spacing w:after="0" w:line="260"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Recruiting and retaining qualified scientific, clinical, medical, manufacturing, and sales and marketing personnel is critical to our success. We are also highly dependent on our executives, senior management and certain other key employees. The loss of the services of our executives, senior management or other key employee could impede the achievement of our research,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Furthermore, we have announced that, Mark Kaufmann, our Chief Financial Officer intends to transition out of the company on or around March 13, 2020. While we are actively recruiting for his replacement, there can be no assurances that we will be able to replace Mr. Kaufmann prior to his planned departure. If we are unable to continue to attract and retain high quality personnel, our ability to grow and pursue our business strategy will be limited.</w:t>
      </w:r>
    </w:p>
    <w:p>
      <w:pPr>
        <w:spacing w:after="0" w:line="174"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Our proprietary drug discovery and design platform, and, in particular, APECCS, is a new approach to the discovery, design and development of new product candidates and may not result in any products of commercial value. Furthermore, the APECCS aspects of our drug discovery and design platform may have diminished relevance to our efforts focused on the discovery of targets and therapies for the treatment of renal diseases.</w:t>
      </w:r>
    </w:p>
    <w:p>
      <w:pPr>
        <w:spacing w:after="0" w:line="157"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We have developed a proprietary drug discovery and design platform to enable the identification, screening, testing, design and development of new product candidates, and have developed APECCS as a component of this of this platform. We have utilized APECCS in the design of our small molecules and to identify new and potentially novel targets in the GI tract. However, there can be no assurance that APECCS will be able to identify new targets in the GI tract or that any of these potential targets or other aspects of our proprietary drug discovery and design platform will yield product candidates that could enter clinical development and, ultimately, be commercially valuable. In addition, as we focus our efforts on the discovery and design of therapies for the treatment of cardiorenal diseases, we may need to further develop our proprietary drug discovery and design platform to enhance its usefulness in the identification, screening, testing, design and development of new product candidates for the treatment of cardiorenal diseases. There can be no assurances that we will be successful in such additional development of our platform or that our platform will yield product candidates for the treatment of renal diseases.</w:t>
      </w:r>
    </w:p>
    <w:p>
      <w:pPr>
        <w:spacing w:after="0" w:line="182"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57"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CROs,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324"/>
        <w:spacing w:after="0" w:line="268" w:lineRule="auto"/>
        <w:rPr>
          <w:sz w:val="20"/>
          <w:szCs w:val="20"/>
          <w:color w:val="auto"/>
        </w:rPr>
      </w:pPr>
      <w:r>
        <w:rPr>
          <w:rFonts w:ascii="Arial" w:cs="Arial" w:eastAsia="Arial" w:hAnsi="Arial"/>
          <w:sz w:val="17"/>
          <w:szCs w:val="17"/>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computer security breach affects our systems or those of our collaborators, CROs or other contractors, or results in the unauthorized release of personally identifiable information, our reputation could be materially damaged. We would also be exposed to a risk of loss or litigation and potential liability, which could materially adversely affect our business, results of operations and financial condition.</w:t>
      </w:r>
    </w:p>
    <w:p>
      <w:pPr>
        <w:spacing w:after="0" w:line="180" w:lineRule="exact"/>
        <w:rPr>
          <w:sz w:val="20"/>
          <w:szCs w:val="20"/>
          <w:color w:val="auto"/>
        </w:rPr>
      </w:pPr>
    </w:p>
    <w:p>
      <w:pPr>
        <w:jc w:val="both"/>
        <w:ind w:left="40" w:right="59" w:firstLine="324"/>
        <w:spacing w:after="0" w:line="285" w:lineRule="auto"/>
        <w:rPr>
          <w:sz w:val="20"/>
          <w:szCs w:val="20"/>
          <w:color w:val="auto"/>
        </w:rPr>
      </w:pPr>
      <w:r>
        <w:rPr>
          <w:rFonts w:ascii="Arial" w:cs="Arial" w:eastAsia="Arial" w:hAnsi="Arial"/>
          <w:sz w:val="16"/>
          <w:szCs w:val="16"/>
          <w:color w:val="auto"/>
        </w:rPr>
        <w:t>In addition, such a breach may require notification to governmental agencies, the media or individuals pursuant to various federal and state privacy and security laws, if applicable, including the Health Insurance Portability and Accountability Act of 1996, or HIPAA, as amended by the Health Information Technology for Clinical Health Act of 2009, or HITECH, and its implementing rules and regulations. Even when HIPAA does not apply, according to the Federal Trade Commission, or the FTC, failing to take appropriate steps to keep consumers’ personnel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We may also be subject to state laws requiring notification of affected individuals and state regulators in the event of a breach of personal information, which is a broader class of information than the health information protected by HIPAA. For example, California recently enacted legislation, the California Consumer Privacy Act, or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w:t>
      </w:r>
    </w:p>
    <w:p>
      <w:pPr>
        <w:spacing w:after="0" w:line="16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87" w:lineRule="exact"/>
        <w:rPr>
          <w:sz w:val="20"/>
          <w:szCs w:val="20"/>
          <w:color w:val="auto"/>
        </w:rPr>
      </w:pPr>
    </w:p>
    <w:p>
      <w:pPr>
        <w:jc w:val="both"/>
        <w:ind w:left="40" w:right="59" w:firstLine="324"/>
        <w:spacing w:after="0" w:line="287" w:lineRule="auto"/>
        <w:rPr>
          <w:sz w:val="20"/>
          <w:szCs w:val="20"/>
          <w:color w:val="auto"/>
        </w:rPr>
      </w:pPr>
      <w:r>
        <w:rPr>
          <w:rFonts w:ascii="Arial" w:cs="Arial" w:eastAsia="Arial" w:hAnsi="Arial"/>
          <w:sz w:val="16"/>
          <w:szCs w:val="16"/>
          <w:color w:val="auto"/>
        </w:rPr>
        <w:t>We incur significant legal, accounting and other expenses as a public company, including costs resulting from public company reporting obligations under the Securities Exchange Act of 1934, as amended, or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serve on our board of directors or board committees or to serve as executive officers, or to obtain certain types of insurance, including directors’ and officers’ insurance, on acceptable terms.</w:t>
      </w:r>
    </w:p>
    <w:p>
      <w:pPr>
        <w:spacing w:after="0" w:line="170" w:lineRule="exact"/>
        <w:rPr>
          <w:sz w:val="20"/>
          <w:szCs w:val="20"/>
          <w:color w:val="auto"/>
        </w:rPr>
      </w:pPr>
    </w:p>
    <w:p>
      <w:pPr>
        <w:jc w:val="both"/>
        <w:ind w:left="40" w:right="59" w:firstLine="324"/>
        <w:spacing w:after="0" w:line="288" w:lineRule="auto"/>
        <w:rPr>
          <w:sz w:val="20"/>
          <w:szCs w:val="20"/>
          <w:color w:val="auto"/>
        </w:rPr>
      </w:pPr>
      <w:r>
        <w:rPr>
          <w:rFonts w:ascii="Arial" w:cs="Arial" w:eastAsia="Arial" w:hAnsi="Arial"/>
          <w:sz w:val="16"/>
          <w:szCs w:val="16"/>
          <w:color w:val="auto"/>
        </w:rPr>
        <w:t>We are subject to Section 404 of The Sarbanes-Oxley Act of 2002, or Section 404, and the related rules of the Securities and Exchange Commission, or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Prior to December 31, 2019, we were an emerging growth company as defined in the Jumpstart Our Business Startups Act of 2012, or JOBS Act, and we took advantage of certain exemptions from various reporting requirements that were applicable to public companies that are emerging growth companies, including, but not limited to, not being required to comply with the auditor attestation requirements of Section 404. We ceased to be an emerging growth company after December 31, 2019 and are required to include an opinion from our independent registered public accounting firm on the effectiveness of our internal controls over financial reporting as part of our Annual Report on form 10-K for the fiscal year ended December 31, 2019.</w:t>
      </w:r>
    </w:p>
    <w:p>
      <w:pPr>
        <w:spacing w:after="0" w:line="168" w:lineRule="exact"/>
        <w:rPr>
          <w:sz w:val="20"/>
          <w:szCs w:val="20"/>
          <w:color w:val="auto"/>
        </w:rPr>
      </w:pPr>
    </w:p>
    <w:p>
      <w:pPr>
        <w:jc w:val="both"/>
        <w:ind w:left="40" w:right="59" w:firstLine="324"/>
        <w:spacing w:after="0" w:line="289" w:lineRule="auto"/>
        <w:rPr>
          <w:sz w:val="20"/>
          <w:szCs w:val="20"/>
          <w:color w:val="auto"/>
        </w:rPr>
      </w:pPr>
      <w:r>
        <w:rPr>
          <w:rFonts w:ascii="Arial" w:cs="Arial" w:eastAsia="Arial" w:hAnsi="Arial"/>
          <w:sz w:val="16"/>
          <w:szCs w:val="16"/>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6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b w:val="1"/>
          <w:bCs w:val="1"/>
          <w:i w:val="1"/>
          <w:iCs w:val="1"/>
          <w:color w:val="auto"/>
        </w:rPr>
        <w:t>We identified a material weakness in our internal control over financial reporting as of June 30, 2019. 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171"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In accordance with Section 404, management assessed the effectiveness of our internal control over financial reporting and based on our management’s assessment using criteria established in “Internal Control—Integrated Framework (2013)” issued by the Committee of Sponsoring Organizations of the Treadway Commission, management had concluded that our internal control over financial reporting was not effective as of June 30, 2019 and remained not effective as of September 30, 2019. Management and our independent registered public accounting firm had identified a control deficiency that constituted a material weakness. The material weakness was due to a failure in the design and implementation of controls over the evaluation of the terms of our clinical trial contracts for inclusion into our clinical financial model which estimates clinical trial expenses. Specifically, we had failed to properly interpret an expense in our clinical trial contracts which resulted in the over accrual of our clinical trial expenses during 2018 and the first quarter of 2019. This material weakness was remediated as of December 31, 2019 and management concluded that our internal controls over financial reporting were effective as of December 31, 2019.</w:t>
      </w:r>
    </w:p>
    <w:p>
      <w:pPr>
        <w:spacing w:after="0" w:line="182" w:lineRule="exact"/>
        <w:rPr>
          <w:sz w:val="20"/>
          <w:szCs w:val="20"/>
          <w:color w:val="auto"/>
        </w:rPr>
      </w:pPr>
    </w:p>
    <w:p>
      <w:pPr>
        <w:jc w:val="both"/>
        <w:ind w:left="40" w:right="59" w:firstLine="324"/>
        <w:spacing w:after="0" w:line="270" w:lineRule="auto"/>
        <w:rPr>
          <w:sz w:val="20"/>
          <w:szCs w:val="20"/>
          <w:color w:val="auto"/>
        </w:rPr>
      </w:pPr>
      <w:r>
        <w:rPr>
          <w:rFonts w:ascii="Arial" w:cs="Arial" w:eastAsia="Arial" w:hAnsi="Arial"/>
          <w:sz w:val="17"/>
          <w:szCs w:val="17"/>
          <w:color w:val="auto"/>
        </w:rPr>
        <w:t>We had developed and implemented a remediation plan for this material weakness which included modifications to the design and implementation of certain internal controls. Although we have remediated this material weakness as of December 31, 2019 as attested by our independent registered public accounting firm, we can give no assurance that an additional material weakness or significant deficiency in our internal controls over financial reporting will not be identified in the future. 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70" w:lineRule="exact"/>
        <w:rPr>
          <w:sz w:val="20"/>
          <w:szCs w:val="20"/>
          <w:color w:val="auto"/>
        </w:rPr>
      </w:pPr>
    </w:p>
    <w:p>
      <w:pPr>
        <w:jc w:val="both"/>
        <w:ind w:left="40" w:right="59" w:firstLine="324"/>
        <w:spacing w:after="0" w:line="284" w:lineRule="auto"/>
        <w:rPr>
          <w:sz w:val="20"/>
          <w:szCs w:val="20"/>
          <w:color w:val="auto"/>
        </w:rPr>
      </w:pPr>
      <w:r>
        <w:rPr>
          <w:rFonts w:ascii="Arial" w:cs="Arial" w:eastAsia="Arial" w:hAnsi="Arial"/>
          <w:sz w:val="16"/>
          <w:szCs w:val="16"/>
          <w:color w:val="auto"/>
        </w:rPr>
        <w:t>We have current collaboration partnerships for the commercialization of tenapanor in certain foreign countries, and we currently expect to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KKC for certain research programs and for commercialization of tenapanor for hyperphosphatemia in Japan; with Fosun Pharma for commercialization of tenapanor for hyperphosphatemia and IBS-C in China and related territories; and in Canada with Knight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Moreover, we may not be successful in our efforts to establish a collaboration partnership for tenapanor for IBS-C commercialization in the United States or for any future product candidates and programs on terms that are acceptable to us, or at all. With respect to tenapanor for IBS-C in the United States, this may be because third parties may not view tenapanor for the treatment of IBS-C as having sufficient potential to be successfully commercialized. Additionally, despite third party interest in the commercialization of tenapanor for IBS-C in the United States, we may decide that it is not in the best interests of the Company to enter into such a collaboration partnership. If we are unable to establish a collaboration partnership for the commercialization of IBS-C in the United States under acceptable terms, the commercialization of tenapanor for IBS-C could be materially and adversely impacted, which could have a material adverse effect on our business, results of operations, financial condition and prospects. Additionally, we may not be successful in our efforts to establish collaboration partnerships for our other product candidates because our product candidates and programs may be deemed to be at too early of a stage of development for collaborative effort, our research and development pipeline may be viewed as insufficient, and/or third parties may not view such other product candidates and programs as having sufficient potential for commercialization, including the likelihood of an adequate safety and efficacy profile.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spacing w:after="0" w:line="3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70" w:lineRule="exact"/>
        <w:rPr>
          <w:sz w:val="20"/>
          <w:szCs w:val="20"/>
          <w:color w:val="auto"/>
        </w:rPr>
      </w:pPr>
    </w:p>
    <w:p>
      <w:pPr>
        <w:jc w:val="both"/>
        <w:ind w:left="40" w:right="59" w:firstLine="324"/>
        <w:spacing w:after="0" w:line="288" w:lineRule="auto"/>
        <w:rPr>
          <w:sz w:val="20"/>
          <w:szCs w:val="20"/>
          <w:color w:val="auto"/>
        </w:rPr>
      </w:pPr>
      <w:r>
        <w:rPr>
          <w:rFonts w:ascii="Arial" w:cs="Arial" w:eastAsia="Arial" w:hAnsi="Arial"/>
          <w:sz w:val="16"/>
          <w:szCs w:val="16"/>
          <w:color w:val="auto"/>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55" w:lineRule="exact"/>
        <w:rPr>
          <w:sz w:val="20"/>
          <w:szCs w:val="20"/>
          <w:color w:val="auto"/>
        </w:rPr>
      </w:pPr>
    </w:p>
    <w:p>
      <w:pPr>
        <w:ind w:left="700" w:right="79" w:hanging="332"/>
        <w:spacing w:after="0" w:line="246" w:lineRule="auto"/>
        <w:tabs>
          <w:tab w:leader="none" w:pos="70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exposure to unknown liabilities;</w:t>
      </w:r>
    </w:p>
    <w:p>
      <w:pPr>
        <w:spacing w:after="0" w:line="198"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700" w:hanging="332"/>
        <w:spacing w:after="0"/>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incurrence of substantial debt or dilutive issuances of equity securities;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higher-than-expected acquisition and integration costs;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write-downs of assets or goodwill or impairment charges;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increased amortization expenses;</w:t>
      </w:r>
    </w:p>
    <w:p>
      <w:pPr>
        <w:spacing w:after="0" w:line="198"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69"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inability to retain key employees of any acquired businesses.</w:t>
      </w:r>
    </w:p>
    <w:p>
      <w:pPr>
        <w:spacing w:after="0" w:line="212"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7"/>
          <w:szCs w:val="17"/>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65"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If we seek and obtain approval to commercialize our product candidates outside of the United States, manufacture our product candidates outside of the United States, or otherwise engage in business outside of the United States, a variety of risks associated with international operations could materially adversely affect our business.</w:t>
      </w:r>
    </w:p>
    <w:p>
      <w:pPr>
        <w:spacing w:after="0" w:line="149"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We or our collaboration partners may decide to seek marketing approval for certain of our product candidates outside the United States or otherwise engage in business outside the United States, including entering into contractual agreements with third-parties. We currently utilize contract manufacturing organizations located outside of the United States to manufacture our active drug substance for tenapanor. We are subject to additional risks related to entering these international business markets and relationships, including:</w:t>
      </w:r>
    </w:p>
    <w:p>
      <w:pPr>
        <w:spacing w:after="0" w:line="174" w:lineRule="exact"/>
        <w:rPr>
          <w:sz w:val="20"/>
          <w:szCs w:val="20"/>
          <w:color w:val="auto"/>
        </w:rPr>
      </w:pPr>
    </w:p>
    <w:p>
      <w:pPr>
        <w:ind w:left="700" w:hanging="332"/>
        <w:spacing w:after="0"/>
        <w:tabs>
          <w:tab w:leader="none" w:pos="70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different regulatory requirements for drug approvals in foreign countries;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differing United States and foreign drug import and export rules;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reduced protection for intellectual property rights in foreign countries;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unexpected changes in tariffs, trade barriers and regulatory requirements;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different reimbursement systems, and different competitive drugs;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4"/>
        </w:numPr>
        <w:rPr>
          <w:rFonts w:ascii="Arial" w:cs="Arial" w:eastAsia="Arial" w:hAnsi="Arial"/>
          <w:sz w:val="17"/>
          <w:szCs w:val="17"/>
          <w:color w:val="231F20"/>
        </w:rPr>
      </w:pPr>
      <w:r>
        <w:rPr>
          <w:rFonts w:ascii="Arial" w:cs="Arial" w:eastAsia="Arial" w:hAnsi="Arial"/>
          <w:sz w:val="17"/>
          <w:szCs w:val="17"/>
          <w:color w:val="auto"/>
        </w:rPr>
        <w:t>economic weakness, including inflation, or political instability in particular foreign economies and markets;</w:t>
      </w:r>
    </w:p>
    <w:p>
      <w:pPr>
        <w:spacing w:after="0" w:line="209" w:lineRule="exact"/>
        <w:rPr>
          <w:rFonts w:ascii="Arial" w:cs="Arial" w:eastAsia="Arial" w:hAnsi="Arial"/>
          <w:sz w:val="17"/>
          <w:szCs w:val="17"/>
          <w:color w:val="231F20"/>
        </w:rPr>
      </w:pPr>
    </w:p>
    <w:p>
      <w:pPr>
        <w:ind w:left="700" w:hanging="332"/>
        <w:spacing w:after="0"/>
        <w:tabs>
          <w:tab w:leader="none" w:pos="70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compliance with tax, employment, immigration and labor laws for employees living or traveling abroad;</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foreign taxes, including withholding of payroll taxes;</w:t>
      </w:r>
    </w:p>
    <w:p>
      <w:pPr>
        <w:spacing w:after="0" w:line="198"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workforce uncertainty in countries where labor unrest is more common than in the United States;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700" w:right="59" w:hanging="332"/>
        <w:spacing w:after="0" w:line="246" w:lineRule="auto"/>
        <w:tabs>
          <w:tab w:leader="none" w:pos="70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production shortages resulting from any events affecting raw material supply or manufacturing capabilities abroad;</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potential liability resulting from development work conducted by these distributors; and</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5"/>
        </w:numPr>
        <w:rPr>
          <w:rFonts w:ascii="Arial" w:cs="Arial" w:eastAsia="Arial" w:hAnsi="Arial"/>
          <w:sz w:val="17"/>
          <w:szCs w:val="17"/>
          <w:color w:val="231F20"/>
        </w:rPr>
      </w:pPr>
      <w:r>
        <w:rPr>
          <w:rFonts w:ascii="Arial" w:cs="Arial" w:eastAsia="Arial" w:hAnsi="Arial"/>
          <w:sz w:val="17"/>
          <w:szCs w:val="17"/>
          <w:color w:val="auto"/>
        </w:rPr>
        <w:t>business interruptions resulting from geopolitical actions, including war and terrorism, or natural disasters.</w:t>
      </w:r>
    </w:p>
    <w:p>
      <w:pPr>
        <w:spacing w:after="0" w:line="223"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Epidemic diseases, or the perception of their effects, could have a material adverse effect on our business, financial condition, results of operations or cash flows.</w:t>
      </w:r>
    </w:p>
    <w:p>
      <w:pPr>
        <w:spacing w:after="0" w:line="170"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6"/>
          <w:szCs w:val="16"/>
          <w:color w:val="auto"/>
        </w:rPr>
        <w:t>Outbreaks of epidemic, pandemic, or contagious diseases, such as the recent novel coronavirus or, historically, the Ebola virus, Middle East Respiratory Syndrome, Severe Acute Respiratory Syndrome, or the H1N1 virus, could disrupt our business. Business disruptions could include disruptions or restrictions on our ability to travel, as well as temporary closures of the facilities of our collaboration partners, suppliers or contract manufacturers. Any disruption of our collaboration partners, suppliers or contract manufacturers could impact our operating results. For example, a supplier of intermediates for our API is located in China and one of our collaboration partners is located in Japan, both of which have recently experienced an outbreak of the novel coronavirus. While at this point, the extent to which the coronavirus outbreak may impact our results is uncertain, it could result in delays in delivery of our intermediates from our supplier, or delays in development activities by our collaboration partners, which may negatively impact our operating results. In addition, a significant outbreak of epidemic, pandemic, or contagious diseases in the human population could result in a widespread health crisis that could adversely affect the economies and financial markets of many countries, resulting in an economic downturn that could affect demand for our current or future products. Any of these events could have a material adverse effect on our business, financial condition, results of operations, or cash flows.</w:t>
      </w:r>
    </w:p>
    <w:p>
      <w:pPr>
        <w:spacing w:after="0" w:line="174"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46"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225" w:lineRule="exact"/>
        <w:rPr>
          <w:sz w:val="20"/>
          <w:szCs w:val="20"/>
          <w:color w:val="auto"/>
        </w:rPr>
      </w:pPr>
    </w:p>
    <w:p>
      <w:pPr>
        <w:jc w:val="both"/>
        <w:ind w:left="40" w:right="59" w:firstLine="324"/>
        <w:spacing w:after="0" w:line="271" w:lineRule="auto"/>
        <w:rPr>
          <w:sz w:val="20"/>
          <w:szCs w:val="20"/>
          <w:color w:val="auto"/>
        </w:rPr>
      </w:pPr>
      <w:r>
        <w:rPr>
          <w:rFonts w:ascii="Arial" w:cs="Arial" w:eastAsia="Arial" w:hAnsi="Arial"/>
          <w:sz w:val="17"/>
          <w:szCs w:val="17"/>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324"/>
        <w:spacing w:after="0" w:line="268" w:lineRule="auto"/>
        <w:rPr>
          <w:sz w:val="20"/>
          <w:szCs w:val="20"/>
          <w:color w:val="auto"/>
        </w:rPr>
      </w:pPr>
      <w:r>
        <w:rPr>
          <w:rFonts w:ascii="Arial" w:cs="Arial" w:eastAsia="Arial" w:hAnsi="Arial"/>
          <w:sz w:val="17"/>
          <w:szCs w:val="17"/>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Affordable Care Act, as amended by the Health Care and Education Reconciliation Act, collectively known as the Affordable Care Act,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8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70"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Our corporate headquarters and other facilities are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87"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184"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181" w:lineRule="exact"/>
        <w:rPr>
          <w:sz w:val="20"/>
          <w:szCs w:val="20"/>
          <w:color w:val="auto"/>
        </w:rPr>
      </w:pPr>
    </w:p>
    <w:p>
      <w:pPr>
        <w:ind w:left="700" w:hanging="332"/>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warning or untitled letters;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civil and criminal penalties;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injunctions;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700" w:hanging="332"/>
        <w:spacing w:after="0"/>
        <w:tabs>
          <w:tab w:leader="none" w:pos="70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withdrawal of regulatory approval of products;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product seizure or detention;</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product recalls;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total or partial suspension of production; and</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refusal to approve pending NDAs or supplements to approved NDAs.</w:t>
      </w:r>
    </w:p>
    <w:p>
      <w:pPr>
        <w:spacing w:after="0" w:line="212" w:lineRule="exact"/>
        <w:rPr>
          <w:sz w:val="20"/>
          <w:szCs w:val="20"/>
          <w:color w:val="auto"/>
        </w:rPr>
      </w:pPr>
    </w:p>
    <w:p>
      <w:pPr>
        <w:jc w:val="both"/>
        <w:ind w:left="40" w:right="59" w:firstLine="324"/>
        <w:spacing w:after="0" w:line="288" w:lineRule="auto"/>
        <w:rPr>
          <w:sz w:val="20"/>
          <w:szCs w:val="20"/>
          <w:color w:val="auto"/>
        </w:rPr>
      </w:pPr>
      <w:r>
        <w:rPr>
          <w:rFonts w:ascii="Arial" w:cs="Arial" w:eastAsia="Arial" w:hAnsi="Arial"/>
          <w:sz w:val="16"/>
          <w:szCs w:val="16"/>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68"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 FDA or such comparable authorities that requires us to expend additional time and resources and delay or prevent the approval of our product candidates. For example, the FDA may require us to conduct additional studies for a drug product either prior to or post-approval, such as additional drug-drug interaction studies or safety or efficacy studies,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182"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57" w:lineRule="exact"/>
        <w:rPr>
          <w:sz w:val="20"/>
          <w:szCs w:val="20"/>
          <w:color w:val="auto"/>
        </w:rPr>
      </w:pPr>
    </w:p>
    <w:p>
      <w:pPr>
        <w:ind w:left="700" w:right="59" w:hanging="332"/>
        <w:spacing w:after="0" w:line="246" w:lineRule="auto"/>
        <w:tabs>
          <w:tab w:leader="none" w:pos="70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design or implementation of our, or our collaboration partners’, clinical studies;</w:t>
      </w:r>
    </w:p>
    <w:p>
      <w:pPr>
        <w:spacing w:after="0" w:line="169"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spacing w:after="0" w:line="169"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interpretation of data from preclinical studies or clinical studies;</w:t>
      </w:r>
    </w:p>
    <w:p>
      <w:pPr>
        <w:spacing w:after="0" w:line="169" w:lineRule="exact"/>
        <w:rPr>
          <w:rFonts w:ascii="Arial" w:cs="Arial" w:eastAsia="Arial" w:hAnsi="Arial"/>
          <w:sz w:val="18"/>
          <w:szCs w:val="18"/>
          <w:color w:val="231F20"/>
        </w:rPr>
      </w:pPr>
    </w:p>
    <w:p>
      <w:pPr>
        <w:ind w:left="700" w:right="79" w:hanging="332"/>
        <w:spacing w:after="0" w:line="274" w:lineRule="auto"/>
        <w:tabs>
          <w:tab w:leader="none" w:pos="700" w:val="left"/>
        </w:tabs>
        <w:numPr>
          <w:ilvl w:val="0"/>
          <w:numId w:val="28"/>
        </w:numPr>
        <w:rPr>
          <w:rFonts w:ascii="Arial" w:cs="Arial" w:eastAsia="Arial" w:hAnsi="Arial"/>
          <w:sz w:val="17"/>
          <w:szCs w:val="17"/>
          <w:color w:val="231F20"/>
        </w:rPr>
      </w:pPr>
      <w:r>
        <w:rPr>
          <w:rFonts w:ascii="Arial" w:cs="Arial" w:eastAsia="Arial" w:hAnsi="Arial"/>
          <w:sz w:val="17"/>
          <w:szCs w:val="17"/>
          <w:color w:val="auto"/>
        </w:rPr>
        <w:t>the data collected from clinical studies of our product candidates may not be sufficient to support the submission of a NDA or other submission or to obtain regulatory approval in the United States or elsewhere;</w:t>
      </w:r>
    </w:p>
    <w:p>
      <w:pPr>
        <w:spacing w:after="0" w:line="147" w:lineRule="exact"/>
        <w:rPr>
          <w:rFonts w:ascii="Arial" w:cs="Arial" w:eastAsia="Arial" w:hAnsi="Arial"/>
          <w:sz w:val="17"/>
          <w:szCs w:val="17"/>
          <w:color w:val="231F20"/>
        </w:rPr>
      </w:pPr>
    </w:p>
    <w:p>
      <w:pPr>
        <w:ind w:left="700" w:right="79" w:hanging="332"/>
        <w:spacing w:after="0" w:line="274" w:lineRule="auto"/>
        <w:tabs>
          <w:tab w:leader="none" w:pos="700" w:val="left"/>
        </w:tabs>
        <w:numPr>
          <w:ilvl w:val="0"/>
          <w:numId w:val="28"/>
        </w:numPr>
        <w:rPr>
          <w:rFonts w:ascii="Arial" w:cs="Arial" w:eastAsia="Arial" w:hAnsi="Arial"/>
          <w:sz w:val="17"/>
          <w:szCs w:val="17"/>
          <w:color w:val="231F20"/>
        </w:rPr>
      </w:pPr>
      <w:r>
        <w:rPr>
          <w:rFonts w:ascii="Arial" w:cs="Arial" w:eastAsia="Arial" w:hAnsi="Arial"/>
          <w:sz w:val="17"/>
          <w:szCs w:val="17"/>
          <w:color w:val="auto"/>
        </w:rPr>
        <w:t>we or our collaboration partners may be unable to demonstrate to the FDA or comparable foreign regulatory authorities that a product candidate’s risk-benefit ratio for its proposed indication is acceptable;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700" w:right="79" w:hanging="332"/>
        <w:spacing w:after="0" w:line="235" w:lineRule="auto"/>
        <w:tabs>
          <w:tab w:leader="none" w:pos="70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174"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3" w:lineRule="exact"/>
        <w:rPr>
          <w:sz w:val="20"/>
          <w:szCs w:val="20"/>
          <w:color w:val="auto"/>
        </w:rPr>
      </w:pPr>
    </w:p>
    <w:p>
      <w:pPr>
        <w:jc w:val="both"/>
        <w:ind w:left="40" w:right="59" w:firstLine="324"/>
        <w:spacing w:after="0" w:line="275" w:lineRule="auto"/>
        <w:rPr>
          <w:sz w:val="20"/>
          <w:szCs w:val="20"/>
          <w:color w:val="auto"/>
        </w:rPr>
      </w:pPr>
      <w:r>
        <w:rPr>
          <w:rFonts w:ascii="Arial" w:cs="Arial" w:eastAsia="Arial" w:hAnsi="Arial"/>
          <w:sz w:val="17"/>
          <w:szCs w:val="17"/>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176"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92" w:lineRule="exact"/>
        <w:rPr>
          <w:sz w:val="20"/>
          <w:szCs w:val="20"/>
          <w:color w:val="auto"/>
        </w:rPr>
      </w:pPr>
    </w:p>
    <w:p>
      <w:pPr>
        <w:jc w:val="both"/>
        <w:ind w:left="40" w:right="59"/>
        <w:spacing w:after="0" w:line="327" w:lineRule="auto"/>
        <w:rPr>
          <w:sz w:val="20"/>
          <w:szCs w:val="20"/>
          <w:color w:val="auto"/>
        </w:rPr>
      </w:pPr>
      <w:r>
        <w:rPr>
          <w:rFonts w:ascii="Arial" w:cs="Arial" w:eastAsia="Arial" w:hAnsi="Arial"/>
          <w:sz w:val="15"/>
          <w:szCs w:val="15"/>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40" w:lineRule="exact"/>
        <w:rPr>
          <w:sz w:val="20"/>
          <w:szCs w:val="20"/>
          <w:color w:val="auto"/>
        </w:rPr>
      </w:pPr>
    </w:p>
    <w:p>
      <w:pPr>
        <w:jc w:val="both"/>
        <w:ind w:left="40" w:right="59" w:firstLine="324"/>
        <w:spacing w:after="0" w:line="253" w:lineRule="auto"/>
        <w:rPr>
          <w:sz w:val="20"/>
          <w:szCs w:val="20"/>
          <w:color w:val="auto"/>
        </w:rPr>
      </w:pPr>
      <w:r>
        <w:rPr>
          <w:rFonts w:ascii="Arial" w:cs="Arial" w:eastAsia="Arial" w:hAnsi="Arial"/>
          <w:sz w:val="18"/>
          <w:szCs w:val="18"/>
          <w:color w:val="auto"/>
        </w:rPr>
        <w:t>Even if a drug is approved by the FDA or foreign regulatory authorities,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92"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88"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70" w:lineRule="exact"/>
        <w:rPr>
          <w:sz w:val="20"/>
          <w:szCs w:val="20"/>
          <w:color w:val="auto"/>
        </w:rPr>
      </w:pPr>
    </w:p>
    <w:p>
      <w:pPr>
        <w:ind w:left="700" w:hanging="332"/>
        <w:spacing w:after="0"/>
        <w:tabs>
          <w:tab w:leader="none" w:pos="70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warning or untitled letters, fines or holds on clinical trials;</w:t>
      </w:r>
    </w:p>
    <w:p>
      <w:pPr>
        <w:spacing w:after="0" w:line="198"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700" w:hanging="332"/>
        <w:spacing w:after="0"/>
        <w:tabs>
          <w:tab w:leader="none" w:pos="70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injunctions or the imposition of civil or criminal penalties;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suspension or revocation of existing regulatory approvals;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suspension of any of our ongoing clinical trials;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refusal to approve pending applications or supplements to approved applications submitted by us;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restrictions on our or our contract manufacturers’ operations; or</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product seizure or detention, or refusal to permit the import or export of products.</w:t>
      </w:r>
    </w:p>
    <w:p>
      <w:pPr>
        <w:spacing w:after="0" w:line="212" w:lineRule="exact"/>
        <w:rPr>
          <w:sz w:val="20"/>
          <w:szCs w:val="20"/>
          <w:color w:val="auto"/>
        </w:rPr>
      </w:pPr>
    </w:p>
    <w:p>
      <w:pPr>
        <w:jc w:val="both"/>
        <w:ind w:left="40" w:right="59" w:firstLine="324"/>
        <w:spacing w:after="0" w:line="301" w:lineRule="auto"/>
        <w:rPr>
          <w:sz w:val="20"/>
          <w:szCs w:val="20"/>
          <w:color w:val="auto"/>
        </w:rPr>
      </w:pPr>
      <w:r>
        <w:rPr>
          <w:rFonts w:ascii="Arial" w:cs="Arial" w:eastAsia="Arial" w:hAnsi="Arial"/>
          <w:sz w:val="16"/>
          <w:szCs w:val="16"/>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57"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8" w:lineRule="exact"/>
        <w:rPr>
          <w:sz w:val="20"/>
          <w:szCs w:val="20"/>
          <w:color w:val="auto"/>
        </w:rPr>
      </w:pPr>
    </w:p>
    <w:p>
      <w:pPr>
        <w:jc w:val="both"/>
        <w:ind w:left="40" w:right="59" w:firstLine="324"/>
        <w:spacing w:after="0" w:line="270"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81"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84" w:lineRule="exact"/>
        <w:rPr>
          <w:sz w:val="20"/>
          <w:szCs w:val="20"/>
          <w:color w:val="auto"/>
        </w:rPr>
      </w:pPr>
    </w:p>
    <w:p>
      <w:pPr>
        <w:jc w:val="both"/>
        <w:ind w:left="40" w:right="59" w:firstLine="324"/>
        <w:spacing w:after="0" w:line="267" w:lineRule="auto"/>
        <w:rPr>
          <w:sz w:val="20"/>
          <w:szCs w:val="20"/>
          <w:color w:val="auto"/>
        </w:rPr>
      </w:pPr>
      <w:r>
        <w:rPr>
          <w:rFonts w:ascii="Arial" w:cs="Arial" w:eastAsia="Arial" w:hAnsi="Arial"/>
          <w:sz w:val="17"/>
          <w:szCs w:val="17"/>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65" w:lineRule="exact"/>
        <w:rPr>
          <w:sz w:val="20"/>
          <w:szCs w:val="20"/>
          <w:color w:val="auto"/>
        </w:rPr>
      </w:pPr>
    </w:p>
    <w:p>
      <w:pPr>
        <w:jc w:val="both"/>
        <w:ind w:left="40" w:right="59" w:firstLine="324"/>
        <w:spacing w:after="0" w:line="272" w:lineRule="auto"/>
        <w:rPr>
          <w:sz w:val="20"/>
          <w:szCs w:val="20"/>
          <w:color w:val="auto"/>
        </w:rPr>
      </w:pPr>
      <w:r>
        <w:rPr>
          <w:rFonts w:ascii="Arial" w:cs="Arial" w:eastAsia="Arial" w:hAnsi="Arial"/>
          <w:sz w:val="17"/>
          <w:szCs w:val="17"/>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77"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87"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88" w:lineRule="exact"/>
        <w:rPr>
          <w:sz w:val="20"/>
          <w:szCs w:val="20"/>
          <w:color w:val="auto"/>
        </w:rPr>
      </w:pPr>
    </w:p>
    <w:p>
      <w:pPr>
        <w:jc w:val="both"/>
        <w:ind w:left="40" w:right="59" w:firstLine="324"/>
        <w:spacing w:after="0" w:line="301"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57"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84"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and other government agencies. If tenapanor or our other product candidates receive marketing approval, we and our collaboration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intend to implement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85" w:lineRule="exact"/>
        <w:rPr>
          <w:sz w:val="20"/>
          <w:szCs w:val="20"/>
          <w:color w:val="auto"/>
        </w:rPr>
      </w:pPr>
    </w:p>
    <w:p>
      <w:pPr>
        <w:jc w:val="both"/>
        <w:ind w:left="40" w:right="59" w:firstLine="324"/>
        <w:spacing w:after="0" w:line="287" w:lineRule="auto"/>
        <w:rPr>
          <w:sz w:val="20"/>
          <w:szCs w:val="20"/>
          <w:color w:val="auto"/>
        </w:rPr>
      </w:pPr>
      <w:r>
        <w:rPr>
          <w:rFonts w:ascii="Arial" w:cs="Arial" w:eastAsia="Arial" w:hAnsi="Arial"/>
          <w:sz w:val="16"/>
          <w:szCs w:val="16"/>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84" w:lineRule="exact"/>
        <w:rPr>
          <w:sz w:val="20"/>
          <w:szCs w:val="20"/>
          <w:color w:val="auto"/>
        </w:rPr>
      </w:pPr>
    </w:p>
    <w:p>
      <w:pPr>
        <w:jc w:val="both"/>
        <w:ind w:left="40" w:right="59" w:firstLine="324"/>
        <w:spacing w:after="0" w:line="273" w:lineRule="auto"/>
        <w:rPr>
          <w:sz w:val="20"/>
          <w:szCs w:val="20"/>
          <w:color w:val="auto"/>
        </w:rPr>
      </w:pPr>
      <w:r>
        <w:rPr>
          <w:rFonts w:ascii="Arial" w:cs="Arial" w:eastAsia="Arial" w:hAnsi="Arial"/>
          <w:sz w:val="17"/>
          <w:szCs w:val="17"/>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78"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Tenapanor, which has been approved by the FDA for the treatment of IBS-C, and/or our other product candidates, if approved, may cause or contribute to adverse medical events that we are required to report to regulatory agencies and if we fail to do so we could be subject to sanctions that would materially harm our business.</w:t>
      </w:r>
    </w:p>
    <w:p>
      <w:pPr>
        <w:spacing w:after="0" w:line="149"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182"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84" w:lineRule="exact"/>
        <w:rPr>
          <w:sz w:val="20"/>
          <w:szCs w:val="20"/>
          <w:color w:val="auto"/>
        </w:rPr>
      </w:pPr>
    </w:p>
    <w:p>
      <w:pPr>
        <w:jc w:val="both"/>
        <w:ind w:left="40" w:right="59" w:firstLine="324"/>
        <w:spacing w:after="0" w:line="284"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170" w:lineRule="exact"/>
        <w:rPr>
          <w:sz w:val="20"/>
          <w:szCs w:val="20"/>
          <w:color w:val="auto"/>
        </w:rPr>
      </w:pPr>
    </w:p>
    <w:p>
      <w:pPr>
        <w:jc w:val="both"/>
        <w:ind w:left="40" w:right="59" w:firstLine="324"/>
        <w:spacing w:after="0" w:line="296" w:lineRule="auto"/>
        <w:rPr>
          <w:sz w:val="20"/>
          <w:szCs w:val="20"/>
          <w:color w:val="auto"/>
        </w:rPr>
      </w:pPr>
      <w:r>
        <w:rPr>
          <w:rFonts w:ascii="Arial" w:cs="Arial" w:eastAsia="Arial" w:hAnsi="Arial"/>
          <w:sz w:val="16"/>
          <w:szCs w:val="16"/>
          <w:color w:val="auto"/>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or MA. Before the MA is granted, the EMA or the competent authorities of the Member States of the EEA make an assessment of the risk-benefit balance of the product on the basis of scientific criteria concerning its quality, safety and efficacy.</w:t>
      </w:r>
    </w:p>
    <w:p>
      <w:pPr>
        <w:spacing w:after="0" w:line="161" w:lineRule="exact"/>
        <w:rPr>
          <w:sz w:val="20"/>
          <w:szCs w:val="20"/>
          <w:color w:val="auto"/>
        </w:rPr>
      </w:pPr>
    </w:p>
    <w:p>
      <w:pPr>
        <w:jc w:val="both"/>
        <w:ind w:left="40" w:right="59" w:firstLine="324"/>
        <w:spacing w:after="0" w:line="253"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19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84"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products, 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173" w:lineRule="exact"/>
        <w:rPr>
          <w:sz w:val="20"/>
          <w:szCs w:val="20"/>
          <w:color w:val="auto"/>
        </w:rPr>
      </w:pPr>
    </w:p>
    <w:p>
      <w:pPr>
        <w:jc w:val="both"/>
        <w:ind w:left="700" w:right="59" w:hanging="332"/>
        <w:spacing w:after="0" w:line="227" w:lineRule="auto"/>
        <w:tabs>
          <w:tab w:leader="none" w:pos="70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spacing w:after="0" w:line="175" w:lineRule="exact"/>
        <w:rPr>
          <w:rFonts w:ascii="Arial" w:cs="Arial" w:eastAsia="Arial" w:hAnsi="Arial"/>
          <w:sz w:val="18"/>
          <w:szCs w:val="18"/>
          <w:color w:val="231F20"/>
        </w:rPr>
      </w:pPr>
    </w:p>
    <w:p>
      <w:pPr>
        <w:jc w:val="both"/>
        <w:ind w:left="700" w:right="59" w:hanging="332"/>
        <w:spacing w:after="0" w:line="228" w:lineRule="auto"/>
        <w:tabs>
          <w:tab w:leader="none" w:pos="70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statutes;</w:t>
      </w:r>
    </w:p>
    <w:p>
      <w:pPr>
        <w:spacing w:after="0" w:line="177"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169" w:lineRule="exact"/>
        <w:rPr>
          <w:rFonts w:ascii="Arial" w:cs="Arial" w:eastAsia="Arial" w:hAnsi="Arial"/>
          <w:sz w:val="18"/>
          <w:szCs w:val="18"/>
          <w:color w:val="231F20"/>
        </w:rPr>
      </w:pPr>
    </w:p>
    <w:p>
      <w:pPr>
        <w:jc w:val="both"/>
        <w:ind w:left="700" w:right="59" w:hanging="332"/>
        <w:spacing w:after="0" w:line="228" w:lineRule="auto"/>
        <w:tabs>
          <w:tab w:leader="none" w:pos="70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the federal physician sunshine requirements under the Affordable Care Act, which requires manufacturers of drugs, devices, biologics, and medical supplies to report annually to CMS information related to payments and other transfers of value to physicians, certain other healthcare providers beginning in 2022, and teaching hospitals, and ownership and investment interests held by physicians and other healthcare providers and their immediate family members;</w:t>
      </w:r>
    </w:p>
    <w:p>
      <w:pPr>
        <w:spacing w:after="0" w:line="177" w:lineRule="exact"/>
        <w:rPr>
          <w:rFonts w:ascii="Arial" w:cs="Arial" w:eastAsia="Arial" w:hAnsi="Arial"/>
          <w:sz w:val="18"/>
          <w:szCs w:val="18"/>
          <w:color w:val="231F20"/>
        </w:rPr>
      </w:pPr>
    </w:p>
    <w:p>
      <w:pPr>
        <w:ind w:left="700" w:right="79" w:hanging="332"/>
        <w:spacing w:after="0" w:line="274" w:lineRule="auto"/>
        <w:tabs>
          <w:tab w:leader="none" w:pos="700" w:val="left"/>
        </w:tabs>
        <w:numPr>
          <w:ilvl w:val="0"/>
          <w:numId w:val="32"/>
        </w:numPr>
        <w:rPr>
          <w:rFonts w:ascii="Arial" w:cs="Arial" w:eastAsia="Arial" w:hAnsi="Arial"/>
          <w:sz w:val="17"/>
          <w:szCs w:val="17"/>
          <w:color w:val="231F20"/>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700" w:right="79" w:hanging="332"/>
        <w:spacing w:after="0" w:line="253" w:lineRule="auto"/>
        <w:tabs>
          <w:tab w:leader="none" w:pos="700" w:val="left"/>
        </w:tabs>
        <w:numPr>
          <w:ilvl w:val="0"/>
          <w:numId w:val="33"/>
        </w:numPr>
        <w:rPr>
          <w:rFonts w:ascii="Arial" w:cs="Arial" w:eastAsia="Arial" w:hAnsi="Arial"/>
          <w:sz w:val="17"/>
          <w:szCs w:val="17"/>
          <w:color w:val="231F20"/>
        </w:rPr>
      </w:pPr>
      <w:r>
        <w:rPr>
          <w:rFonts w:ascii="Arial" w:cs="Arial" w:eastAsia="Arial" w:hAnsi="Arial"/>
          <w:sz w:val="17"/>
          <w:szCs w:val="17"/>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64" w:lineRule="exact"/>
        <w:rPr>
          <w:rFonts w:ascii="Arial" w:cs="Arial" w:eastAsia="Arial" w:hAnsi="Arial"/>
          <w:sz w:val="17"/>
          <w:szCs w:val="17"/>
          <w:color w:val="231F20"/>
        </w:rPr>
      </w:pPr>
    </w:p>
    <w:p>
      <w:pPr>
        <w:ind w:left="700" w:right="79" w:hanging="332"/>
        <w:spacing w:after="0" w:line="274" w:lineRule="auto"/>
        <w:tabs>
          <w:tab w:leader="none" w:pos="700" w:val="left"/>
        </w:tabs>
        <w:numPr>
          <w:ilvl w:val="0"/>
          <w:numId w:val="33"/>
        </w:numPr>
        <w:rPr>
          <w:rFonts w:ascii="Arial" w:cs="Arial" w:eastAsia="Arial" w:hAnsi="Arial"/>
          <w:sz w:val="17"/>
          <w:szCs w:val="17"/>
          <w:color w:val="231F20"/>
        </w:rPr>
      </w:pPr>
      <w:r>
        <w:rPr>
          <w:rFonts w:ascii="Arial" w:cs="Arial" w:eastAsia="Arial" w:hAnsi="Arial"/>
          <w:sz w:val="17"/>
          <w:szCs w:val="17"/>
          <w:color w:val="auto"/>
        </w:rPr>
        <w:t>state laws that require drug manufacturers to report information related to payments and other transfers of value to physicians and other healthcare providers or pricing information and marketing expenditures; and</w:t>
      </w:r>
    </w:p>
    <w:p>
      <w:pPr>
        <w:spacing w:after="0" w:line="147" w:lineRule="exact"/>
        <w:rPr>
          <w:rFonts w:ascii="Arial" w:cs="Arial" w:eastAsia="Arial" w:hAnsi="Arial"/>
          <w:sz w:val="17"/>
          <w:szCs w:val="17"/>
          <w:color w:val="231F20"/>
        </w:rPr>
      </w:pPr>
    </w:p>
    <w:p>
      <w:pPr>
        <w:ind w:left="700" w:right="59" w:hanging="332"/>
        <w:spacing w:after="0" w:line="246" w:lineRule="auto"/>
        <w:tabs>
          <w:tab w:leader="none" w:pos="70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83"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18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84" w:lineRule="exact"/>
        <w:rPr>
          <w:sz w:val="20"/>
          <w:szCs w:val="20"/>
          <w:color w:val="auto"/>
        </w:rPr>
      </w:pPr>
    </w:p>
    <w:p>
      <w:pPr>
        <w:jc w:val="both"/>
        <w:ind w:left="40" w:right="59" w:firstLine="324"/>
        <w:spacing w:after="0" w:line="272"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64" w:lineRule="exact"/>
        <w:rPr>
          <w:sz w:val="20"/>
          <w:szCs w:val="20"/>
          <w:color w:val="auto"/>
        </w:rPr>
      </w:pPr>
    </w:p>
    <w:p>
      <w:pPr>
        <w:ind w:left="700" w:hanging="332"/>
        <w:spacing w:after="0"/>
        <w:tabs>
          <w:tab w:leader="none" w:pos="70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additional clinical trials to be conducted prior to obtaining approval;</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changes to manufacturing methods;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recall, replacement, or discontinuance of one or more of our products; and</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additional record keeping.</w:t>
      </w:r>
    </w:p>
    <w:p>
      <w:pPr>
        <w:spacing w:after="0" w:line="212"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84" w:lineRule="exact"/>
        <w:rPr>
          <w:sz w:val="20"/>
          <w:szCs w:val="20"/>
          <w:color w:val="auto"/>
        </w:rPr>
      </w:pPr>
    </w:p>
    <w:p>
      <w:pPr>
        <w:jc w:val="both"/>
        <w:ind w:left="40" w:right="59" w:firstLine="324"/>
        <w:spacing w:after="0" w:line="290" w:lineRule="auto"/>
        <w:rPr>
          <w:sz w:val="20"/>
          <w:szCs w:val="20"/>
          <w:color w:val="auto"/>
        </w:rPr>
      </w:pPr>
      <w:r>
        <w:rPr>
          <w:rFonts w:ascii="Arial" w:cs="Arial" w:eastAsia="Arial" w:hAnsi="Arial"/>
          <w:sz w:val="16"/>
          <w:szCs w:val="16"/>
          <w:color w:val="auto"/>
        </w:rPr>
        <w:t>In addition, the full impact of recent healthcare reform and other changes in the healthcare industry and in healthcare spending is currently unknown, and may adversely affect our business model. In the United States, the Affordable Care Act was enacted in 2010 with a goal of reducing the cost of healthcare and substantially changing the way healthcare is financed by both government and private insurers. The Affordable Care Act,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point-of-sale discounts off negotiated prices of applicable brand drugs to eligible beneficiaries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during their coverage gap period as a condition for the manufacturer’s outpatient drugs to be covered under Medicare Part D. The Bipartisan Budget Act of 2018 increased this discount to 70% beginning in January 2019.</w:t>
      </w:r>
    </w:p>
    <w:p>
      <w:pPr>
        <w:spacing w:after="0" w:line="170" w:lineRule="exact"/>
        <w:rPr>
          <w:sz w:val="20"/>
          <w:szCs w:val="20"/>
          <w:color w:val="auto"/>
        </w:rPr>
      </w:pPr>
    </w:p>
    <w:p>
      <w:pPr>
        <w:jc w:val="both"/>
        <w:ind w:left="40" w:right="59" w:firstLine="324"/>
        <w:spacing w:after="0" w:line="285"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Affordable Care Act, as well as efforts by the current Presidential Administration to modify, or repeal all, or certain provisions of, the Affordable Care Act. By way of example, the Tax Cuts and Jobs Act of 2017 includes a provision repealing,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It is unclear how these decisions, subsequent appeals, and other efforts to challenge, repeal, or replace the ACA will impact the ACA or our business. We cannot predict the reform initiatives that may be adopted in the future or whether initiatives that have been adopted will be repealed or modified.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71" w:lineRule="exact"/>
        <w:rPr>
          <w:sz w:val="20"/>
          <w:szCs w:val="20"/>
          <w:color w:val="auto"/>
        </w:rPr>
      </w:pPr>
    </w:p>
    <w:p>
      <w:pPr>
        <w:jc w:val="both"/>
        <w:ind w:left="40" w:right="59" w:firstLine="324"/>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Affordable Care Act was enacted. These new laws, among other things, included aggregate reductions of Medicare payments of 2% per fiscal year to providers that will remain in effect through 2029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or our other product candidates, or prevent or delay the continued use of our drug discovery and development platform, including APECCS.</w:t>
      </w:r>
    </w:p>
    <w:p>
      <w:pPr>
        <w:spacing w:after="0" w:line="157" w:lineRule="exact"/>
        <w:rPr>
          <w:sz w:val="20"/>
          <w:szCs w:val="20"/>
          <w:color w:val="auto"/>
        </w:rPr>
      </w:pPr>
    </w:p>
    <w:p>
      <w:pPr>
        <w:jc w:val="both"/>
        <w:ind w:left="40" w:right="59" w:firstLine="324"/>
        <w:spacing w:after="0" w:line="287" w:lineRule="auto"/>
        <w:rPr>
          <w:sz w:val="20"/>
          <w:szCs w:val="20"/>
          <w:color w:val="auto"/>
        </w:rPr>
      </w:pPr>
      <w:r>
        <w:rPr>
          <w:rFonts w:ascii="Arial" w:cs="Arial" w:eastAsia="Arial" w:hAnsi="Arial"/>
          <w:sz w:val="16"/>
          <w:szCs w:val="16"/>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or any other product candidates, or that the use of our drug discovery and development platform, including APECCS,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or other product candidates or by the use of APECCS.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or our other product candidates, or by the use of APECCS.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324"/>
        <w:spacing w:after="0" w:line="284" w:lineRule="auto"/>
        <w:rPr>
          <w:sz w:val="20"/>
          <w:szCs w:val="20"/>
          <w:color w:val="auto"/>
        </w:rPr>
      </w:pPr>
      <w:r>
        <w:rPr>
          <w:rFonts w:ascii="Arial" w:cs="Arial" w:eastAsia="Arial" w:hAnsi="Arial"/>
          <w:sz w:val="16"/>
          <w:szCs w:val="16"/>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research, development, manufacturing or sales of the product or product candidate that is the subject of the suit. In addition, if a patent infringement suit were brought against us regarding the use of aspects of our drug discovery and development platform, we could be forced to stop our use of APECCS or of other aspects of our platform, or we could be forced to modify our processes to avoid infringement, which may not be possible at a reasonable cost, if at all, and which could result in substantial delay in our use of our platform for the discovery of new product candidates or potential targets.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or to cease our use of APECCS or some other aspect of our drug discovery and development platform or our business operations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82" w:lineRule="exact"/>
        <w:rPr>
          <w:sz w:val="20"/>
          <w:szCs w:val="20"/>
          <w:color w:val="auto"/>
        </w:rPr>
      </w:pPr>
    </w:p>
    <w:p>
      <w:pPr>
        <w:jc w:val="both"/>
        <w:ind w:left="40" w:right="59" w:firstLine="324"/>
        <w:spacing w:after="0" w:line="272" w:lineRule="auto"/>
        <w:rPr>
          <w:sz w:val="20"/>
          <w:szCs w:val="20"/>
          <w:color w:val="auto"/>
        </w:rPr>
      </w:pPr>
      <w:r>
        <w:rPr>
          <w:rFonts w:ascii="Arial" w:cs="Arial" w:eastAsia="Arial" w:hAnsi="Arial"/>
          <w:sz w:val="17"/>
          <w:szCs w:val="17"/>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or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77"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146"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88" w:lineRule="exact"/>
        <w:rPr>
          <w:sz w:val="20"/>
          <w:szCs w:val="20"/>
          <w:color w:val="auto"/>
        </w:rPr>
      </w:pPr>
    </w:p>
    <w:p>
      <w:pPr>
        <w:jc w:val="both"/>
        <w:ind w:left="40" w:right="59" w:firstLine="324"/>
        <w:spacing w:after="0" w:line="285"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business. Further, if we encounter delays in our clinical trials, the period of time during which we or our collaboration partners could market tenapanor or other product candidates under patent protection would be reduced.</w:t>
      </w:r>
    </w:p>
    <w:p>
      <w:pPr>
        <w:spacing w:after="0" w:line="146" w:lineRule="exact"/>
        <w:rPr>
          <w:sz w:val="20"/>
          <w:szCs w:val="20"/>
          <w:color w:val="auto"/>
        </w:rPr>
      </w:pPr>
    </w:p>
    <w:p>
      <w:pPr>
        <w:jc w:val="both"/>
        <w:ind w:left="40" w:right="59" w:firstLine="324"/>
        <w:spacing w:after="0" w:line="268" w:lineRule="auto"/>
        <w:rPr>
          <w:sz w:val="20"/>
          <w:szCs w:val="20"/>
          <w:color w:val="auto"/>
        </w:rPr>
      </w:pPr>
      <w:r>
        <w:rPr>
          <w:rFonts w:ascii="Arial" w:cs="Arial" w:eastAsia="Arial" w:hAnsi="Arial"/>
          <w:sz w:val="17"/>
          <w:szCs w:val="17"/>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82"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67" w:lineRule="exact"/>
        <w:rPr>
          <w:sz w:val="20"/>
          <w:szCs w:val="20"/>
          <w:color w:val="auto"/>
        </w:rPr>
      </w:pPr>
    </w:p>
    <w:p>
      <w:pPr>
        <w:jc w:val="both"/>
        <w:ind w:left="40" w:right="59" w:firstLine="324"/>
        <w:spacing w:after="0" w:line="296" w:lineRule="auto"/>
        <w:rPr>
          <w:sz w:val="20"/>
          <w:szCs w:val="20"/>
          <w:color w:val="auto"/>
        </w:rPr>
      </w:pPr>
      <w:r>
        <w:rPr>
          <w:rFonts w:ascii="Arial" w:cs="Arial" w:eastAsia="Arial" w:hAnsi="Arial"/>
          <w:sz w:val="16"/>
          <w:szCs w:val="16"/>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61"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84" w:lineRule="exact"/>
        <w:rPr>
          <w:sz w:val="20"/>
          <w:szCs w:val="20"/>
          <w:color w:val="auto"/>
        </w:rPr>
      </w:pPr>
    </w:p>
    <w:p>
      <w:pPr>
        <w:jc w:val="both"/>
        <w:ind w:left="40" w:right="59" w:firstLine="324"/>
        <w:spacing w:after="0" w:line="270" w:lineRule="auto"/>
        <w:rPr>
          <w:sz w:val="20"/>
          <w:szCs w:val="20"/>
          <w:color w:val="auto"/>
        </w:rPr>
      </w:pPr>
      <w:r>
        <w:rPr>
          <w:rFonts w:ascii="Arial" w:cs="Arial" w:eastAsia="Arial" w:hAnsi="Arial"/>
          <w:sz w:val="17"/>
          <w:szCs w:val="17"/>
          <w:color w:val="auto"/>
        </w:rPr>
        <w:t>Following the approval by the FDA for our NDA to market tenapanor for IBS-C, we became eligible to seek and sought patent term restoration under the Hatch-Waxman Act for one of the U.S. patents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tenapanor or other product candidates,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87"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95"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95"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00"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71" w:lineRule="exact"/>
        <w:rPr>
          <w:sz w:val="20"/>
          <w:szCs w:val="20"/>
          <w:color w:val="auto"/>
        </w:rPr>
      </w:pPr>
    </w:p>
    <w:p>
      <w:pPr>
        <w:jc w:val="both"/>
        <w:ind w:left="40" w:right="59" w:firstLine="324"/>
        <w:spacing w:after="0" w:line="311" w:lineRule="auto"/>
        <w:rPr>
          <w:sz w:val="20"/>
          <w:szCs w:val="20"/>
          <w:color w:val="auto"/>
        </w:rPr>
      </w:pPr>
      <w:r>
        <w:rPr>
          <w:rFonts w:ascii="Arial" w:cs="Arial" w:eastAsia="Arial" w:hAnsi="Arial"/>
          <w:sz w:val="16"/>
          <w:szCs w:val="16"/>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stock price may be volatile and our stockholders may not be able to resell shares of our common stock at or above the price they paid.</w:t>
      </w:r>
    </w:p>
    <w:p>
      <w:pPr>
        <w:spacing w:after="0" w:line="170"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70" w:lineRule="exact"/>
        <w:rPr>
          <w:sz w:val="20"/>
          <w:szCs w:val="20"/>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from, or any delays in, clinical trial programs relating to our product candidates;</w:t>
      </w:r>
    </w:p>
    <w:p>
      <w:pPr>
        <w:spacing w:after="0" w:line="198" w:lineRule="exact"/>
        <w:rPr>
          <w:rFonts w:ascii="Arial" w:cs="Arial" w:eastAsia="Arial" w:hAnsi="Arial"/>
          <w:sz w:val="18"/>
          <w:szCs w:val="18"/>
          <w:color w:val="auto"/>
        </w:rPr>
      </w:pPr>
    </w:p>
    <w:p>
      <w:pPr>
        <w:ind w:left="700" w:right="79" w:hanging="332"/>
        <w:spacing w:after="0" w:line="246"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our efforts to establish a collaboration partnership for the commercialization of tenapanor for IBS-C in the United States;</w:t>
      </w:r>
    </w:p>
    <w:p>
      <w:pPr>
        <w:spacing w:after="0" w:line="169" w:lineRule="exact"/>
        <w:rPr>
          <w:rFonts w:ascii="Arial" w:cs="Arial" w:eastAsia="Arial" w:hAnsi="Arial"/>
          <w:sz w:val="18"/>
          <w:szCs w:val="18"/>
          <w:color w:val="auto"/>
        </w:rPr>
      </w:pPr>
    </w:p>
    <w:p>
      <w:pPr>
        <w:ind w:left="700" w:right="79" w:hanging="332"/>
        <w:spacing w:after="0" w:line="246"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alone or with collaboration partners, to commercialize or obtain regulatory approval for tenapanor, or delays in commercializing or obtaining regulatory approval;</w:t>
      </w:r>
    </w:p>
    <w:p>
      <w:pPr>
        <w:spacing w:after="0" w:line="169" w:lineRule="exact"/>
        <w:rPr>
          <w:rFonts w:ascii="Arial" w:cs="Arial" w:eastAsia="Arial" w:hAnsi="Arial"/>
          <w:sz w:val="18"/>
          <w:szCs w:val="18"/>
          <w:color w:val="auto"/>
        </w:rPr>
      </w:pPr>
    </w:p>
    <w:p>
      <w:pPr>
        <w:jc w:val="both"/>
        <w:ind w:left="700" w:right="79" w:hanging="332"/>
        <w:spacing w:after="0" w:line="235"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regulatory approval, results of regulatory inspections of our facilities or those of our contract manufacturing organizations, or specific label restrictions or patient populations for tenapanor’s use, or changes or delays in the regulatory review process;</w:t>
      </w:r>
    </w:p>
    <w:p>
      <w:pPr>
        <w:spacing w:after="0" w:line="174"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relating to our current or future collaboration partnerships;</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98" w:lineRule="exact"/>
        <w:rPr>
          <w:rFonts w:ascii="Arial" w:cs="Arial" w:eastAsia="Arial" w:hAnsi="Arial"/>
          <w:sz w:val="18"/>
          <w:szCs w:val="18"/>
          <w:color w:val="auto"/>
        </w:rPr>
      </w:pPr>
    </w:p>
    <w:p>
      <w:pPr>
        <w:ind w:left="700" w:right="79" w:hanging="332"/>
        <w:spacing w:after="0" w:line="246"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product label, our clinical trials, manufacturing supply chain or sales and marketing activities;</w:t>
      </w:r>
    </w:p>
    <w:p>
      <w:pPr>
        <w:spacing w:after="0" w:line="169"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198" w:lineRule="exact"/>
        <w:rPr>
          <w:rFonts w:ascii="Arial" w:cs="Arial" w:eastAsia="Arial" w:hAnsi="Arial"/>
          <w:sz w:val="18"/>
          <w:szCs w:val="18"/>
          <w:color w:val="auto"/>
        </w:rPr>
      </w:pPr>
    </w:p>
    <w:p>
      <w:pPr>
        <w:ind w:left="700" w:right="59" w:hanging="332"/>
        <w:spacing w:after="0" w:line="246"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meet any of our projected timelines or goals with regard to the clinical development of any of our product candidates;</w:t>
      </w:r>
    </w:p>
    <w:p>
      <w:pPr>
        <w:spacing w:after="0" w:line="169"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our efforts to acquire or license or discover additional product candidates;</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our efforts to obtain adequate intellectual property protection for our product candidates;</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98" w:lineRule="exact"/>
        <w:rPr>
          <w:rFonts w:ascii="Arial" w:cs="Arial" w:eastAsia="Arial" w:hAnsi="Arial"/>
          <w:sz w:val="18"/>
          <w:szCs w:val="18"/>
          <w:color w:val="auto"/>
        </w:rPr>
      </w:pPr>
    </w:p>
    <w:p>
      <w:pPr>
        <w:ind w:left="700" w:right="59" w:hanging="332"/>
        <w:spacing w:after="0" w:line="246"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 or other healthcare reform measures in the United States;</w:t>
      </w:r>
    </w:p>
    <w:p>
      <w:pPr>
        <w:spacing w:after="0" w:line="169" w:lineRule="exact"/>
        <w:rPr>
          <w:rFonts w:ascii="Arial" w:cs="Arial" w:eastAsia="Arial" w:hAnsi="Arial"/>
          <w:sz w:val="18"/>
          <w:szCs w:val="18"/>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and directors or our stockholders in the future;</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debt securities and sales or licensing of assets;</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general economic and market conditions and overall fluctuations in the United States equity markets; and</w:t>
      </w:r>
    </w:p>
    <w:p>
      <w:pPr>
        <w:spacing w:after="0" w:line="209" w:lineRule="exact"/>
        <w:rPr>
          <w:rFonts w:ascii="Arial" w:cs="Arial" w:eastAsia="Arial" w:hAnsi="Arial"/>
          <w:sz w:val="17"/>
          <w:szCs w:val="17"/>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212"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9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stock and, together with our management, will be able to exert significant control over matters subject to stockholder approval.</w:t>
      </w:r>
    </w:p>
    <w:p>
      <w:pPr>
        <w:spacing w:after="0" w:line="170" w:lineRule="exact"/>
        <w:rPr>
          <w:sz w:val="20"/>
          <w:szCs w:val="20"/>
          <w:color w:val="auto"/>
        </w:rPr>
      </w:pPr>
    </w:p>
    <w:p>
      <w:pPr>
        <w:jc w:val="both"/>
        <w:ind w:left="40" w:right="59" w:firstLine="324"/>
        <w:spacing w:after="0" w:line="268" w:lineRule="auto"/>
        <w:rPr>
          <w:sz w:val="20"/>
          <w:szCs w:val="20"/>
          <w:color w:val="auto"/>
        </w:rPr>
      </w:pPr>
      <w:r>
        <w:rPr>
          <w:rFonts w:ascii="Arial" w:cs="Arial" w:eastAsia="Arial" w:hAnsi="Arial"/>
          <w:sz w:val="17"/>
          <w:szCs w:val="17"/>
          <w:color w:val="auto"/>
        </w:rPr>
        <w:t>Based on the number of shares outstanding as of December 31, 2019, our officers, directors and affiliated stockholders who hold at least 5% of our stock together beneficially own approximately 52.2% of our outstanding common stock. If these officers, directors, and principal stockholders or a group of our principal stockholders act together, they will be able to exert a significant degree of influence over our management and affairs and control matters requiring stockholder approval, including the election of directors, amendments to our organizational documents, and approval of any merger, sale of assets or other business combination transactions. The interests of this concentration of ownership may not always coincide with our interests or the interests of other stockholders. For instance, officers, directors and principal stockholders, acting together, could cause us to enter into transactions or agreements that we would not otherwise consider. Similarly, this concentration of ownership may have the effect of delaying or preventing a change in control of our company otherwise favored by our other stockholders. As of December 31, 2019, entities affiliated with New Enterprise Associates, or NEA, a venture capital fund associated with one of our directors, collectively beneficially owned approximately 19.4% of our common stock, including shares that NEA has the right to acquire within 60 days of December 31, 2019 upon exercise of warrants held by NEA.</w:t>
      </w:r>
    </w:p>
    <w:p>
      <w:pPr>
        <w:spacing w:after="0" w:line="18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70" w:lineRule="exact"/>
        <w:rPr>
          <w:sz w:val="20"/>
          <w:szCs w:val="20"/>
          <w:color w:val="auto"/>
        </w:rPr>
      </w:pPr>
    </w:p>
    <w:p>
      <w:pPr>
        <w:jc w:val="both"/>
        <w:ind w:left="40" w:right="59" w:firstLine="324"/>
        <w:spacing w:after="0" w:line="273" w:lineRule="auto"/>
        <w:rPr>
          <w:sz w:val="20"/>
          <w:szCs w:val="20"/>
          <w:color w:val="auto"/>
        </w:rPr>
      </w:pPr>
      <w:r>
        <w:rPr>
          <w:rFonts w:ascii="Arial" w:cs="Arial" w:eastAsia="Arial" w:hAnsi="Arial"/>
          <w:sz w:val="17"/>
          <w:szCs w:val="17"/>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Sales of a substantial number of shares of our common stock in the public market could cause our stock price to fall.</w:t>
      </w:r>
    </w:p>
    <w:p>
      <w:pPr>
        <w:spacing w:after="0" w:line="260"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trading price of our common stock could decline. As of December 31, 2019, we had 88,817,741 shares of common stock outstanding. Of those shares, approximately 43.9 million were held by current directors, executive officers and stockholders owning 5% or more of our outstanding common stock.</w:t>
      </w:r>
    </w:p>
    <w:p>
      <w:pPr>
        <w:spacing w:after="0" w:line="187"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As of December 31, 2019, approximately 0.8 million shares of common stock issuable upon vesting of outstanding restricted stock units and approximately 7.3 million shares of common stock issuable upon exercise of outstanding options were eligible for sale in the public market to the extent permitted by the provisions of the applicable vesting schedules, and Rule 144 and Rule 701 under the Securities Act. In addition, as of December 31, 2019, approximately 2.2 million shares of common stock issuable upon exercise of outstanding warrants were eligible for sale in the public market. If these additional shares of common stock are issued and sold, or if it is perceived that they will be sold, in the public market, the trading price of our common stock could decline.</w:t>
      </w:r>
    </w:p>
    <w:p>
      <w:pPr>
        <w:spacing w:after="0" w:line="19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70" w:lineRule="exact"/>
        <w:rPr>
          <w:sz w:val="20"/>
          <w:szCs w:val="20"/>
          <w:color w:val="auto"/>
        </w:rPr>
      </w:pPr>
    </w:p>
    <w:p>
      <w:pPr>
        <w:jc w:val="both"/>
        <w:ind w:left="40" w:right="59" w:firstLine="324"/>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35" w:lineRule="exact"/>
        <w:rPr>
          <w:sz w:val="20"/>
          <w:szCs w:val="20"/>
          <w:color w:val="auto"/>
        </w:rPr>
      </w:pPr>
    </w:p>
    <w:p>
      <w:pPr>
        <w:ind w:left="700" w:right="59" w:hanging="332"/>
        <w:spacing w:after="0" w:line="246" w:lineRule="auto"/>
        <w:tabs>
          <w:tab w:leader="none" w:pos="70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69"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69" w:lineRule="exact"/>
        <w:rPr>
          <w:rFonts w:ascii="Arial" w:cs="Arial" w:eastAsia="Arial" w:hAnsi="Arial"/>
          <w:sz w:val="18"/>
          <w:szCs w:val="18"/>
          <w:color w:val="231F20"/>
        </w:rPr>
      </w:pPr>
    </w:p>
    <w:p>
      <w:pPr>
        <w:jc w:val="both"/>
        <w:ind w:left="700" w:right="79" w:hanging="332"/>
        <w:spacing w:after="0" w:line="235" w:lineRule="auto"/>
        <w:tabs>
          <w:tab w:leader="none" w:pos="70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74"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169" w:lineRule="exact"/>
        <w:rPr>
          <w:rFonts w:ascii="Arial" w:cs="Arial" w:eastAsia="Arial" w:hAnsi="Arial"/>
          <w:sz w:val="18"/>
          <w:szCs w:val="18"/>
          <w:color w:val="231F20"/>
        </w:rPr>
      </w:pPr>
    </w:p>
    <w:p>
      <w:pPr>
        <w:jc w:val="both"/>
        <w:ind w:left="700" w:right="79" w:hanging="332"/>
        <w:spacing w:after="0" w:line="235" w:lineRule="auto"/>
        <w:tabs>
          <w:tab w:leader="none" w:pos="70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74" w:lineRule="exact"/>
        <w:rPr>
          <w:rFonts w:ascii="Arial" w:cs="Arial" w:eastAsia="Arial" w:hAnsi="Arial"/>
          <w:sz w:val="18"/>
          <w:szCs w:val="18"/>
          <w:color w:val="231F20"/>
        </w:rPr>
      </w:pPr>
    </w:p>
    <w:p>
      <w:pPr>
        <w:ind w:left="700" w:hanging="332"/>
        <w:spacing w:after="0"/>
        <w:tabs>
          <w:tab w:leader="none" w:pos="70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ability of our board of directors to alter our bylaws without obtaining stockholder approval;</w:t>
      </w:r>
    </w:p>
    <w:p>
      <w:pPr>
        <w:spacing w:after="0" w:line="198" w:lineRule="exact"/>
        <w:rPr>
          <w:rFonts w:ascii="Arial" w:cs="Arial" w:eastAsia="Arial" w:hAnsi="Arial"/>
          <w:sz w:val="18"/>
          <w:szCs w:val="18"/>
          <w:color w:val="231F20"/>
        </w:rPr>
      </w:pPr>
    </w:p>
    <w:p>
      <w:pPr>
        <w:jc w:val="both"/>
        <w:ind w:left="700" w:right="59" w:hanging="332"/>
        <w:spacing w:after="0" w:line="235" w:lineRule="auto"/>
        <w:tabs>
          <w:tab w:leader="none" w:pos="70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74"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69" w:lineRule="exact"/>
        <w:rPr>
          <w:rFonts w:ascii="Arial" w:cs="Arial" w:eastAsia="Arial" w:hAnsi="Arial"/>
          <w:sz w:val="18"/>
          <w:szCs w:val="18"/>
          <w:color w:val="231F20"/>
        </w:rPr>
      </w:pPr>
    </w:p>
    <w:p>
      <w:pPr>
        <w:jc w:val="both"/>
        <w:ind w:left="700" w:right="79" w:hanging="332"/>
        <w:spacing w:after="0" w:line="253" w:lineRule="auto"/>
        <w:tabs>
          <w:tab w:leader="none" w:pos="700" w:val="left"/>
        </w:tabs>
        <w:numPr>
          <w:ilvl w:val="0"/>
          <w:numId w:val="37"/>
        </w:numPr>
        <w:rPr>
          <w:rFonts w:ascii="Arial" w:cs="Arial" w:eastAsia="Arial" w:hAnsi="Arial"/>
          <w:sz w:val="17"/>
          <w:szCs w:val="17"/>
          <w:color w:val="231F20"/>
        </w:rPr>
      </w:pPr>
      <w:r>
        <w:rPr>
          <w:rFonts w:ascii="Arial" w:cs="Arial" w:eastAsia="Arial" w:hAnsi="Arial"/>
          <w:sz w:val="17"/>
          <w:szCs w:val="17"/>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700" w:right="59" w:hanging="332"/>
        <w:spacing w:after="0" w:line="231" w:lineRule="auto"/>
        <w:tabs>
          <w:tab w:leader="none" w:pos="70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9"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70"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70"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jc w:val="both"/>
        <w:ind w:left="40" w:right="59" w:firstLine="324"/>
        <w:spacing w:after="0" w:line="308" w:lineRule="auto"/>
        <w:rPr>
          <w:sz w:val="20"/>
          <w:szCs w:val="20"/>
          <w:color w:val="auto"/>
        </w:rPr>
      </w:pPr>
      <w:r>
        <w:rPr>
          <w:rFonts w:ascii="Arial" w:cs="Arial" w:eastAsia="Arial" w:hAnsi="Arial"/>
          <w:sz w:val="17"/>
          <w:szCs w:val="17"/>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33" w:lineRule="exact"/>
        <w:rPr>
          <w:sz w:val="20"/>
          <w:szCs w:val="20"/>
          <w:color w:val="auto"/>
        </w:rPr>
      </w:pPr>
    </w:p>
    <w:p>
      <w:pPr>
        <w:jc w:val="both"/>
        <w:ind w:left="700" w:right="59" w:hanging="332"/>
        <w:spacing w:after="0" w:line="242" w:lineRule="auto"/>
        <w:tabs>
          <w:tab w:leader="none" w:pos="700" w:val="left"/>
        </w:tabs>
        <w:numPr>
          <w:ilvl w:val="0"/>
          <w:numId w:val="39"/>
        </w:numPr>
        <w:rPr>
          <w:rFonts w:ascii="Arial" w:cs="Arial" w:eastAsia="Arial" w:hAnsi="Arial"/>
          <w:sz w:val="17"/>
          <w:szCs w:val="17"/>
          <w:color w:val="231F20"/>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75" w:lineRule="exact"/>
        <w:rPr>
          <w:rFonts w:ascii="Arial" w:cs="Arial" w:eastAsia="Arial" w:hAnsi="Arial"/>
          <w:sz w:val="17"/>
          <w:szCs w:val="17"/>
          <w:color w:val="231F20"/>
        </w:rPr>
      </w:pPr>
    </w:p>
    <w:p>
      <w:pPr>
        <w:ind w:left="700" w:right="79" w:hanging="332"/>
        <w:spacing w:after="0" w:line="246" w:lineRule="auto"/>
        <w:tabs>
          <w:tab w:leader="none" w:pos="70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69" w:lineRule="exact"/>
        <w:rPr>
          <w:rFonts w:ascii="Arial" w:cs="Arial" w:eastAsia="Arial" w:hAnsi="Arial"/>
          <w:sz w:val="18"/>
          <w:szCs w:val="18"/>
          <w:color w:val="231F20"/>
        </w:rPr>
      </w:pPr>
    </w:p>
    <w:p>
      <w:pPr>
        <w:jc w:val="both"/>
        <w:ind w:left="700" w:right="79" w:hanging="332"/>
        <w:spacing w:after="0" w:line="235" w:lineRule="auto"/>
        <w:tabs>
          <w:tab w:leader="none" w:pos="70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74" w:lineRule="exact"/>
        <w:rPr>
          <w:rFonts w:ascii="Arial" w:cs="Arial" w:eastAsia="Arial" w:hAnsi="Arial"/>
          <w:sz w:val="18"/>
          <w:szCs w:val="18"/>
          <w:color w:val="231F20"/>
        </w:rPr>
      </w:pPr>
    </w:p>
    <w:p>
      <w:pPr>
        <w:jc w:val="both"/>
        <w:ind w:left="700" w:right="79" w:hanging="332"/>
        <w:spacing w:after="0" w:line="235" w:lineRule="auto"/>
        <w:tabs>
          <w:tab w:leader="none" w:pos="70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74" w:lineRule="exact"/>
        <w:rPr>
          <w:rFonts w:ascii="Arial" w:cs="Arial" w:eastAsia="Arial" w:hAnsi="Arial"/>
          <w:sz w:val="18"/>
          <w:szCs w:val="18"/>
          <w:color w:val="231F20"/>
        </w:rPr>
      </w:pPr>
    </w:p>
    <w:p>
      <w:pPr>
        <w:jc w:val="both"/>
        <w:ind w:left="700" w:right="59" w:hanging="332"/>
        <w:spacing w:after="0" w:line="235" w:lineRule="auto"/>
        <w:tabs>
          <w:tab w:leader="none" w:pos="70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74"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83" w:lineRule="exact"/>
        <w:rPr>
          <w:sz w:val="20"/>
          <w:szCs w:val="20"/>
          <w:color w:val="auto"/>
        </w:rPr>
      </w:pPr>
    </w:p>
    <w:p>
      <w:pPr>
        <w:ind w:left="40" w:right="59"/>
        <w:spacing w:after="0" w:line="308" w:lineRule="auto"/>
        <w:rPr>
          <w:sz w:val="20"/>
          <w:szCs w:val="20"/>
          <w:color w:val="auto"/>
        </w:rPr>
      </w:pPr>
      <w:r>
        <w:rPr>
          <w:rFonts w:ascii="Arial" w:cs="Arial" w:eastAsia="Arial" w:hAnsi="Arial"/>
          <w:sz w:val="17"/>
          <w:szCs w:val="17"/>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46" w:lineRule="exact"/>
        <w:rPr>
          <w:sz w:val="20"/>
          <w:szCs w:val="20"/>
          <w:color w:val="auto"/>
        </w:rPr>
      </w:pPr>
    </w:p>
    <w:p>
      <w:pPr>
        <w:ind w:left="40" w:right="159" w:firstLine="324"/>
        <w:spacing w:after="0" w:line="311"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Our headquarters is currently located in Fremont, California, and consists of 72,500 square feet of leased office and laboratory space under a lease that expires in September 2021, with an option to extend the lease term subsequently by five years. In addition, we lease 3,520 square feet of office space in Waltham, Massachusetts, under a lease that currently expires in September 2021. We believe that our existing facilities are adequate for our current needs. If we determine that additional or new facilities are needed in the future, we believe that sufficient options would be available to us on commercially reasonable terms.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40" w:right="99" w:firstLine="648"/>
        <w:spacing w:after="0" w:line="263"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We believe that as of December 31, 2019, there is no litigation pending that would reasonably be expected to have a material adverse effect on our results of operations and financial condition.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0" w:right="21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40" w:right="399" w:firstLine="648"/>
        <w:spacing w:after="0" w:line="263" w:lineRule="auto"/>
        <w:rPr>
          <w:sz w:val="20"/>
          <w:szCs w:val="20"/>
          <w:color w:val="auto"/>
        </w:rPr>
      </w:pPr>
      <w:r>
        <w:rPr>
          <w:rFonts w:ascii="Arial" w:cs="Arial" w:eastAsia="Arial" w:hAnsi="Arial"/>
          <w:sz w:val="18"/>
          <w:szCs w:val="18"/>
          <w:color w:val="auto"/>
        </w:rPr>
        <w:t>On June 19, 2014, our common stock commenced trading on The Nasdaq Global Market under the symbol “ARDX”. Prior to that date, there was no public trading market for our common stock. As of December 31, 2019, there were 35 holders of record of our common stock.</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40" w:right="559" w:firstLine="648"/>
        <w:spacing w:after="0" w:line="27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growth and development of our business.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40" w:right="59" w:firstLine="648"/>
        <w:spacing w:after="0" w:line="273" w:lineRule="auto"/>
        <w:rPr>
          <w:sz w:val="20"/>
          <w:szCs w:val="20"/>
          <w:color w:val="auto"/>
        </w:rPr>
      </w:pPr>
      <w:r>
        <w:rPr>
          <w:rFonts w:ascii="Arial" w:cs="Arial" w:eastAsia="Arial" w:hAnsi="Arial"/>
          <w:sz w:val="17"/>
          <w:szCs w:val="17"/>
          <w:color w:val="auto"/>
        </w:rPr>
        <w:t>As disclosed in our Current Report on Form 8-K filed with the SEC on December 2, 2019, on November 22, 2019, we entered into a Stock Purchase Agreement with KKC pursuant to which we sold an aggregate of 2,873,563 shares of common stock in a private placement exempt from registration pursuant to the exemption for transactions by an issuer not involving any public offering under Section 4(a)(2) the Securities Act of 1933, as amended (the “Securities Act”), and Regulation D under the Securities Act. In accordance with the instructions to Part II, Item 5(a) of Form 10-K, the Item 701 information is omitted from this Annual Report on Form 10-K.</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40" w:right="99" w:firstLine="648"/>
        <w:spacing w:after="0" w:line="219" w:lineRule="exact"/>
        <w:rPr>
          <w:sz w:val="20"/>
          <w:szCs w:val="20"/>
          <w:color w:val="auto"/>
        </w:rPr>
      </w:pPr>
      <w:r>
        <w:rPr>
          <w:rFonts w:ascii="Arial" w:cs="Arial" w:eastAsia="Arial" w:hAnsi="Arial"/>
          <w:sz w:val="18"/>
          <w:szCs w:val="18"/>
          <w:color w:val="auto"/>
        </w:rPr>
        <w:t>The data set forth below is not necessarily indicative of the results of future operations and should be read in conjunction with the financial statements and the notes included elsewhere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also with “ITEM 7. MANAGEMENT’S DISCUSSION AND ANALYSIS OF FINANCIAL CONDITION AND RESULTS OF OPERATIONS” and our financial statements and the notes thereto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center"/>
              <w:ind w:left="112"/>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272"/>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60" w:type="dxa"/>
            <w:vAlign w:val="bottom"/>
            <w:gridSpan w:val="12"/>
          </w:tcPr>
          <w:p>
            <w:pPr>
              <w:jc w:val="center"/>
              <w:ind w:right="120"/>
              <w:spacing w:after="0" w:line="142" w:lineRule="exact"/>
              <w:rPr>
                <w:sz w:val="20"/>
                <w:szCs w:val="20"/>
                <w:color w:val="auto"/>
              </w:rPr>
            </w:pPr>
            <w:r>
              <w:rPr>
                <w:rFonts w:ascii="Arial" w:cs="Arial" w:eastAsia="Arial" w:hAnsi="Arial"/>
                <w:sz w:val="14"/>
                <w:szCs w:val="14"/>
                <w:b w:val="1"/>
                <w:bCs w:val="1"/>
                <w:color w:val="auto"/>
                <w:w w:val="90"/>
              </w:rPr>
              <w:t>(in thousands, except share and per share amounts)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Licensing revenue</w:t>
            </w:r>
          </w:p>
        </w:tc>
        <w:tc>
          <w:tcPr>
            <w:tcW w:w="560" w:type="dxa"/>
            <w:vAlign w:val="bottom"/>
            <w:gridSpan w:val="2"/>
          </w:tcPr>
          <w:p>
            <w:pPr>
              <w:jc w:val="right"/>
              <w:ind w:right="215"/>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4,500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2,320</w:t>
            </w:r>
          </w:p>
        </w:tc>
        <w:tc>
          <w:tcPr>
            <w:tcW w:w="80" w:type="dxa"/>
            <w:vAlign w:val="bottom"/>
          </w:tcPr>
          <w:p>
            <w:pPr>
              <w:spacing w:after="0"/>
              <w:rPr>
                <w:sz w:val="18"/>
                <w:szCs w:val="18"/>
                <w:color w:val="auto"/>
              </w:rPr>
            </w:pPr>
          </w:p>
        </w:tc>
        <w:tc>
          <w:tcPr>
            <w:tcW w:w="42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42,000</w:t>
            </w:r>
          </w:p>
        </w:tc>
        <w:tc>
          <w:tcPr>
            <w:tcW w:w="8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21,611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Collaborative development revenue</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Other revenue</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5,281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2,607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4,681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2,141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24,026</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71,677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69,373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39,885</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98"/>
              </w:rPr>
              <w:t>24,267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23,715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18,734</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13,530</w:t>
            </w: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95,944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93,088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98,715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112,895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53,415</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(91,263)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(90,947)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(65,115)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(112,895)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(29,389)</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(3,534)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2,352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3,187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9"/>
              </w:rPr>
              <w:t>Loss before provision for income taxes</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(94,637)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(91,294)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(63,160)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(112,387)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5"/>
              </w:rPr>
              <w:t>Provision for (benefit from) income taxes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(94,940)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(91,298)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(64,339)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(112,387)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(29,621)</w:t>
            </w:r>
          </w:p>
        </w:tc>
        <w:tc>
          <w:tcPr>
            <w:tcW w:w="0" w:type="dxa"/>
            <w:vAlign w:val="bottom"/>
          </w:tcPr>
          <w:p>
            <w:pPr>
              <w:spacing w:after="0"/>
              <w:rPr>
                <w:sz w:val="1"/>
                <w:szCs w:val="1"/>
                <w:color w:val="auto"/>
              </w:rPr>
            </w:pPr>
          </w:p>
        </w:tc>
      </w:tr>
      <w:tr>
        <w:trPr>
          <w:trHeight w:val="175"/>
        </w:trPr>
        <w:tc>
          <w:tcPr>
            <w:tcW w:w="3100" w:type="dxa"/>
            <w:vAlign w:val="bottom"/>
          </w:tcPr>
          <w:p>
            <w:pPr>
              <w:spacing w:after="0" w:line="176" w:lineRule="exact"/>
              <w:rPr>
                <w:sz w:val="20"/>
                <w:szCs w:val="20"/>
                <w:color w:val="auto"/>
              </w:rPr>
            </w:pPr>
            <w:r>
              <w:rPr>
                <w:rFonts w:ascii="Arial" w:cs="Arial" w:eastAsia="Arial" w:hAnsi="Arial"/>
                <w:sz w:val="18"/>
                <w:szCs w:val="18"/>
                <w:color w:val="auto"/>
              </w:rPr>
              <w:t>Net loss per common share, basic and</w:t>
            </w:r>
          </w:p>
        </w:tc>
        <w:tc>
          <w:tcPr>
            <w:tcW w:w="160" w:type="dxa"/>
            <w:vAlign w:val="bottom"/>
            <w:vMerge w:val="restart"/>
          </w:tcPr>
          <w:p>
            <w:pPr>
              <w:spacing w:after="0"/>
              <w:rPr>
                <w:sz w:val="15"/>
                <w:szCs w:val="15"/>
                <w:color w:val="auto"/>
              </w:rPr>
            </w:pPr>
          </w:p>
        </w:tc>
        <w:tc>
          <w:tcPr>
            <w:tcW w:w="400" w:type="dxa"/>
            <w:vAlign w:val="bottom"/>
            <w:vMerge w:val="restart"/>
          </w:tcPr>
          <w:p>
            <w:pPr>
              <w:jc w:val="right"/>
              <w:ind w:right="215"/>
              <w:spacing w:after="0"/>
              <w:rPr>
                <w:sz w:val="20"/>
                <w:szCs w:val="20"/>
                <w:color w:val="auto"/>
              </w:rPr>
            </w:pPr>
            <w:r>
              <w:rPr>
                <w:rFonts w:ascii="Arial" w:cs="Arial" w:eastAsia="Arial" w:hAnsi="Arial"/>
                <w:sz w:val="18"/>
                <w:szCs w:val="18"/>
                <w:color w:val="auto"/>
                <w:w w:val="79"/>
              </w:rPr>
              <w:t>$</w:t>
            </w:r>
          </w:p>
        </w:tc>
        <w:tc>
          <w:tcPr>
            <w:tcW w:w="620" w:type="dxa"/>
            <w:vAlign w:val="bottom"/>
            <w:gridSpan w:val="3"/>
            <w:vMerge w:val="restart"/>
          </w:tcPr>
          <w:p>
            <w:pPr>
              <w:jc w:val="right"/>
              <w:spacing w:after="0"/>
              <w:rPr>
                <w:sz w:val="20"/>
                <w:szCs w:val="20"/>
                <w:color w:val="auto"/>
              </w:rPr>
            </w:pPr>
            <w:r>
              <w:rPr>
                <w:rFonts w:ascii="Arial" w:cs="Arial" w:eastAsia="Arial" w:hAnsi="Arial"/>
                <w:sz w:val="18"/>
                <w:szCs w:val="18"/>
                <w:color w:val="auto"/>
              </w:rPr>
              <w:t>(1.47)</w:t>
            </w:r>
          </w:p>
        </w:tc>
        <w:tc>
          <w:tcPr>
            <w:tcW w:w="14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w w:val="97"/>
              </w:rPr>
              <w:t>(1.62)</w:t>
            </w:r>
          </w:p>
        </w:tc>
        <w:tc>
          <w:tcPr>
            <w:tcW w:w="8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360" w:type="dxa"/>
            <w:vAlign w:val="bottom"/>
            <w:vMerge w:val="restart"/>
          </w:tcPr>
          <w:p>
            <w:pPr>
              <w:jc w:val="right"/>
              <w:ind w:right="175"/>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8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1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4"/>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gridSpan w:val="3"/>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Shares used in computing net loss per</w:t>
            </w:r>
          </w:p>
        </w:tc>
        <w:tc>
          <w:tcPr>
            <w:tcW w:w="160" w:type="dxa"/>
            <w:vAlign w:val="bottom"/>
            <w:vMerge w:val="restart"/>
            <w:shd w:val="clear" w:color="auto" w:fill="CCEEFF"/>
          </w:tcPr>
          <w:p>
            <w:pPr>
              <w:spacing w:after="0"/>
              <w:rPr>
                <w:sz w:val="16"/>
                <w:szCs w:val="16"/>
                <w:color w:val="auto"/>
              </w:rPr>
            </w:pPr>
          </w:p>
        </w:tc>
        <w:tc>
          <w:tcPr>
            <w:tcW w:w="102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64,478,066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56,219,919</w:t>
            </w:r>
          </w:p>
        </w:tc>
        <w:tc>
          <w:tcPr>
            <w:tcW w:w="80" w:type="dxa"/>
            <w:vAlign w:val="bottom"/>
            <w:shd w:val="clear" w:color="auto" w:fill="CCEEFF"/>
          </w:tcPr>
          <w:p>
            <w:pPr>
              <w:spacing w:after="0"/>
              <w:rPr>
                <w:sz w:val="16"/>
                <w:szCs w:val="16"/>
                <w:color w:val="auto"/>
              </w:rPr>
            </w:pPr>
          </w:p>
        </w:tc>
        <w:tc>
          <w:tcPr>
            <w:tcW w:w="60" w:type="dxa"/>
            <w:vAlign w:val="bottom"/>
            <w:vMerge w:val="restart"/>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47,435,331</w:t>
            </w:r>
          </w:p>
        </w:tc>
        <w:tc>
          <w:tcPr>
            <w:tcW w:w="80" w:type="dxa"/>
            <w:vAlign w:val="bottom"/>
            <w:shd w:val="clear" w:color="auto" w:fill="CCEEFF"/>
          </w:tcPr>
          <w:p>
            <w:pPr>
              <w:spacing w:after="0"/>
              <w:rPr>
                <w:sz w:val="16"/>
                <w:szCs w:val="16"/>
                <w:color w:val="auto"/>
              </w:rPr>
            </w:pPr>
          </w:p>
        </w:tc>
        <w:tc>
          <w:tcPr>
            <w:tcW w:w="60" w:type="dxa"/>
            <w:vAlign w:val="bottom"/>
            <w:vMerge w:val="restart"/>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40,118,522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22,892,640</w:t>
            </w:r>
          </w:p>
        </w:tc>
        <w:tc>
          <w:tcPr>
            <w:tcW w:w="0" w:type="dxa"/>
            <w:vAlign w:val="bottom"/>
          </w:tcPr>
          <w:p>
            <w:pPr>
              <w:spacing w:after="0"/>
              <w:rPr>
                <w:sz w:val="1"/>
                <w:szCs w:val="1"/>
                <w:color w:val="auto"/>
              </w:rPr>
            </w:pPr>
          </w:p>
        </w:tc>
      </w:tr>
      <w:tr>
        <w:trPr>
          <w:trHeight w:val="224"/>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 basic and diluted</w:t>
            </w: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auto"/>
            </w:tcBorders>
            <w:gridSpan w:val="4"/>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jc w:val="center"/>
              <w:ind w:right="480"/>
              <w:spacing w:after="0"/>
              <w:rPr>
                <w:sz w:val="20"/>
                <w:szCs w:val="20"/>
                <w:color w:val="auto"/>
              </w:rPr>
            </w:pPr>
            <w:r>
              <w:rPr>
                <w:rFonts w:ascii="Arial" w:cs="Arial" w:eastAsia="Arial" w:hAnsi="Arial"/>
                <w:sz w:val="14"/>
                <w:szCs w:val="14"/>
                <w:b w:val="1"/>
                <w:bCs w:val="1"/>
                <w:color w:val="auto"/>
                <w:w w:val="93"/>
              </w:rPr>
              <w:t>As of December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gridSpan w:val="4"/>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gridSpan w:val="2"/>
          </w:tcPr>
          <w:p>
            <w:pPr>
              <w:jc w:val="center"/>
              <w:ind w:left="312"/>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Cash, cash equivalents and short-term investments</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86"/>
              </w:rPr>
              <w:t>247,512</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$ 168,089</w:t>
            </w:r>
          </w:p>
        </w:tc>
        <w:tc>
          <w:tcPr>
            <w:tcW w:w="106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$ 133,976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$ 200,823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$ 107,004</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3"/>
          </w:tcPr>
          <w:p>
            <w:pPr>
              <w:jc w:val="right"/>
              <w:ind w:right="12"/>
              <w:spacing w:after="0"/>
              <w:rPr>
                <w:sz w:val="20"/>
                <w:szCs w:val="20"/>
                <w:color w:val="auto"/>
              </w:rPr>
            </w:pPr>
            <w:r>
              <w:rPr>
                <w:rFonts w:ascii="Arial" w:cs="Arial" w:eastAsia="Arial" w:hAnsi="Arial"/>
                <w:sz w:val="18"/>
                <w:szCs w:val="18"/>
                <w:color w:val="auto"/>
                <w:w w:val="86"/>
              </w:rPr>
              <w:t>259,782</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183,332</w:t>
            </w:r>
          </w:p>
        </w:tc>
        <w:tc>
          <w:tcPr>
            <w:tcW w:w="1060" w:type="dxa"/>
            <w:vAlign w:val="bottom"/>
            <w:gridSpan w:val="4"/>
          </w:tcPr>
          <w:p>
            <w:pPr>
              <w:jc w:val="right"/>
              <w:ind w:right="50"/>
              <w:spacing w:after="0"/>
              <w:rPr>
                <w:sz w:val="20"/>
                <w:szCs w:val="20"/>
                <w:color w:val="auto"/>
              </w:rPr>
            </w:pPr>
            <w:r>
              <w:rPr>
                <w:rFonts w:ascii="Arial" w:cs="Arial" w:eastAsia="Arial" w:hAnsi="Arial"/>
                <w:sz w:val="18"/>
                <w:szCs w:val="18"/>
                <w:color w:val="auto"/>
              </w:rPr>
              <w:t>157,903</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213,131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116,946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Loan payable, net of current portion</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48,831</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49,209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6"/>
          </w:tcPr>
          <w:p>
            <w:pPr>
              <w:jc w:val="right"/>
              <w:spacing w:after="0"/>
              <w:rPr>
                <w:sz w:val="20"/>
                <w:szCs w:val="20"/>
                <w:color w:val="auto"/>
              </w:rPr>
            </w:pPr>
            <w:r>
              <w:rPr>
                <w:rFonts w:ascii="Arial" w:cs="Arial" w:eastAsia="Arial" w:hAnsi="Arial"/>
                <w:sz w:val="18"/>
                <w:szCs w:val="18"/>
                <w:color w:val="auto"/>
              </w:rPr>
              <w:t>(460,452)</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(365,512)</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(278,214)</w:t>
            </w:r>
          </w:p>
        </w:tc>
        <w:tc>
          <w:tcPr>
            <w:tcW w:w="1020" w:type="dxa"/>
            <w:vAlign w:val="bottom"/>
            <w:gridSpan w:val="4"/>
          </w:tcPr>
          <w:p>
            <w:pPr>
              <w:jc w:val="right"/>
              <w:ind w:right="10"/>
              <w:spacing w:after="0"/>
              <w:rPr>
                <w:sz w:val="20"/>
                <w:szCs w:val="20"/>
                <w:color w:val="auto"/>
              </w:rPr>
            </w:pPr>
            <w:r>
              <w:rPr>
                <w:rFonts w:ascii="Arial" w:cs="Arial" w:eastAsia="Arial" w:hAnsi="Arial"/>
                <w:sz w:val="18"/>
                <w:szCs w:val="18"/>
                <w:color w:val="auto"/>
              </w:rPr>
              <w:t>(213,875)</w:t>
            </w:r>
          </w:p>
        </w:tc>
        <w:tc>
          <w:tcPr>
            <w:tcW w:w="900" w:type="dxa"/>
            <w:vAlign w:val="bottom"/>
          </w:tcPr>
          <w:p>
            <w:pPr>
              <w:jc w:val="right"/>
              <w:spacing w:after="0"/>
              <w:rPr>
                <w:sz w:val="20"/>
                <w:szCs w:val="20"/>
                <w:color w:val="auto"/>
              </w:rPr>
            </w:pPr>
            <w:r>
              <w:rPr>
                <w:rFonts w:ascii="Arial" w:cs="Arial" w:eastAsia="Arial" w:hAnsi="Arial"/>
                <w:sz w:val="18"/>
                <w:szCs w:val="18"/>
                <w:color w:val="auto"/>
              </w:rPr>
              <w:t>(101,488)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86"/>
              </w:rPr>
              <w:t>186,655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115,813</w:t>
            </w:r>
          </w:p>
        </w:tc>
        <w:tc>
          <w:tcPr>
            <w:tcW w:w="106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139,312</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193,151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108,901</w:t>
            </w:r>
          </w:p>
        </w:tc>
        <w:tc>
          <w:tcPr>
            <w:tcW w:w="0" w:type="dxa"/>
            <w:vAlign w:val="bottom"/>
          </w:tcPr>
          <w:p>
            <w:pPr>
              <w:spacing w:after="0"/>
              <w:rPr>
                <w:sz w:val="1"/>
                <w:szCs w:val="1"/>
                <w:color w:val="auto"/>
              </w:rPr>
            </w:pPr>
          </w:p>
        </w:tc>
      </w:tr>
      <w:tr>
        <w:trPr>
          <w:trHeight w:val="662"/>
        </w:trPr>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w w:val="79"/>
              </w:rPr>
              <w:t>61</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63" w:name="page64"/>
    <w:bookmarkEnd w:id="6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19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left="40" w:right="139"/>
        <w:spacing w:after="0" w:line="289"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section of this report entitled “Selected Financial Data” and our financial statements and related notes included elsewhere in this report. This discussion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We are a specialized biopharmaceutical company focused on developing first-in-class medicines to improve treatment for people with cardiorenal diseases. This includes patients with chronic kidney disease, or CKD, on dialysis suffering from elevated serum phosphorus, or hyperphosphatemia; and patients with CKD and/or heart failure patients with elevated serum potassium, or hyperkalemia.</w:t>
      </w:r>
    </w:p>
    <w:p>
      <w:pPr>
        <w:spacing w:after="0" w:line="187" w:lineRule="exact"/>
        <w:rPr>
          <w:sz w:val="20"/>
          <w:szCs w:val="20"/>
          <w:color w:val="auto"/>
        </w:rPr>
      </w:pPr>
    </w:p>
    <w:p>
      <w:pPr>
        <w:ind w:left="40" w:right="179" w:firstLine="648"/>
        <w:spacing w:after="0" w:line="257" w:lineRule="auto"/>
        <w:rPr>
          <w:sz w:val="20"/>
          <w:szCs w:val="20"/>
          <w:color w:val="auto"/>
        </w:rPr>
      </w:pPr>
      <w:r>
        <w:rPr>
          <w:rFonts w:ascii="Arial" w:cs="Arial" w:eastAsia="Arial" w:hAnsi="Arial"/>
          <w:sz w:val="18"/>
          <w:szCs w:val="18"/>
          <w:color w:val="auto"/>
        </w:rPr>
        <w:t>Our portfolio is led by the development of tenapanor, a first-in-class medicine in late-stage clinical development for the control of serum phosphorus in patients with CKD on dialysis. Tenapanor has a unique mechanism of action and acts locally in the gut to inhibit the sodium hydrogen exchanger 3, or NHE3. This results in the tightening of the epithelial cell junctions, thereby significantly reducing paracellular uptake of phosphate, the primary pathway of phosphate absorption.</w:t>
      </w:r>
    </w:p>
    <w:p>
      <w:pPr>
        <w:spacing w:after="0" w:line="188"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We have evaluated tenapanor in a Phase 3 program for the control of serum phosphorus in CKD patients on dialysis. In December 2019, we reported statistically significant topline efficacy results from our second monotherapy Phase 3 clinical trial, the PHREEDOM trial. The PHREEDOM trial followed a successful monotherapy Phase 3 clinical trial completed in 2017, which achieved statistical significance for the primary endpoint. PHREEDOM is a one-year study with a 26-week open-label treatment period and a 12-week double-blind, placebo-controlled randomized withdrawal period followed by a 14-week open-label safety extension period. An active safety control group, for safety analysis only, received sevelamer, open-label, for the entire 52-week study period. Patients completing the PHREEDOM trial from both the tenapanor arm and the sevelamer active safety control arm had the option to participate in NORMALIZE, an ongoing open-label 18-month extension study. The goal of the NORMALIZE study is to further our understanding of the potential for the dual mechanism of tenapanor and sevelamer to reduce patients’ serum phosphorus levels towards normal (&lt;4.6 mg/dL) while minimizing medication burden. In addition, in September 2019, we reported positive results from the AMPLIFY trial, a Phase 3 study evaluating tenapanor in patients with CKD on dialysis who had uncontrolled hyperphosphatemia despite phosphate binder treatment.</w:t>
      </w:r>
    </w:p>
    <w:p>
      <w:pPr>
        <w:spacing w:after="0" w:line="186" w:lineRule="exact"/>
        <w:rPr>
          <w:sz w:val="20"/>
          <w:szCs w:val="20"/>
          <w:color w:val="auto"/>
        </w:rPr>
      </w:pPr>
    </w:p>
    <w:p>
      <w:pPr>
        <w:ind w:left="40" w:right="59" w:firstLine="648"/>
        <w:spacing w:after="0" w:line="273" w:lineRule="auto"/>
        <w:rPr>
          <w:sz w:val="20"/>
          <w:szCs w:val="20"/>
          <w:color w:val="auto"/>
        </w:rPr>
      </w:pPr>
      <w:r>
        <w:rPr>
          <w:rFonts w:ascii="Arial" w:cs="Arial" w:eastAsia="Arial" w:hAnsi="Arial"/>
          <w:sz w:val="17"/>
          <w:szCs w:val="17"/>
          <w:color w:val="auto"/>
        </w:rPr>
        <w:t>We are preparing to submit a New Drug Application, or NDA, to the United States Food and Drug Administration, or FDA, for tenapanor for the control of serum phosphorus in adult patients with CKD on dialysis in mid-2020. Tenapanor, if approved, would be the first therapy for phosphate management that is not a phosphate binder. As tenapanor is a novel, potent, small molecule there would be significantly less pill burden than with phosphate binders. Tenapanor is dosed as a single pill, twice-daily, which we believe could greatly improve patient adherence and compliance and free patients from having to take multiple pills before every meal.</w:t>
      </w:r>
    </w:p>
    <w:p>
      <w:pPr>
        <w:spacing w:after="0" w:line="178" w:lineRule="exact"/>
        <w:rPr>
          <w:sz w:val="20"/>
          <w:szCs w:val="20"/>
          <w:color w:val="auto"/>
        </w:rPr>
      </w:pPr>
    </w:p>
    <w:p>
      <w:pPr>
        <w:jc w:val="both"/>
        <w:ind w:left="40" w:right="119" w:firstLine="648"/>
        <w:spacing w:after="0" w:line="287" w:lineRule="auto"/>
        <w:rPr>
          <w:sz w:val="20"/>
          <w:szCs w:val="20"/>
          <w:color w:val="auto"/>
        </w:rPr>
      </w:pPr>
      <w:r>
        <w:rPr>
          <w:rFonts w:ascii="Arial" w:cs="Arial" w:eastAsia="Arial" w:hAnsi="Arial"/>
          <w:sz w:val="16"/>
          <w:szCs w:val="16"/>
          <w:color w:val="auto"/>
        </w:rPr>
        <w:t>We are also advancing a small molecule potassium secretagogue program, RDX013, for the potential treatment of hyperkalemia. Hyperkalemia is a common problem in patients with heart and kidney disease, particularly in patients taking common blood pressure medications known as RAAS inhibitors, which inhibit the renin-angiotensin-aldosterone system.</w:t>
      </w:r>
    </w:p>
    <w:p>
      <w:pPr>
        <w:spacing w:after="0" w:line="2" w:lineRule="exact"/>
        <w:rPr>
          <w:sz w:val="20"/>
          <w:szCs w:val="20"/>
          <w:color w:val="auto"/>
        </w:rPr>
      </w:pPr>
    </w:p>
    <w:p>
      <w:pPr>
        <w:ind w:left="40" w:right="179"/>
        <w:spacing w:after="0" w:line="253" w:lineRule="auto"/>
        <w:rPr>
          <w:sz w:val="20"/>
          <w:szCs w:val="20"/>
          <w:color w:val="auto"/>
        </w:rPr>
      </w:pPr>
      <w:r>
        <w:rPr>
          <w:rFonts w:ascii="Arial" w:cs="Arial" w:eastAsia="Arial" w:hAnsi="Arial"/>
          <w:sz w:val="18"/>
          <w:szCs w:val="18"/>
          <w:color w:val="auto"/>
        </w:rPr>
        <w:t>Similar to what we have done with tenapanor in developing a non-binder approach for the treatment of elevated serum phosphate levels, RDX013 is designed to offer a non-binder alternative to lowering elevated potassium with a much lower pill burden than potassium binders and we believe may provide significant advantages as a stand-alone agent or in combination with potassium binders.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219" w:firstLine="648"/>
        <w:spacing w:after="0" w:line="257" w:lineRule="auto"/>
        <w:rPr>
          <w:sz w:val="20"/>
          <w:szCs w:val="20"/>
          <w:color w:val="auto"/>
        </w:rPr>
      </w:pPr>
      <w:r>
        <w:rPr>
          <w:rFonts w:ascii="Arial" w:cs="Arial" w:eastAsia="Arial" w:hAnsi="Arial"/>
          <w:sz w:val="18"/>
          <w:szCs w:val="18"/>
          <w:color w:val="auto"/>
        </w:rPr>
        <w:t>In addition to the development of tenapanor in our cardiorenal portfolio, we have developed tenapanor for the treatment of patients with irritable bowel syndrome with constipation, or IBS-C. On September 12, 2019, we received US FDA approval of IBSRELA® (tenapanor) for the treatment of IBS-C in adults. IBS-C is a burdensome GI disorder affecting a significant number of people. It is characterized by significant abdominal pain, constipation, straining during bowel movements, bloating and/or gas.</w:t>
      </w:r>
    </w:p>
    <w:p>
      <w:pPr>
        <w:spacing w:after="0" w:line="188" w:lineRule="exact"/>
        <w:rPr>
          <w:sz w:val="20"/>
          <w:szCs w:val="20"/>
          <w:color w:val="auto"/>
        </w:rPr>
      </w:pPr>
    </w:p>
    <w:p>
      <w:pPr>
        <w:ind w:left="40" w:right="199" w:firstLine="648"/>
        <w:spacing w:after="0" w:line="272" w:lineRule="auto"/>
        <w:rPr>
          <w:sz w:val="20"/>
          <w:szCs w:val="20"/>
          <w:color w:val="auto"/>
        </w:rPr>
      </w:pPr>
      <w:r>
        <w:rPr>
          <w:rFonts w:ascii="Arial" w:cs="Arial" w:eastAsia="Arial" w:hAnsi="Arial"/>
          <w:sz w:val="17"/>
          <w:szCs w:val="17"/>
          <w:color w:val="auto"/>
        </w:rPr>
        <w:t>IBSRELA (tenapanor) is a locally acting inhibitor NHE3, an antiporter expressed on the apical surface of the small intestine and colon primarily responsible for the absorption of dietary sodium. By inhibiting NHE3 on the apical surface of the enterocytes, tenapanor reduces absorption of sodium from the small intestine and colon, resulting in an increase in water secretion into the intestinal lumen, which accelerates intestinal transit time and results in a softer stool consistency. Tenapanor has also been shown to reduce abdominal pain by decreasing visceral hypersensitivity and by decreasing intestinal permeability in animal models. In a rat model of colonic hypersensitivity, tenapanor reduced visceral hyperalgesia and normalized colonic sensory neuronal excitability.</w:t>
      </w:r>
    </w:p>
    <w:p>
      <w:pPr>
        <w:spacing w:after="0" w:line="177" w:lineRule="exact"/>
        <w:rPr>
          <w:sz w:val="20"/>
          <w:szCs w:val="20"/>
          <w:color w:val="auto"/>
        </w:rPr>
      </w:pPr>
    </w:p>
    <w:p>
      <w:pPr>
        <w:ind w:left="40" w:right="159" w:firstLine="648"/>
        <w:spacing w:after="0" w:line="263" w:lineRule="auto"/>
        <w:rPr>
          <w:sz w:val="20"/>
          <w:szCs w:val="20"/>
          <w:color w:val="auto"/>
        </w:rPr>
      </w:pPr>
      <w:r>
        <w:rPr>
          <w:rFonts w:ascii="Arial" w:cs="Arial" w:eastAsia="Arial" w:hAnsi="Arial"/>
          <w:sz w:val="18"/>
          <w:szCs w:val="18"/>
          <w:color w:val="auto"/>
        </w:rPr>
        <w:t>We have developed a proprietary drug discovery and design platform to discover targets found in the GI tract that regulate processes in the body and design product candidates that act upon those targets to take advantage of the gut’s ability to communicate with other organs.</w:t>
      </w:r>
    </w:p>
    <w:p>
      <w:pPr>
        <w:spacing w:after="0" w:line="184"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color w:val="auto"/>
        </w:rPr>
        <w:t>Since commencing operations in October 2007, substantially all our efforts have been dedicated to our research and development activities, including developing our clinical product candidate tenapanor and developing our proprietary drug discovery and design platform. We have not generated any revenues from product sales. As of December 31, 2019, we had an accumulated deficit of $460.5 million.</w:t>
      </w:r>
    </w:p>
    <w:p>
      <w:pPr>
        <w:spacing w:after="0" w:line="187" w:lineRule="exact"/>
        <w:rPr>
          <w:sz w:val="20"/>
          <w:szCs w:val="20"/>
          <w:color w:val="auto"/>
        </w:rPr>
      </w:pPr>
    </w:p>
    <w:p>
      <w:pPr>
        <w:ind w:left="40" w:right="99" w:firstLine="648"/>
        <w:spacing w:after="0" w:line="288" w:lineRule="auto"/>
        <w:rPr>
          <w:sz w:val="20"/>
          <w:szCs w:val="20"/>
          <w:color w:val="auto"/>
        </w:rPr>
      </w:pPr>
      <w:r>
        <w:rPr>
          <w:rFonts w:ascii="Arial" w:cs="Arial" w:eastAsia="Arial" w:hAnsi="Arial"/>
          <w:sz w:val="16"/>
          <w:szCs w:val="16"/>
          <w:color w:val="auto"/>
        </w:rPr>
        <w:t>We expect to continue to incur substantial operating losses for the foreseeable future as a result of costs associated with the following activities: our continued development of tenapanor for the control of serum phosphorus in CKD patients on dialysis; the preparation of the NDA to seek marketing approval in the United States for tenapanor for the control of serum phosphorus in patients with CKD on dialysis; our preparations for the commercialization of tenapanor in the United States for the control of serum phosphorus in CKD patients on dialysis, including significant increased personnel costs associated with building out our commercial team; the performance of certain activities required as a result of our NDA approval of tenapanor for IBS-C, including costs associated with conducting the pediatric clinical trials for IBS-C; and the advancement of our research programs into the preclinical stage. To date, we have funded our operations from the sale and issuance of common stock and convertible preferred stock, funds from our collaboration partnerships, and funds from our Loan Agreement with Solar Capital Ltd. and Western Alliance Bank.</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40" w:right="59" w:firstLine="648"/>
        <w:spacing w:after="0" w:line="286" w:lineRule="auto"/>
        <w:rPr>
          <w:sz w:val="20"/>
          <w:szCs w:val="20"/>
          <w:color w:val="auto"/>
        </w:rPr>
      </w:pPr>
      <w:r>
        <w:rPr>
          <w:rFonts w:ascii="Arial" w:cs="Arial" w:eastAsia="Arial" w:hAnsi="Arial"/>
          <w:sz w:val="16"/>
          <w:szCs w:val="16"/>
          <w:color w:val="auto"/>
        </w:rPr>
        <w:t>Our revenue to date has been generated primarily through license, research and development collaborative agreements with various collaboration partners. We have not generated any revenue from product sales. In the future, we may generate revenue from a combination of license fees and other upfront payments, milestone payments, product sales and royalties in connection with our current or future collaborative partnerships. We expect that any revenue we generate will fluctuate in future periods as a result of, among other factors: the timing and progress of goods and services provided pursuant to our current or future collaborative partnerships; our or our collaborators’ achievement of preclinical, clinical, regulatory or commercialization milestones, to the extent achieved; the timing and amount of any payments to us relating to the aforementioned milestones; and the extent to which any of our product candidates are approved and successfully commercialized by us or a collaboration partner. If we, our current collaboration partners or any future collaboration partners fail to develop product candidates in a timely manner or to obtain regulatory approval for product candidates, our ability to generate future revenue from collaborative arrangements, and our results of operations and financial position, would be materially and adversely affected. Our past revenue performance is not necessarily indicative of results to be expected in future periods. See NOTE 2, SUMMARY OF SIGNIFICANT ACCOUNTING POLICIES, in the notes to our financial statements, included in Part II, Item 8, of this Annual Report on Form 10-K, for further details.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40" w:right="139" w:firstLine="648"/>
        <w:spacing w:after="0" w:line="289" w:lineRule="auto"/>
        <w:rPr>
          <w:sz w:val="20"/>
          <w:szCs w:val="20"/>
          <w:color w:val="auto"/>
        </w:rPr>
      </w:pPr>
      <w:r>
        <w:rPr>
          <w:rFonts w:ascii="Arial" w:cs="Arial" w:eastAsia="Arial" w:hAnsi="Arial"/>
          <w:sz w:val="16"/>
          <w:szCs w:val="16"/>
          <w:color w:val="auto"/>
        </w:rPr>
        <w:t>Cost of revenue currently represents payments due to AstraZeneca, which under the terms of a termination agreement entered into in 2015 is entitled to (i) future royalties at a rate of 10% of net sales of tenapanor or other NHE3 products by us or our licensees, and (ii) 20% of non-royalty revenue received from a new collaboration partner should we elect to license, or otherwise provide rights to develop and commercialize tenapanor or certain other NHE3 inhibitors. We have agreed to pay AstraZeneca up to a maximum of $75.0 million in the aggregate for (i) and (ii). We recognize these expenses as cost of revenue when we recognize the corresponding revenue that gives rise to payments due to AstraZeneca. To date, we have recognized an aggregate of $10.5 million of the $75.0 million under the AZ Termination Agreement. See details in NOTE 13, COLLABORATION AND LICENSING AGREEMENTS, under AstraZeneca, in the notes to our financial statements, included in Part II, Item 8, of this Annual Report on Form 10-K.</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40" w:right="239" w:firstLine="648"/>
        <w:spacing w:after="0" w:line="342" w:lineRule="auto"/>
        <w:rPr>
          <w:sz w:val="20"/>
          <w:szCs w:val="20"/>
          <w:color w:val="auto"/>
        </w:rPr>
      </w:pPr>
      <w:r>
        <w:rPr>
          <w:rFonts w:ascii="Arial" w:cs="Arial" w:eastAsia="Arial" w:hAnsi="Arial"/>
          <w:sz w:val="16"/>
          <w:szCs w:val="16"/>
          <w:color w:val="auto"/>
        </w:rPr>
        <w:t>We recognize all research and development expenses as they are incurred to support the discovery, research, development and manufacturing of our product candidates. Research and development expenses consist of the following:</w:t>
      </w:r>
    </w:p>
    <w:p>
      <w:pPr>
        <w:spacing w:after="0" w:line="124" w:lineRule="exact"/>
        <w:rPr>
          <w:sz w:val="20"/>
          <w:szCs w:val="20"/>
          <w:color w:val="auto"/>
        </w:rPr>
      </w:pPr>
    </w:p>
    <w:p>
      <w:pPr>
        <w:jc w:val="both"/>
        <w:ind w:left="700" w:right="59" w:hanging="332"/>
        <w:spacing w:after="0" w:line="311" w:lineRule="auto"/>
        <w:tabs>
          <w:tab w:leader="none" w:pos="700" w:val="left"/>
        </w:tabs>
        <w:numPr>
          <w:ilvl w:val="0"/>
          <w:numId w:val="40"/>
        </w:numPr>
        <w:rPr>
          <w:rFonts w:ascii="Arial" w:cs="Arial" w:eastAsia="Arial" w:hAnsi="Arial"/>
          <w:sz w:val="16"/>
          <w:szCs w:val="16"/>
          <w:color w:val="231F20"/>
        </w:rPr>
      </w:pPr>
      <w:r>
        <w:rPr>
          <w:rFonts w:ascii="Arial" w:cs="Arial" w:eastAsia="Arial" w:hAnsi="Arial"/>
          <w:sz w:val="16"/>
          <w:szCs w:val="16"/>
          <w:color w:val="auto"/>
        </w:rPr>
        <w:t>external research and development expenses incurred under agreements with consultants, third-party contract research organizations, or CROs, and investigative sites where a substantial portion of our clinical studies are conducted, and with contract manufacturing organizations where our clinical supplies are produced;</w:t>
      </w:r>
    </w:p>
    <w:p>
      <w:pPr>
        <w:spacing w:after="0" w:line="148" w:lineRule="exact"/>
        <w:rPr>
          <w:rFonts w:ascii="Arial" w:cs="Arial" w:eastAsia="Arial" w:hAnsi="Arial"/>
          <w:sz w:val="16"/>
          <w:szCs w:val="16"/>
          <w:color w:val="231F20"/>
        </w:rPr>
      </w:pPr>
    </w:p>
    <w:p>
      <w:pPr>
        <w:ind w:left="700" w:hanging="332"/>
        <w:spacing w:after="0"/>
        <w:tabs>
          <w:tab w:leader="none" w:pos="70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expenses associated with supplies and materials consumed in connection with our research operations;</w:t>
      </w:r>
    </w:p>
    <w:p>
      <w:pPr>
        <w:spacing w:after="0" w:line="225" w:lineRule="exact"/>
        <w:rPr>
          <w:rFonts w:ascii="Arial" w:cs="Arial" w:eastAsia="Arial" w:hAnsi="Arial"/>
          <w:sz w:val="18"/>
          <w:szCs w:val="18"/>
          <w:color w:val="231F20"/>
        </w:rPr>
      </w:pPr>
    </w:p>
    <w:p>
      <w:pPr>
        <w:ind w:left="700" w:hanging="332"/>
        <w:spacing w:after="0"/>
        <w:tabs>
          <w:tab w:leader="none" w:pos="700" w:val="left"/>
        </w:tabs>
        <w:numPr>
          <w:ilvl w:val="0"/>
          <w:numId w:val="40"/>
        </w:numPr>
        <w:rPr>
          <w:rFonts w:ascii="Arial" w:cs="Arial" w:eastAsia="Arial" w:hAnsi="Arial"/>
          <w:sz w:val="17"/>
          <w:szCs w:val="17"/>
          <w:color w:val="231F20"/>
        </w:rPr>
      </w:pPr>
      <w:r>
        <w:rPr>
          <w:rFonts w:ascii="Arial" w:cs="Arial" w:eastAsia="Arial" w:hAnsi="Arial"/>
          <w:sz w:val="17"/>
          <w:szCs w:val="17"/>
          <w:color w:val="auto"/>
        </w:rPr>
        <w:t>employee-related expenses, which include salaries, bonuses, benefits, travel and stock-based compensation;</w:t>
      </w:r>
    </w:p>
    <w:p>
      <w:pPr>
        <w:spacing w:after="0" w:line="236" w:lineRule="exact"/>
        <w:rPr>
          <w:rFonts w:ascii="Arial" w:cs="Arial" w:eastAsia="Arial" w:hAnsi="Arial"/>
          <w:sz w:val="17"/>
          <w:szCs w:val="17"/>
          <w:color w:val="231F20"/>
        </w:rPr>
      </w:pPr>
    </w:p>
    <w:p>
      <w:pPr>
        <w:ind w:left="700" w:hanging="332"/>
        <w:spacing w:after="0"/>
        <w:tabs>
          <w:tab w:leader="none" w:pos="70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other costs associated with regulatory, clinical and non-clinical development activities; and</w:t>
      </w:r>
    </w:p>
    <w:p>
      <w:pPr>
        <w:spacing w:after="0" w:line="225" w:lineRule="exact"/>
        <w:rPr>
          <w:rFonts w:ascii="Arial" w:cs="Arial" w:eastAsia="Arial" w:hAnsi="Arial"/>
          <w:sz w:val="18"/>
          <w:szCs w:val="18"/>
          <w:color w:val="231F20"/>
        </w:rPr>
      </w:pPr>
    </w:p>
    <w:p>
      <w:pPr>
        <w:ind w:left="700" w:right="79" w:hanging="332"/>
        <w:spacing w:after="0" w:line="308" w:lineRule="auto"/>
        <w:tabs>
          <w:tab w:leader="none" w:pos="700" w:val="left"/>
        </w:tabs>
        <w:numPr>
          <w:ilvl w:val="0"/>
          <w:numId w:val="40"/>
        </w:numPr>
        <w:rPr>
          <w:rFonts w:ascii="Arial" w:cs="Arial" w:eastAsia="Arial" w:hAnsi="Arial"/>
          <w:sz w:val="17"/>
          <w:szCs w:val="17"/>
          <w:color w:val="231F20"/>
        </w:rPr>
      </w:pPr>
      <w:r>
        <w:rPr>
          <w:rFonts w:ascii="Arial" w:cs="Arial" w:eastAsia="Arial" w:hAnsi="Arial"/>
          <w:sz w:val="17"/>
          <w:szCs w:val="17"/>
          <w:color w:val="auto"/>
        </w:rPr>
        <w:t>facilities and other allocated expenses, which include direct and allocated expenses for rent and maintenance of facilities, depreciation and amortization expense, information technology expense and other supplies.</w:t>
      </w:r>
    </w:p>
    <w:p>
      <w:pPr>
        <w:spacing w:after="0" w:line="146" w:lineRule="exact"/>
        <w:rPr>
          <w:sz w:val="20"/>
          <w:szCs w:val="20"/>
          <w:color w:val="auto"/>
        </w:rPr>
      </w:pPr>
    </w:p>
    <w:p>
      <w:pPr>
        <w:ind w:left="40" w:right="139" w:firstLine="648"/>
        <w:spacing w:after="0" w:line="288" w:lineRule="auto"/>
        <w:rPr>
          <w:sz w:val="20"/>
          <w:szCs w:val="20"/>
          <w:color w:val="auto"/>
        </w:rPr>
      </w:pPr>
      <w:r>
        <w:rPr>
          <w:rFonts w:ascii="Arial" w:cs="Arial" w:eastAsia="Arial" w:hAnsi="Arial"/>
          <w:sz w:val="16"/>
          <w:szCs w:val="16"/>
          <w:color w:val="auto"/>
        </w:rPr>
        <w:t>We expect to continue to make substantial investments in research and development activities as we further progress the development of tenapanor, as well as our other product candidates, as we advance our research programs into the preclinical stage and as we continue our early stage research. The process of conducting preclinical studies and clinical trials necessary to obtain regulatory approval is costly and time-consuming. We may not succeed in achieving marketing approval for all of our product candidates, including tenapanor for the control of serum phosphorus. Additionally, for the marketing approval received in the United States for tenapanor for the treatment of IBS-C, we may not be successful in securing one or more collaboration partners to commercialize tenapanor in the United States or in other territories. The probability of success of each of the product candidates may be affected by numerous factors, including preclinical data, clinical data, market acceptance, sufficient third-party coverage or reimbursement, our ability to access capital on acceptable terms, competition, manufacturing capability and commercial viability.</w:t>
      </w:r>
    </w:p>
    <w:p>
      <w:pPr>
        <w:spacing w:after="0" w:line="168" w:lineRule="exact"/>
        <w:rPr>
          <w:sz w:val="20"/>
          <w:szCs w:val="20"/>
          <w:color w:val="auto"/>
        </w:rPr>
      </w:pPr>
    </w:p>
    <w:p>
      <w:pPr>
        <w:ind w:left="40" w:right="79" w:firstLine="648"/>
        <w:spacing w:after="0" w:line="271" w:lineRule="auto"/>
        <w:rPr>
          <w:sz w:val="20"/>
          <w:szCs w:val="20"/>
          <w:color w:val="auto"/>
        </w:rPr>
      </w:pPr>
      <w:r>
        <w:rPr>
          <w:rFonts w:ascii="Arial" w:cs="Arial" w:eastAsia="Arial" w:hAnsi="Arial"/>
          <w:sz w:val="17"/>
          <w:szCs w:val="17"/>
          <w:color w:val="auto"/>
        </w:rPr>
        <w:t>We anticipate that we will make determinations as to which programs to pursue and how much funding to direct to each program on an ongoing basis in response to the scientific and clinical success of each product candidate, ongoing assessment as to each product candidate’s commercial potential, and our ability to access capital on acceptable terms. We will need to raise additional capital and will seek additional collaboration partnerships in order to complete the development and commercialization of tenapanor.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for our executive, board, finance, legal, business development, market development, commercial and support staff. Other general and administrative expenses include facility related costs and professional fees for legal, accounting and audit, investor relations, other consulting services and allocated facility-related costs not otherwise included in research and development expenses.</w:t>
      </w:r>
    </w:p>
    <w:p>
      <w:pPr>
        <w:spacing w:after="0" w:line="188" w:lineRule="exact"/>
        <w:rPr>
          <w:sz w:val="20"/>
          <w:szCs w:val="20"/>
          <w:color w:val="auto"/>
        </w:rPr>
      </w:pPr>
    </w:p>
    <w:p>
      <w:pPr>
        <w:ind w:left="40" w:right="239" w:firstLine="648"/>
        <w:spacing w:after="0" w:line="286" w:lineRule="auto"/>
        <w:rPr>
          <w:sz w:val="20"/>
          <w:szCs w:val="20"/>
          <w:color w:val="auto"/>
        </w:rPr>
      </w:pPr>
      <w:r>
        <w:rPr>
          <w:rFonts w:ascii="Arial" w:cs="Arial" w:eastAsia="Arial" w:hAnsi="Arial"/>
          <w:sz w:val="17"/>
          <w:szCs w:val="17"/>
          <w:color w:val="auto"/>
        </w:rPr>
        <w:t>We anticipate that our general and administrative expenses will increase in the future primarily because of increased pre-commercial activities, personnel costs and professional fees for services to support the potential launch and commercialization of tenapanor for the control of serum phosphorus in CKD patients on dialysis.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expense represents the interest paid on our loan payable.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left="40" w:right="919" w:firstLine="648"/>
        <w:spacing w:after="0" w:line="342" w:lineRule="auto"/>
        <w:rPr>
          <w:sz w:val="20"/>
          <w:szCs w:val="20"/>
          <w:color w:val="auto"/>
        </w:rPr>
      </w:pPr>
      <w:r>
        <w:rPr>
          <w:rFonts w:ascii="Arial" w:cs="Arial" w:eastAsia="Arial" w:hAnsi="Arial"/>
          <w:sz w:val="16"/>
          <w:szCs w:val="16"/>
          <w:color w:val="auto"/>
        </w:rPr>
        <w:t>Other income consists of interest income earned on our cash and cash equivalents and held-to-maturity investments, the periodic revaluation of the exit fee related to our loan and currency exchange gains and losses.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40" w:right="119" w:firstLine="648"/>
        <w:spacing w:after="0" w:line="273" w:lineRule="auto"/>
        <w:rPr>
          <w:sz w:val="20"/>
          <w:szCs w:val="20"/>
          <w:color w:val="auto"/>
        </w:rPr>
      </w:pPr>
      <w:r>
        <w:rPr>
          <w:rFonts w:ascii="Arial" w:cs="Arial" w:eastAsia="Arial" w:hAnsi="Arial"/>
          <w:sz w:val="17"/>
          <w:szCs w:val="17"/>
          <w:color w:val="auto"/>
        </w:rPr>
        <w:t>Our provision for income taxes includes current and deferred tax, including foreign withholding taxes paid on payments received from certain collaboration partners. Deferred income taxes reflect the tax effects of temporary differences between the carrying amounts of assets and liabilities for financial reporting purposes and the amounts used for income tax purposes. Our deferred tax assets continue to be fully offset by a valuation allowance, including deferred tax assets related to our net operating loss carryforwards, which may be subject to annual limitations as a result of ownership changes that may have occurred or could occur in the future.</w:t>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229" w:lineRule="exact"/>
        <w:rPr>
          <w:sz w:val="20"/>
          <w:szCs w:val="20"/>
          <w:color w:val="auto"/>
        </w:rPr>
      </w:pPr>
    </w:p>
    <w:p>
      <w:pPr>
        <w:ind w:left="40" w:right="239" w:firstLine="648"/>
        <w:spacing w:after="0" w:line="254" w:lineRule="auto"/>
        <w:rPr>
          <w:sz w:val="20"/>
          <w:szCs w:val="20"/>
          <w:color w:val="auto"/>
        </w:rPr>
      </w:pPr>
      <w:r>
        <w:rPr>
          <w:rFonts w:ascii="Arial" w:cs="Arial" w:eastAsia="Arial" w:hAnsi="Arial"/>
          <w:sz w:val="18"/>
          <w:szCs w:val="18"/>
          <w:color w:val="auto"/>
        </w:rPr>
        <w:t>A detailed discussion of our significant accounting policies can be found in NOTE 2, SUMMARY OF SIGNIFICANT ACCOUNTING POLICIES, in the notes to our financial statements, included in Part II, Item 8, of this Annual Report on Form 10-K. 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spacing w:after="0" w:line="192" w:lineRule="exact"/>
        <w:rPr>
          <w:sz w:val="20"/>
          <w:szCs w:val="20"/>
          <w:color w:val="auto"/>
        </w:rPr>
      </w:pPr>
    </w:p>
    <w:p>
      <w:pPr>
        <w:ind w:left="40" w:right="159" w:firstLine="648"/>
        <w:spacing w:after="0" w:line="263" w:lineRule="auto"/>
        <w:rPr>
          <w:sz w:val="20"/>
          <w:szCs w:val="20"/>
          <w:color w:val="auto"/>
        </w:rPr>
      </w:pPr>
      <w:r>
        <w:rPr>
          <w:rFonts w:ascii="Arial" w:cs="Arial" w:eastAsia="Arial" w:hAnsi="Arial"/>
          <w:sz w:val="18"/>
          <w:szCs w:val="18"/>
          <w:color w:val="auto"/>
        </w:rPr>
        <w:t>We consider certain accounting policies related to revenue recognition, accrued research and development expenses and stock-based compensation to be critical policies to understanding the judgments and estimates applied in our reported financial results.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right="359" w:firstLine="648"/>
        <w:spacing w:after="0" w:line="301" w:lineRule="auto"/>
        <w:rPr>
          <w:sz w:val="20"/>
          <w:szCs w:val="20"/>
          <w:color w:val="auto"/>
        </w:rPr>
      </w:pPr>
      <w:r>
        <w:rPr>
          <w:rFonts w:ascii="Arial" w:cs="Arial" w:eastAsia="Arial" w:hAnsi="Arial"/>
          <w:sz w:val="16"/>
          <w:szCs w:val="16"/>
          <w:color w:val="auto"/>
        </w:rPr>
        <w:t>We generate revenue primarily from research and collaboration and license agreements with customers. Goods and services in the agreements may include the grant of licenses for the use of our technology, the provision of services associated with the research and development of product candidates, manufacturing services, and participation in joint steering committees. The terms of these arrangements typically include payment to us of one or more of the following: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19"/>
        <w:spacing w:after="0" w:line="286" w:lineRule="auto"/>
        <w:rPr>
          <w:sz w:val="20"/>
          <w:szCs w:val="20"/>
          <w:color w:val="auto"/>
        </w:rPr>
      </w:pPr>
      <w:r>
        <w:rPr>
          <w:rFonts w:ascii="Arial" w:cs="Arial" w:eastAsia="Arial" w:hAnsi="Arial"/>
          <w:sz w:val="17"/>
          <w:szCs w:val="17"/>
          <w:color w:val="auto"/>
        </w:rPr>
        <w:t>non-refundable, up-front license fees; research, development, regulatory and commercial milestone payments; reimbursement of research and development services; option payments; reimbursement of certain costs; payments for manufacturing supply services; and future royalties on net sales of licensed products.</w:t>
      </w:r>
    </w:p>
    <w:p>
      <w:pPr>
        <w:spacing w:after="0" w:line="165" w:lineRule="exact"/>
        <w:rPr>
          <w:sz w:val="20"/>
          <w:szCs w:val="20"/>
          <w:color w:val="auto"/>
        </w:rPr>
      </w:pPr>
    </w:p>
    <w:p>
      <w:pPr>
        <w:ind w:left="40" w:right="179" w:firstLine="648"/>
        <w:spacing w:after="0" w:line="273" w:lineRule="auto"/>
        <w:rPr>
          <w:sz w:val="20"/>
          <w:szCs w:val="20"/>
          <w:color w:val="auto"/>
        </w:rPr>
      </w:pPr>
      <w:r>
        <w:rPr>
          <w:rFonts w:ascii="Arial" w:cs="Arial" w:eastAsia="Arial" w:hAnsi="Arial"/>
          <w:sz w:val="17"/>
          <w:szCs w:val="17"/>
          <w:color w:val="auto"/>
        </w:rPr>
        <w:t>When two or more contracts are entered into with the same customer at or near the same time, we evaluate the contracts to determine whether the contracts should be accounted for as a single arrangement. Contracts are combined and accounted for as a single arrangement if one or more of the following criteria are met: (i) the contracts are negotiated as a package with a single commercial objective; (ii) the amount of consideration to be paid in one contract depends on the price or performance of the other contract; or (iii) the goods or services promised in the contracts (or some goods or services promised in each of the contracts) are a single performance obligation.</w:t>
      </w:r>
    </w:p>
    <w:p>
      <w:pPr>
        <w:spacing w:after="0" w:line="178" w:lineRule="exact"/>
        <w:rPr>
          <w:sz w:val="20"/>
          <w:szCs w:val="20"/>
          <w:color w:val="auto"/>
        </w:rPr>
      </w:pPr>
    </w:p>
    <w:p>
      <w:pPr>
        <w:jc w:val="both"/>
        <w:ind w:left="40" w:right="159" w:firstLine="648"/>
        <w:spacing w:after="0" w:line="291" w:lineRule="auto"/>
        <w:rPr>
          <w:sz w:val="20"/>
          <w:szCs w:val="20"/>
          <w:color w:val="auto"/>
        </w:rPr>
      </w:pPr>
      <w:r>
        <w:rPr>
          <w:rFonts w:ascii="Arial" w:cs="Arial" w:eastAsia="Arial" w:hAnsi="Arial"/>
          <w:sz w:val="16"/>
          <w:szCs w:val="16"/>
          <w:color w:val="auto"/>
        </w:rPr>
        <w:t>In determining the appropriate amount of revenue to be recognized as we fulfill our obligations under each of our agreements, management performs the following steps: (i) identification of the promised goods or services in the contract;</w:t>
      </w:r>
    </w:p>
    <w:p>
      <w:pPr>
        <w:ind w:left="40" w:right="119" w:firstLine="4"/>
        <w:spacing w:after="0" w:line="285" w:lineRule="auto"/>
        <w:tabs>
          <w:tab w:leader="none" w:pos="3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determination of whether the promised goods or services are performance obligations including whether they are distinct in the context of the contract; (iii) measurement of the transaction price, including any constraints on variable consideration; (iv) allocation of the transaction price to the performance obligations; and (v) recognition of revenue when (or as) we satisfy each performance obligation. As part of the accounting for contracts with customers, we develop assumptions that require judgment to determine whether promised goods and services represent distinct performance obligations and the standalone selling price for each performance obligation identified in the contract. This evaluation is subjective and requires us to make judgments about the promised goods and services and whether those goods and services are separable from other aspects of the contract. Further, determining the standalone selling price for performance obligations requires significant judgment, and when an observable price of a promised good or service is not readily available, we consider relevant assumptions to estimate the standalone selling price, including, as applicable, market conditions, development timelines, probabilities of technical and regulatory success, reimbursement rates for personnel costs, forecasted revenues, potential limitations to the selling price of the product and discount rates.</w:t>
      </w:r>
    </w:p>
    <w:p>
      <w:pPr>
        <w:spacing w:after="0" w:line="172" w:lineRule="exact"/>
        <w:rPr>
          <w:sz w:val="20"/>
          <w:szCs w:val="20"/>
          <w:color w:val="auto"/>
        </w:rPr>
      </w:pPr>
    </w:p>
    <w:p>
      <w:pPr>
        <w:ind w:left="40" w:right="119" w:firstLine="648"/>
        <w:spacing w:after="0" w:line="268" w:lineRule="auto"/>
        <w:rPr>
          <w:sz w:val="20"/>
          <w:szCs w:val="20"/>
          <w:color w:val="auto"/>
        </w:rPr>
      </w:pPr>
      <w:r>
        <w:rPr>
          <w:rFonts w:ascii="Arial" w:cs="Arial" w:eastAsia="Arial" w:hAnsi="Arial"/>
          <w:sz w:val="17"/>
          <w:szCs w:val="17"/>
          <w:color w:val="auto"/>
        </w:rPr>
        <w:t>We apply judgment in determining whether a combined performance obligation is satisfied at a point in time or over time, and, if over time, concluding upon the appropriate method of measuring progress to be applied for purposes of recognizing revenue. We evaluate the measure of progress each reporting period and, as estimates related to the measure of progress change, related revenue recognition is adjusted accordingly. Changes in our estimated measure of progress are accounted for prospectively as a change in accounting estimate. We recognize collaboration revenue by measuring the progress toward complete satisfaction of the performance obligation using an input measure. In order to recognize revenue over the research and development period, we measure actual costs incurred to date compared to the overall total expected costs to satisfy the performance obligation. Revenues are recognized as the program costs are incurred. We will re-evaluate the estimate of expected costs to satisfy the performance obligation each reporting period and make adjustments for any significant changes. Amounts received prior to satisfying the revenue recognition criteria are recorded as contract liabilities in our balance sheets. If the related performance obligation is expected to be satisfied within the next twelve months, this will be classified in current liabilities. Amounts recognized as revenue prior to receipt are recorded as contract assets in our balance sheets. If we expect to have an unconditional right to receive the consideration in the next twelve months, this will be classified in current assets. A net contract asset or liability is presented for each contract with a customer.</w:t>
      </w:r>
    </w:p>
    <w:p>
      <w:pPr>
        <w:spacing w:after="0" w:line="182" w:lineRule="exact"/>
        <w:rPr>
          <w:sz w:val="20"/>
          <w:szCs w:val="20"/>
          <w:color w:val="auto"/>
        </w:rPr>
      </w:pPr>
    </w:p>
    <w:p>
      <w:pPr>
        <w:ind w:left="40" w:right="219" w:firstLine="648"/>
        <w:spacing w:after="0" w:line="269"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research and development milestone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we evaluate whether the milestones are considered probable of being reached and estimate the amount to be included in the transaction price using the most likely amount method.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Milestone payments that are not within the control of us or the licensee, such as regulatory approvals, are not considered probable of being achieved until those approvals are received.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constraints, and if necessary, adjust our estimate of the overall transaction price. Any such adjustments are recorded on a cumulative catch-up basis, which would affect earnings in the period of adjustment.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59" w:firstLine="648"/>
        <w:spacing w:after="0" w:line="296" w:lineRule="auto"/>
        <w:rPr>
          <w:sz w:val="20"/>
          <w:szCs w:val="20"/>
          <w:color w:val="auto"/>
        </w:rPr>
      </w:pPr>
      <w:r>
        <w:rPr>
          <w:rFonts w:ascii="Arial" w:cs="Arial" w:eastAsia="Arial" w:hAnsi="Arial"/>
          <w:sz w:val="16"/>
          <w:szCs w:val="16"/>
          <w:i w:val="1"/>
          <w:iCs w:val="1"/>
          <w:color w:val="auto"/>
        </w:rPr>
        <w:t xml:space="preserve">Manufacturing supply services: </w:t>
      </w:r>
      <w:r>
        <w:rPr>
          <w:rFonts w:ascii="Arial" w:cs="Arial" w:eastAsia="Arial" w:hAnsi="Arial"/>
          <w:sz w:val="16"/>
          <w:szCs w:val="16"/>
          <w:color w:val="auto"/>
        </w:rPr>
        <w:t>Arrangements that include a promise for the future supply of drug substance or</w:t>
      </w:r>
      <w:r>
        <w:rPr>
          <w:rFonts w:ascii="Arial" w:cs="Arial" w:eastAsia="Arial" w:hAnsi="Arial"/>
          <w:sz w:val="16"/>
          <w:szCs w:val="16"/>
          <w:i w:val="1"/>
          <w:iCs w:val="1"/>
          <w:color w:val="auto"/>
        </w:rPr>
        <w:t xml:space="preserve"> </w:t>
      </w:r>
      <w:r>
        <w:rPr>
          <w:rFonts w:ascii="Arial" w:cs="Arial" w:eastAsia="Arial" w:hAnsi="Arial"/>
          <w:sz w:val="16"/>
          <w:szCs w:val="16"/>
          <w:color w:val="auto"/>
        </w:rPr>
        <w:t>drug product for either clinical development or commercial supply at the customer’s discretion are generally considered as options. We assess if these options provide a material right to the licensee and if so, they are accounted for as separate performance obligations. If we are entitled to additional payments when the customer exercises these options, any payments are recorded in other revenues when the customer obtains control of the goods, which is upon delivery.</w:t>
      </w:r>
    </w:p>
    <w:p>
      <w:pPr>
        <w:spacing w:after="0" w:line="161"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where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188"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7"/>
          <w:szCs w:val="17"/>
          <w:i w:val="1"/>
          <w:iCs w:val="1"/>
          <w:color w:val="auto"/>
        </w:rPr>
        <w:t>Licenses of intellectual property</w:t>
      </w:r>
      <w:r>
        <w:rPr>
          <w:rFonts w:ascii="Arial" w:cs="Arial" w:eastAsia="Arial" w:hAnsi="Arial"/>
          <w:sz w:val="17"/>
          <w:szCs w:val="17"/>
          <w:color w:val="auto"/>
        </w:rPr>
        <w:t>: If a license granted to a customer to use our intellectual property is determined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distinct from the other performance obligations identified in the arrangement, we recognize revenue from consideration allocated to the license when the license is transferred to the licensee and the licensee is able to use and benefit from the license. For licenses that are bundled with other promises, we apply judgment to assess the nature of the combined performance obligation to determine whether the combined performance obligation is satisfied over time or at a point in time and, if over time, to conclude upon the appropriate method of measuring progress for purposes of recognizing revenue related to consideration allocated to the performance obligation.</w:t>
      </w:r>
    </w:p>
    <w:p>
      <w:pPr>
        <w:spacing w:after="0" w:line="177"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Customer options, such as options granted to allow a licensee to choose to research, develop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commercialize licensed compounds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We allocate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82"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8"/>
          <w:szCs w:val="18"/>
          <w:i w:val="1"/>
          <w:iCs w:val="1"/>
          <w:color w:val="auto"/>
        </w:rPr>
        <w:t xml:space="preserve">Contract costs: </w:t>
      </w:r>
      <w:r>
        <w:rPr>
          <w:rFonts w:ascii="Arial" w:cs="Arial" w:eastAsia="Arial" w:hAnsi="Arial"/>
          <w:sz w:val="18"/>
          <w:szCs w:val="18"/>
          <w:color w:val="auto"/>
        </w:rPr>
        <w:t>We recognize as an asset the incremental costs of obtaining a contract with a customer if the costs</w:t>
      </w:r>
      <w:r>
        <w:rPr>
          <w:rFonts w:ascii="Arial" w:cs="Arial" w:eastAsia="Arial" w:hAnsi="Arial"/>
          <w:sz w:val="18"/>
          <w:szCs w:val="18"/>
          <w:i w:val="1"/>
          <w:iCs w:val="1"/>
          <w:color w:val="auto"/>
        </w:rPr>
        <w:t xml:space="preserve"> </w:t>
      </w:r>
      <w:r>
        <w:rPr>
          <w:rFonts w:ascii="Arial" w:cs="Arial" w:eastAsia="Arial" w:hAnsi="Arial"/>
          <w:sz w:val="18"/>
          <w:szCs w:val="18"/>
          <w:color w:val="auto"/>
        </w:rPr>
        <w:t>are expected to be recovered. We have elected a practical expedient wherein we recognize the incremental costs of obtaining a contract as an expense when incurred if the amortization period of the asset that we otherwise would have recognized is one year or less. To date, we have not incurred any material incremental costs of obtaining a contract with a customer.</w:t>
      </w:r>
    </w:p>
    <w:p>
      <w:pPr>
        <w:spacing w:after="0" w:line="188" w:lineRule="exact"/>
        <w:rPr>
          <w:sz w:val="20"/>
          <w:szCs w:val="20"/>
          <w:color w:val="auto"/>
        </w:rPr>
      </w:pPr>
    </w:p>
    <w:p>
      <w:pPr>
        <w:ind w:left="40" w:right="179" w:firstLine="648"/>
        <w:spacing w:after="0" w:line="286" w:lineRule="auto"/>
        <w:rPr>
          <w:sz w:val="20"/>
          <w:szCs w:val="20"/>
          <w:color w:val="auto"/>
        </w:rPr>
      </w:pPr>
      <w:r>
        <w:rPr>
          <w:rFonts w:ascii="Arial" w:cs="Arial" w:eastAsia="Arial" w:hAnsi="Arial"/>
          <w:sz w:val="16"/>
          <w:szCs w:val="16"/>
          <w:i w:val="1"/>
          <w:iCs w:val="1"/>
          <w:color w:val="auto"/>
        </w:rPr>
        <w:t xml:space="preserve">Contract modifications: </w:t>
      </w:r>
      <w:r>
        <w:rPr>
          <w:rFonts w:ascii="Arial" w:cs="Arial" w:eastAsia="Arial" w:hAnsi="Arial"/>
          <w:sz w:val="16"/>
          <w:szCs w:val="16"/>
          <w:color w:val="auto"/>
        </w:rPr>
        <w:t>Contract modifications, defined as changes in the scope or price (or both) of a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approved by the parties to the contract, such as a contract amendment, exist when the parties to a contract approve a modification that either creates new or changes existing enforceable rights and obligations of the parties to the contract. Depending on facts and circumstances, we account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goods or services that are distinct and the price of the contract increases by an amount of consideration that reflects our standalone selling prices of the additional promised goods or services. When a contract modification is not considered a separate contract and the remaining goods or services are distinct from the goods or services transferred on or before the date of the contract modification, we account for the contract modification as a termination of the existing contract and a creation of a new contract. When a contract modification is not considered a separate contract and the remaining goods or services are not distinct, we account for the contract modification as an add-on to the existing contract and as an adjustment to revenue on a cumulative catch-up basis.</w:t>
      </w:r>
    </w:p>
    <w:p>
      <w:pPr>
        <w:spacing w:after="0" w:line="174" w:lineRule="exact"/>
        <w:rPr>
          <w:sz w:val="20"/>
          <w:szCs w:val="20"/>
          <w:color w:val="auto"/>
        </w:rPr>
      </w:pPr>
    </w:p>
    <w:p>
      <w:pPr>
        <w:ind w:left="40" w:right="219" w:firstLine="648"/>
        <w:spacing w:after="0" w:line="308" w:lineRule="auto"/>
        <w:rPr>
          <w:sz w:val="20"/>
          <w:szCs w:val="20"/>
          <w:color w:val="auto"/>
        </w:rPr>
      </w:pPr>
      <w:r>
        <w:rPr>
          <w:rFonts w:ascii="Arial" w:cs="Arial" w:eastAsia="Arial" w:hAnsi="Arial"/>
          <w:sz w:val="17"/>
          <w:szCs w:val="17"/>
          <w:color w:val="auto"/>
        </w:rPr>
        <w:t>We receive payments from our licensees as established in each contract. Upfront payments and fees are recorded as deferred revenue upon receipt or when due and may require deferral of revenue recognition to a future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19"/>
        <w:spacing w:after="0" w:line="301" w:lineRule="auto"/>
        <w:rPr>
          <w:sz w:val="20"/>
          <w:szCs w:val="20"/>
          <w:color w:val="auto"/>
        </w:rPr>
      </w:pPr>
      <w:r>
        <w:rPr>
          <w:rFonts w:ascii="Arial" w:cs="Arial" w:eastAsia="Arial" w:hAnsi="Arial"/>
          <w:sz w:val="16"/>
          <w:szCs w:val="16"/>
          <w:color w:val="auto"/>
        </w:rPr>
        <w:t>period until we perform our obligations under these arrangements. Where applicable, amounts are recorded as unbilled revenue when our right to consideration is unconditional. We do not assess whether a contract with a customer has a significant financing component if the expectation at contract inception is such that the period between payment by the licensees and the transfer of the promised goods or services to the licensees will be one year or less.</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left="40" w:right="59" w:firstLine="648"/>
        <w:spacing w:after="0" w:line="290"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estimated accrued research and development expenses include fees paid to:</w:t>
      </w:r>
    </w:p>
    <w:p>
      <w:pPr>
        <w:spacing w:after="0" w:line="165" w:lineRule="exact"/>
        <w:rPr>
          <w:sz w:val="20"/>
          <w:szCs w:val="20"/>
          <w:color w:val="auto"/>
        </w:rPr>
      </w:pPr>
    </w:p>
    <w:p>
      <w:pPr>
        <w:ind w:left="1340" w:hanging="324"/>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CROs in connection with clinical studies;</w:t>
      </w:r>
    </w:p>
    <w:p>
      <w:pPr>
        <w:spacing w:after="0" w:line="225" w:lineRule="exact"/>
        <w:rPr>
          <w:rFonts w:ascii="Arial" w:cs="Arial" w:eastAsia="Arial" w:hAnsi="Arial"/>
          <w:sz w:val="18"/>
          <w:szCs w:val="18"/>
          <w:color w:val="auto"/>
        </w:rPr>
      </w:pPr>
    </w:p>
    <w:p>
      <w:pPr>
        <w:ind w:left="1340" w:hanging="324"/>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investigative sites in connection with clinical studies;</w:t>
      </w:r>
    </w:p>
    <w:p>
      <w:pPr>
        <w:spacing w:after="0" w:line="225" w:lineRule="exact"/>
        <w:rPr>
          <w:rFonts w:ascii="Arial" w:cs="Arial" w:eastAsia="Arial" w:hAnsi="Arial"/>
          <w:sz w:val="18"/>
          <w:szCs w:val="18"/>
          <w:color w:val="auto"/>
        </w:rPr>
      </w:pPr>
    </w:p>
    <w:p>
      <w:pPr>
        <w:ind w:left="1340" w:hanging="324"/>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clinical supplies;</w:t>
      </w:r>
    </w:p>
    <w:p>
      <w:pPr>
        <w:spacing w:after="0" w:line="225" w:lineRule="exact"/>
        <w:rPr>
          <w:rFonts w:ascii="Arial" w:cs="Arial" w:eastAsia="Arial" w:hAnsi="Arial"/>
          <w:sz w:val="18"/>
          <w:szCs w:val="18"/>
          <w:color w:val="auto"/>
        </w:rPr>
      </w:pPr>
    </w:p>
    <w:p>
      <w:pPr>
        <w:ind w:left="1340" w:hanging="324"/>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 entities in connection with our collaboration agreements; and</w:t>
      </w:r>
    </w:p>
    <w:p>
      <w:pPr>
        <w:spacing w:after="0" w:line="225" w:lineRule="exact"/>
        <w:rPr>
          <w:rFonts w:ascii="Arial" w:cs="Arial" w:eastAsia="Arial" w:hAnsi="Arial"/>
          <w:sz w:val="18"/>
          <w:szCs w:val="18"/>
          <w:color w:val="auto"/>
        </w:rPr>
      </w:pPr>
    </w:p>
    <w:p>
      <w:pPr>
        <w:ind w:left="1340" w:hanging="324"/>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w:t>
      </w:r>
    </w:p>
    <w:p>
      <w:pPr>
        <w:spacing w:after="0" w:line="225" w:lineRule="exact"/>
        <w:rPr>
          <w:sz w:val="20"/>
          <w:szCs w:val="20"/>
          <w:color w:val="auto"/>
        </w:rPr>
      </w:pPr>
    </w:p>
    <w:p>
      <w:pPr>
        <w:ind w:left="40" w:right="59" w:firstLine="648"/>
        <w:spacing w:after="0" w:line="286" w:lineRule="auto"/>
        <w:rPr>
          <w:sz w:val="20"/>
          <w:szCs w:val="20"/>
          <w:color w:val="auto"/>
        </w:rPr>
      </w:pPr>
      <w:r>
        <w:rPr>
          <w:rFonts w:ascii="Arial" w:cs="Arial" w:eastAsia="Arial" w:hAnsi="Arial"/>
          <w:sz w:val="16"/>
          <w:szCs w:val="16"/>
          <w:color w:val="auto"/>
        </w:rPr>
        <w:t>We record expenses related to clinical studies and manufacturing development activities based on our estimates of the services received and efforts expended pursuant to contracts with our CROs and manufacturing vendors that conduct and manage these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subjects and the completion of clinical trial milestones. In accruing service fees, we estimate the time period over which each component of a service will be performed, and estimate, with vendor input if appropriate, the resulting level of completion of each component of the service, with such estimates often involving drivers that provide a surrogate measurement of completion such as number of enrolled subjects and/or number of sites activated in the calculation of clinical trial fee accruals. If the actual timing of the performance of services or the level of effort varies from our estimate, we adjust the accrued or prepaid expense balance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40" w:right="219" w:firstLine="648"/>
        <w:spacing w:after="0" w:line="263" w:lineRule="auto"/>
        <w:rPr>
          <w:sz w:val="20"/>
          <w:szCs w:val="20"/>
          <w:color w:val="auto"/>
        </w:rPr>
      </w:pPr>
      <w:r>
        <w:rPr>
          <w:rFonts w:ascii="Arial" w:cs="Arial" w:eastAsia="Arial" w:hAnsi="Arial"/>
          <w:sz w:val="18"/>
          <w:szCs w:val="18"/>
          <w:color w:val="auto"/>
        </w:rPr>
        <w:t>We estimate the fair value of stock options and Employee Stock Purchase Plan, or ESPP, shares using the Black-Scholes valuation model. The Black-Scholes model requires the input of highly subjective assumptions which determine the fair value of stock-based awards. These assumptions include:</w:t>
      </w:r>
    </w:p>
    <w:p>
      <w:pPr>
        <w:spacing w:after="0" w:line="184" w:lineRule="exact"/>
        <w:rPr>
          <w:sz w:val="20"/>
          <w:szCs w:val="20"/>
          <w:color w:val="auto"/>
        </w:rPr>
      </w:pPr>
    </w:p>
    <w:p>
      <w:pPr>
        <w:ind w:left="700" w:right="199"/>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We have limited historical information to develop reasonable expectations about future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patterns and post-vesting employment termination behavior for our stock-option grants. As such, the expected term is estimated using the simplified method whereby the expected term equals the arithmetic average of the vesting term and the original contractual term of the option.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0" w:name="page71"/>
    <w:bookmarkEnd w:id="7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right="239"/>
        <w:spacing w:after="0" w:line="311"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Since January 1, 2017, we have used the historic volatility of our own stock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retrospective period corresponding to the expected remaining term of the options, or the period since our shares were first quoted on The Nasdaq Global Market, if that is shorter, to compute our expected stock price volatility.</w:t>
      </w:r>
    </w:p>
    <w:p>
      <w:pPr>
        <w:spacing w:after="0" w:line="149" w:lineRule="exact"/>
        <w:rPr>
          <w:sz w:val="20"/>
          <w:szCs w:val="20"/>
          <w:color w:val="auto"/>
        </w:rPr>
      </w:pPr>
    </w:p>
    <w:p>
      <w:pPr>
        <w:ind w:left="700" w:right="159"/>
        <w:spacing w:after="0" w:line="342" w:lineRule="auto"/>
        <w:rPr>
          <w:sz w:val="20"/>
          <w:szCs w:val="20"/>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assumption is based on the zero-coupon U.S. Treasury</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on the date of grant with a maturity date consistent with the expected term of our stock option grants.</w:t>
      </w:r>
    </w:p>
    <w:p>
      <w:pPr>
        <w:spacing w:after="0" w:line="124" w:lineRule="exact"/>
        <w:rPr>
          <w:sz w:val="20"/>
          <w:szCs w:val="20"/>
          <w:color w:val="auto"/>
        </w:rPr>
      </w:pPr>
    </w:p>
    <w:p>
      <w:pPr>
        <w:ind w:left="700" w:right="99"/>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 To date, we have not declared or paid any cash dividends and do not have any plans to do so</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future. Therefore, we use an expected dividend yield of zero.</w:t>
      </w:r>
    </w:p>
    <w:p>
      <w:pPr>
        <w:spacing w:after="0" w:line="170" w:lineRule="exact"/>
        <w:rPr>
          <w:sz w:val="20"/>
          <w:szCs w:val="20"/>
          <w:color w:val="auto"/>
        </w:rPr>
      </w:pPr>
    </w:p>
    <w:p>
      <w:pPr>
        <w:ind w:left="40" w:right="159" w:firstLine="648"/>
        <w:spacing w:after="0" w:line="296" w:lineRule="auto"/>
        <w:rPr>
          <w:sz w:val="20"/>
          <w:szCs w:val="20"/>
          <w:color w:val="auto"/>
        </w:rPr>
      </w:pPr>
      <w:r>
        <w:rPr>
          <w:rFonts w:ascii="Arial" w:cs="Arial" w:eastAsia="Arial" w:hAnsi="Arial"/>
          <w:sz w:val="16"/>
          <w:szCs w:val="16"/>
          <w:color w:val="auto"/>
        </w:rPr>
        <w:t>As required, we review our valuation assumptions at each grant date and, as a result, we are likely to change our valuation assumptions used to value employee stock-based awards granted in future periods. Employee and director stock-based compensation costs are to be recognized over the vesting period of the award, and we have elected to use the straight-line attribution method. Forfeitures are estimated at the time of grant and revised, if necessary, in subsequent periods if actual forfeitures differ from those estimates. We estimate forfeitures based on historical experience.</w:t>
      </w:r>
    </w:p>
    <w:p>
      <w:pPr>
        <w:spacing w:after="0" w:line="161" w:lineRule="exact"/>
        <w:rPr>
          <w:sz w:val="20"/>
          <w:szCs w:val="20"/>
          <w:color w:val="auto"/>
        </w:rPr>
      </w:pPr>
    </w:p>
    <w:p>
      <w:pPr>
        <w:ind w:left="40" w:right="539" w:firstLine="648"/>
        <w:spacing w:after="0" w:line="277" w:lineRule="auto"/>
        <w:rPr>
          <w:sz w:val="20"/>
          <w:szCs w:val="20"/>
          <w:color w:val="auto"/>
        </w:rPr>
      </w:pPr>
      <w:r>
        <w:rPr>
          <w:rFonts w:ascii="Arial" w:cs="Arial" w:eastAsia="Arial" w:hAnsi="Arial"/>
          <w:sz w:val="18"/>
          <w:szCs w:val="18"/>
          <w:color w:val="auto"/>
        </w:rPr>
        <w:t>Restricted stock units, or RSUs, are measured at the fair value of our common stock on the date of grant and expensed over the period of vesting using the straight-line attribution approach.</w:t>
      </w:r>
    </w:p>
    <w:p>
      <w:pPr>
        <w:spacing w:after="0" w:line="170" w:lineRule="exact"/>
        <w:rPr>
          <w:sz w:val="20"/>
          <w:szCs w:val="20"/>
          <w:color w:val="auto"/>
        </w:rPr>
      </w:pPr>
    </w:p>
    <w:p>
      <w:pPr>
        <w:ind w:left="40" w:right="379" w:firstLine="648"/>
        <w:spacing w:after="0" w:line="296" w:lineRule="auto"/>
        <w:rPr>
          <w:sz w:val="20"/>
          <w:szCs w:val="20"/>
          <w:color w:val="auto"/>
        </w:rPr>
      </w:pPr>
      <w:r>
        <w:rPr>
          <w:rFonts w:ascii="Arial" w:cs="Arial" w:eastAsia="Arial" w:hAnsi="Arial"/>
          <w:sz w:val="16"/>
          <w:szCs w:val="16"/>
          <w:color w:val="auto"/>
        </w:rPr>
        <w:t>Performance-based RSUs, or PRSUs, are valued at grant-date fair market value. The vesting of the PRSUs is based on performance conditions. Performance conditions include: (i) a specific performance criteria and (ii) the employee’s continuous employment by the company for a stated period of time in order to earn the right to the related PRSUs to vest. The Company recognizes compensation cost with respect to the vesting of the PRSUs on a ratable basis over the requisite service period, upon the performance conditions being deemed probable of achievement.</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Comparison of the Years Ended December 31, 2019 and 2018</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15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4"/>
          </w:tcPr>
          <w:p>
            <w:pPr>
              <w:jc w:val="right"/>
              <w:ind w:right="33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4,500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2,320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Collaborative development revenue</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09"/>
        </w:trPr>
        <w:tc>
          <w:tcPr>
            <w:tcW w:w="3980" w:type="dxa"/>
            <w:vAlign w:val="bottom"/>
          </w:tcPr>
          <w:p>
            <w:pPr>
              <w:ind w:left="100"/>
              <w:spacing w:after="0"/>
              <w:rPr>
                <w:sz w:val="20"/>
                <w:szCs w:val="20"/>
                <w:color w:val="auto"/>
              </w:rPr>
            </w:pPr>
            <w:r>
              <w:rPr>
                <w:rFonts w:ascii="Arial" w:cs="Arial" w:eastAsia="Arial" w:hAnsi="Arial"/>
                <w:sz w:val="18"/>
                <w:szCs w:val="18"/>
                <w:color w:val="auto"/>
              </w:rPr>
              <w:t>Total revenues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Dollar change from prior year</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Percent change from prior year</w:t>
            </w:r>
          </w:p>
        </w:tc>
        <w:tc>
          <w:tcPr>
            <w:tcW w:w="2360" w:type="dxa"/>
            <w:vAlign w:val="bottom"/>
            <w:gridSpan w:val="4"/>
          </w:tcPr>
          <w:p>
            <w:pPr>
              <w:jc w:val="right"/>
              <w:ind w:right="40"/>
              <w:spacing w:after="0"/>
              <w:rPr>
                <w:sz w:val="20"/>
                <w:szCs w:val="20"/>
                <w:color w:val="auto"/>
              </w:rPr>
            </w:pPr>
            <w:r>
              <w:rPr>
                <w:rFonts w:ascii="Arial" w:cs="Arial" w:eastAsia="Arial" w:hAnsi="Arial"/>
                <w:sz w:val="18"/>
                <w:szCs w:val="18"/>
                <w:color w:val="auto"/>
              </w:rPr>
              <w:t>103 %</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187" w:lineRule="exact"/>
        <w:rPr>
          <w:sz w:val="20"/>
          <w:szCs w:val="20"/>
          <w:color w:val="auto"/>
        </w:rPr>
      </w:pPr>
    </w:p>
    <w:p>
      <w:pPr>
        <w:ind w:left="40" w:right="199" w:firstLine="648"/>
        <w:spacing w:after="0" w:line="291" w:lineRule="auto"/>
        <w:rPr>
          <w:sz w:val="20"/>
          <w:szCs w:val="20"/>
          <w:color w:val="auto"/>
        </w:rPr>
      </w:pPr>
      <w:r>
        <w:rPr>
          <w:rFonts w:ascii="Arial" w:cs="Arial" w:eastAsia="Arial" w:hAnsi="Arial"/>
          <w:sz w:val="16"/>
          <w:szCs w:val="16"/>
          <w:color w:val="auto"/>
        </w:rPr>
        <w:t>Total revenues for the year ended December 31, 2019 were $5.3 million, which represents an increase of $2.7 million, or 103%, as compared to total revenues of $2.6 million for the year ended December 31, 2018. The licensing revenue of $4.5 million is attributable to the achievement of a milestone, which amounted to $3.0 million, pursuant to our exclusive license agreement with Fosun Pharma, entered into in December 2017 for the development, commercialization and distribution of tenapanor in China for both hyperphosphatemia and IBS-C, and the full recognition of the $1.5 million license fee related to the XuanZhu Agreement, as discussed in NOTE 13, COLLABORATION AND LICENSING AGREEMENTS, to our financial statements, included in Part II, Item 8 of this Annual Report on Form 10-K.</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1" w:name="page72"/>
    <w:bookmarkEnd w:id="7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79" w:firstLine="648"/>
        <w:spacing w:after="0" w:line="275" w:lineRule="auto"/>
        <w:rPr>
          <w:sz w:val="20"/>
          <w:szCs w:val="20"/>
          <w:color w:val="auto"/>
        </w:rPr>
      </w:pPr>
      <w:r>
        <w:rPr>
          <w:rFonts w:ascii="Arial" w:cs="Arial" w:eastAsia="Arial" w:hAnsi="Arial"/>
          <w:sz w:val="17"/>
          <w:szCs w:val="17"/>
          <w:color w:val="auto"/>
        </w:rPr>
        <w:t>The increase in collaborative development revenue of $0.5 million is attributable entirely to the revenue recognized, under the input method, during the fourth quarter of 2019 related to the 2019 KKC Agreement. We expect to recognize the remaining $9.5 million of the initial transaction price over the research and development period of the program that is currently expected to extend through the end of 2021. However, we will revisit our current estimates and timing of performance at the end of each future reporting period and adjust as necessary.</w:t>
      </w:r>
    </w:p>
    <w:p>
      <w:pPr>
        <w:spacing w:after="0" w:line="176" w:lineRule="exact"/>
        <w:rPr>
          <w:sz w:val="20"/>
          <w:szCs w:val="20"/>
          <w:color w:val="auto"/>
        </w:rPr>
      </w:pPr>
    </w:p>
    <w:p>
      <w:pPr>
        <w:ind w:left="40" w:right="419" w:firstLine="648"/>
        <w:spacing w:after="0" w:line="308" w:lineRule="auto"/>
        <w:rPr>
          <w:sz w:val="20"/>
          <w:szCs w:val="20"/>
          <w:color w:val="auto"/>
        </w:rPr>
      </w:pPr>
      <w:r>
        <w:rPr>
          <w:rFonts w:ascii="Arial" w:cs="Arial" w:eastAsia="Arial" w:hAnsi="Arial"/>
          <w:sz w:val="17"/>
          <w:szCs w:val="17"/>
          <w:color w:val="auto"/>
        </w:rPr>
        <w:t>The other revenue of $0.3 million relates to the manufacturing supply of tenapanor and other materials sold to KKC in connection with that collaboration partner’s product development and clinical trials in Japan.</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0"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6350</wp:posOffset>
            </wp:positionV>
            <wp:extent cx="11055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ind w:left="6420"/>
        <w:spacing w:after="0"/>
        <w:tabs>
          <w:tab w:leader="none" w:pos="73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-3175</wp:posOffset>
            </wp:positionV>
            <wp:extent cx="11055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ind w:left="662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466</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Dollar change from prior year</w:t>
            </w:r>
          </w:p>
        </w:tc>
        <w:tc>
          <w:tcPr>
            <w:tcW w:w="176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Percent change from prior year</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Cost of revenue was $0.6 million for the year ended December 31, 2019, an increase of $0.1 million, or 29%, compared to $0.5 million for the year ended December 31, 2018. The cost of revenue in both periods represent payments due to AstraZeneca under the AstraZeneca Termination Agreement and are related primarily to tenapanor-related up front and milestone payments from our collaboration partners.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0"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6350</wp:posOffset>
            </wp:positionV>
            <wp:extent cx="11055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ind w:left="6500"/>
        <w:spacing w:after="0"/>
        <w:tabs>
          <w:tab w:leader="none" w:pos="74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-3175</wp:posOffset>
            </wp:positionV>
            <wp:extent cx="11055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ind w:left="670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71,677</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$ 69,373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Dollar change from prior year</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2,304</w:t>
            </w:r>
          </w:p>
        </w:tc>
        <w:tc>
          <w:tcPr>
            <w:tcW w:w="8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Percent change from prior year</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8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40" w:right="359" w:firstLine="648"/>
        <w:spacing w:after="0" w:line="311" w:lineRule="auto"/>
        <w:rPr>
          <w:sz w:val="20"/>
          <w:szCs w:val="20"/>
          <w:color w:val="auto"/>
        </w:rPr>
      </w:pPr>
      <w:r>
        <w:rPr>
          <w:rFonts w:ascii="Arial" w:cs="Arial" w:eastAsia="Arial" w:hAnsi="Arial"/>
          <w:sz w:val="16"/>
          <w:szCs w:val="16"/>
          <w:color w:val="auto"/>
        </w:rPr>
        <w:t>Research and development expenses were $71.7 million for the year ended December 31, 2019, an increase of $2.3 million, or 3%, compared to $69.4 million for the year ended December 31, 2018. The increase consisted of a $3.7 million increase in our internal program costs and a $1.4 million decrease in our external program costs.</w:t>
      </w:r>
    </w:p>
    <w:p>
      <w:pPr>
        <w:spacing w:after="0" w:line="14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increase in our internal costs of $3.7 million was primarily due to an increase in headcount and related personnel costs and an increase in stock-based compensation expenses.</w:t>
      </w:r>
    </w:p>
    <w:p>
      <w:pPr>
        <w:spacing w:after="0" w:line="170"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decrease in our external program costs of $1.4 million included a $4.6 million decrease in expenses primarily related to manufacturing of tenapanor and regulatory expenses related to our IBS-C NDA in 2018, partially offset by $2.5 million increase in clinical development expenses related to our RDX013 program and a $0.7 million increase primarily related to our tenapanor clinical trial expenses that includes an out-of-period adjustment recorded during the second quarter of 2019 that reduced clinical trial expenses by $3.6 million related to our tenapanor clinical trials.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Pr>
          <w:p>
            <w:pPr>
              <w:spacing w:after="0"/>
              <w:rPr>
                <w:sz w:val="14"/>
                <w:szCs w:val="14"/>
                <w:color w:val="auto"/>
              </w:rPr>
            </w:pPr>
          </w:p>
        </w:tc>
      </w:tr>
      <w:tr>
        <w:trPr>
          <w:trHeight w:val="142"/>
        </w:trPr>
        <w:tc>
          <w:tcPr>
            <w:tcW w:w="9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2"/>
                <w:szCs w:val="12"/>
                <w:color w:val="auto"/>
              </w:rPr>
            </w:pPr>
          </w:p>
        </w:tc>
      </w:tr>
      <w:tr>
        <w:trPr>
          <w:trHeight w:val="216"/>
        </w:trPr>
        <w:tc>
          <w:tcPr>
            <w:tcW w:w="9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24,267</w:t>
            </w:r>
          </w:p>
        </w:tc>
        <w:tc>
          <w:tcPr>
            <w:tcW w:w="8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$ 23,715</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Dollar change from prior year</w:t>
            </w:r>
          </w:p>
        </w:tc>
        <w:tc>
          <w:tcPr>
            <w:tcW w:w="3420" w:type="dxa"/>
            <w:vAlign w:val="bottom"/>
            <w:gridSpan w:val="2"/>
          </w:tcPr>
          <w:p>
            <w:pPr>
              <w:jc w:val="right"/>
              <w:ind w:right="168"/>
              <w:spacing w:after="0"/>
              <w:rPr>
                <w:sz w:val="20"/>
                <w:szCs w:val="20"/>
                <w:color w:val="auto"/>
              </w:rPr>
            </w:pPr>
            <w:r>
              <w:rPr>
                <w:rFonts w:ascii="Arial" w:cs="Arial" w:eastAsia="Arial" w:hAnsi="Arial"/>
                <w:sz w:val="18"/>
                <w:szCs w:val="18"/>
                <w:color w:val="auto"/>
              </w:rPr>
              <w:t>552</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Percent change from prior year</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840" w:type="dxa"/>
            <w:vAlign w:val="bottom"/>
            <w:tcBorders>
              <w:right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864"/>
        </w:trPr>
        <w:tc>
          <w:tcPr>
            <w:tcW w:w="9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60" w:type="dxa"/>
            <w:vAlign w:val="bottom"/>
          </w:tcPr>
          <w:p>
            <w:pPr>
              <w:jc w:val="right"/>
              <w:ind w:right="1570"/>
              <w:spacing w:after="0"/>
              <w:rPr>
                <w:sz w:val="20"/>
                <w:szCs w:val="20"/>
                <w:color w:val="auto"/>
              </w:rPr>
            </w:pPr>
            <w:r>
              <w:rPr>
                <w:rFonts w:ascii="Arial" w:cs="Arial" w:eastAsia="Arial" w:hAnsi="Arial"/>
                <w:sz w:val="18"/>
                <w:szCs w:val="18"/>
                <w:color w:val="auto"/>
              </w:rPr>
              <w:t>70</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72" w:name="page73"/>
    <w:bookmarkEnd w:id="7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General and administrative expenses were $24.3 million for the year ended December 31, 2019, an increase of</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$0.6 million, or 2%, compared to $23.7 million for the year ended December 31, 2018. The increase was primarily due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 increase in personnel costs, stock-based compensation expense, audit expenses and recruiting expenses, partially offset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a decrease in other professional services.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Interest expense was $5.7 million for the year ended December 31, 2019, an increase of $2.2 million, or 62%, compared to $3.5 million for the year ended December 31, 2018. The increase in interest expense in 2019 compared to 2018 was because the interest expense during 2018 represents only part of the year related to the loan agreement entered in May 2018, as compared with a full year of interest expense in 2019.</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40" w:right="139" w:firstLine="648"/>
        <w:spacing w:after="0" w:line="259" w:lineRule="auto"/>
        <w:rPr>
          <w:sz w:val="20"/>
          <w:szCs w:val="20"/>
          <w:color w:val="auto"/>
        </w:rPr>
      </w:pPr>
      <w:r>
        <w:rPr>
          <w:rFonts w:ascii="Arial" w:cs="Arial" w:eastAsia="Arial" w:hAnsi="Arial"/>
          <w:sz w:val="18"/>
          <w:szCs w:val="18"/>
          <w:color w:val="auto"/>
        </w:rPr>
        <w:t>Other income, net, was $2.4 million for the year ended December 31, 2019, which represents a decrease of $0.8 million, or 26%, compared to $3.2 million for the year ended December 31, 2018. The decrease was primarily due to a decrease in treasury-related income and a revaluation to higher exit fee revaluation adjustments related to our loan agreement.</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Comparison of the Years Ended December 31, 2018 and 2017</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Year Ended December 31,</w:t>
            </w:r>
          </w:p>
        </w:tc>
      </w:tr>
      <w:tr>
        <w:trPr>
          <w:trHeight w:val="142"/>
        </w:trPr>
        <w:tc>
          <w:tcPr>
            <w:tcW w:w="3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r>
      <w:tr>
        <w:trPr>
          <w:trHeight w:val="142"/>
        </w:trPr>
        <w:tc>
          <w:tcPr>
            <w:tcW w:w="3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jc w:val="right"/>
              <w:ind w:right="33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w:t>
            </w: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2,320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$ 42,000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Other revenue</w:t>
            </w:r>
          </w:p>
        </w:tc>
        <w:tc>
          <w:tcPr>
            <w:tcW w:w="2340" w:type="dxa"/>
            <w:vAlign w:val="bottom"/>
            <w:gridSpan w:val="3"/>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8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Dollar change from prior year</w:t>
            </w:r>
          </w:p>
        </w:tc>
        <w:tc>
          <w:tcPr>
            <w:tcW w:w="2540" w:type="dxa"/>
            <w:vAlign w:val="bottom"/>
            <w:gridSpan w:val="4"/>
          </w:tcPr>
          <w:p>
            <w:pPr>
              <w:jc w:val="right"/>
              <w:ind w:right="200"/>
              <w:spacing w:after="0"/>
              <w:rPr>
                <w:sz w:val="20"/>
                <w:szCs w:val="20"/>
                <w:color w:val="auto"/>
              </w:rPr>
            </w:pPr>
            <w:r>
              <w:rPr>
                <w:rFonts w:ascii="Arial" w:cs="Arial" w:eastAsia="Arial" w:hAnsi="Arial"/>
                <w:sz w:val="18"/>
                <w:szCs w:val="18"/>
                <w:color w:val="auto"/>
              </w:rPr>
              <w:t>(39,393)</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Percent change from prior year</w:t>
            </w:r>
          </w:p>
        </w:tc>
        <w:tc>
          <w:tcPr>
            <w:tcW w:w="2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Total revenues were $2.6 million for the year ended December 31, 2018, a decrease of $39.4 million, or 94%, compared to $42.0 million for the year ended December 31, 2017. Total revenues of $2.6 million in the year ended December 31, 2018 included $2.3 million of licensing revenue related to the upfront payment from Knight and $0.3 million of other revenue related to the manufacturing supply of tenapanor and other materials to KKC, for its product development and clinical trials in Japan, in accordance with our license agreement with KKC. Total revenue of $42.0 million in the year ended December 31, 2017 was comprised of licensing revenue related to upfront payments in accordance with our KKC and Fosun Pharma license agreements.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0"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4025900</wp:posOffset>
            </wp:positionH>
            <wp:positionV relativeFrom="paragraph">
              <wp:posOffset>6350</wp:posOffset>
            </wp:positionV>
            <wp:extent cx="10972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6560"/>
        <w:spacing w:after="0"/>
        <w:tabs>
          <w:tab w:leader="none" w:pos="75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4025900</wp:posOffset>
            </wp:positionH>
            <wp:positionV relativeFrom="paragraph">
              <wp:posOffset>-3175</wp:posOffset>
            </wp:positionV>
            <wp:extent cx="10972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676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466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8,400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Dollar change from prior year</w:t>
            </w:r>
          </w:p>
        </w:tc>
        <w:tc>
          <w:tcPr>
            <w:tcW w:w="174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w w:val="98"/>
              </w:rPr>
              <w:t>(7,934)</w:t>
            </w:r>
          </w:p>
        </w:tc>
        <w:tc>
          <w:tcPr>
            <w:tcW w:w="7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Percent change from prior year</w:t>
            </w:r>
          </w:p>
        </w:tc>
        <w:tc>
          <w:tcPr>
            <w:tcW w:w="17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7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Cost of revenue was $0.5 million for the year ended December 31, 2018, a decrease of $7.9 million, or 94%, compared to $8.4 million for the year ended December 31, 2017. The cost of revenue in both periods represented payments due to AstraZeneca under the AstraZeneca Termination Agreement and are related primarily to tenapanor-related up front and milestone payments from our collaboration partners.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3" w:name="page74"/>
    <w:bookmarkEnd w:id="7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0"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6350</wp:posOffset>
            </wp:positionV>
            <wp:extent cx="11055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ind w:left="6560"/>
        <w:spacing w:after="0"/>
        <w:tabs>
          <w:tab w:leader="none" w:pos="75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-3175</wp:posOffset>
            </wp:positionV>
            <wp:extent cx="11055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ind w:left="676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  69,373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$ 75,484</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Dollar change from prior year</w:t>
            </w:r>
          </w:p>
        </w:tc>
        <w:tc>
          <w:tcPr>
            <w:tcW w:w="2520" w:type="dxa"/>
            <w:vAlign w:val="bottom"/>
          </w:tcPr>
          <w:p>
            <w:pPr>
              <w:jc w:val="right"/>
              <w:ind w:right="110"/>
              <w:spacing w:after="0"/>
              <w:rPr>
                <w:sz w:val="20"/>
                <w:szCs w:val="20"/>
                <w:color w:val="auto"/>
              </w:rPr>
            </w:pPr>
            <w:r>
              <w:rPr>
                <w:rFonts w:ascii="Arial" w:cs="Arial" w:eastAsia="Arial" w:hAnsi="Arial"/>
                <w:sz w:val="18"/>
                <w:szCs w:val="18"/>
                <w:color w:val="auto"/>
              </w:rPr>
              <w:t>(6,111)</w:t>
            </w:r>
          </w:p>
        </w:tc>
        <w:tc>
          <w:tcPr>
            <w:tcW w:w="7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Percent change from prior year</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40" w:right="79" w:firstLine="648"/>
        <w:spacing w:after="0" w:line="286" w:lineRule="auto"/>
        <w:rPr>
          <w:sz w:val="20"/>
          <w:szCs w:val="20"/>
          <w:color w:val="auto"/>
        </w:rPr>
      </w:pPr>
      <w:r>
        <w:rPr>
          <w:rFonts w:ascii="Arial" w:cs="Arial" w:eastAsia="Arial" w:hAnsi="Arial"/>
          <w:sz w:val="17"/>
          <w:szCs w:val="17"/>
          <w:color w:val="auto"/>
        </w:rPr>
        <w:t>Research and development expenses were $69.4 million for the year ended December 31, 2018, a decrease of $6.1 million, or 8%, compared to $75.5 million for the year ended December 31, 2017. The decrease consisted of a $1.1 million decrease in our external program costs and a $5.0 million decrease in our internal program costs.</w:t>
      </w:r>
    </w:p>
    <w:p>
      <w:pPr>
        <w:spacing w:after="0" w:line="165" w:lineRule="exact"/>
        <w:rPr>
          <w:sz w:val="20"/>
          <w:szCs w:val="20"/>
          <w:color w:val="auto"/>
        </w:rPr>
      </w:pPr>
    </w:p>
    <w:p>
      <w:pPr>
        <w:ind w:left="40" w:right="139" w:firstLine="648"/>
        <w:spacing w:after="0" w:line="293" w:lineRule="auto"/>
        <w:rPr>
          <w:sz w:val="20"/>
          <w:szCs w:val="20"/>
          <w:color w:val="auto"/>
        </w:rPr>
      </w:pPr>
      <w:r>
        <w:rPr>
          <w:rFonts w:ascii="Arial" w:cs="Arial" w:eastAsia="Arial" w:hAnsi="Arial"/>
          <w:sz w:val="16"/>
          <w:szCs w:val="16"/>
          <w:color w:val="auto"/>
        </w:rPr>
        <w:t>The decrease in our external program costs of $1.1 million included a $11.7 million decrease due to discontinuation of the RDX7675 program and a $1.7 million reduction of activities associated with the RDX8940 program that was partially offset by a $12.3 million increase in expense primarily related to our tenapanor programs. The $12.3 million increase included an increase in expense related to the start of our second tenapanor hyperphosphatemia Phase 3 study that was partially offset by a decrease in expenses for clinical development activities related to the completion of our tenapanor IBS-C Phase 3 clinical program as well as our first tenapanor hyperphosphatemia Phase 3 clinical trial.</w:t>
      </w:r>
    </w:p>
    <w:p>
      <w:pPr>
        <w:spacing w:after="0" w:line="164" w:lineRule="exact"/>
        <w:rPr>
          <w:sz w:val="20"/>
          <w:szCs w:val="20"/>
          <w:color w:val="auto"/>
        </w:rPr>
      </w:pPr>
    </w:p>
    <w:p>
      <w:pPr>
        <w:ind w:left="40" w:right="99" w:firstLine="648"/>
        <w:spacing w:after="0" w:line="263" w:lineRule="auto"/>
        <w:rPr>
          <w:sz w:val="20"/>
          <w:szCs w:val="20"/>
          <w:color w:val="auto"/>
        </w:rPr>
      </w:pPr>
      <w:r>
        <w:rPr>
          <w:rFonts w:ascii="Arial" w:cs="Arial" w:eastAsia="Arial" w:hAnsi="Arial"/>
          <w:sz w:val="18"/>
          <w:szCs w:val="18"/>
          <w:color w:val="auto"/>
        </w:rPr>
        <w:t>The decrease in our internal costs of $5.0 million was primarily due to a decrease in personnel costs, including stock-based compensation costs as a result of a reduction in force during the third quarter of 2017, and a related decrease in research and development activities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38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2017</w:t>
            </w:r>
          </w:p>
        </w:tc>
      </w:tr>
      <w:tr>
        <w:trPr>
          <w:trHeight w:val="128"/>
        </w:trPr>
        <w:tc>
          <w:tcPr>
            <w:tcW w:w="38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740" w:type="dxa"/>
            <w:vAlign w:val="bottom"/>
            <w:gridSpan w:val="4"/>
          </w:tcPr>
          <w:p>
            <w:pPr>
              <w:jc w:val="right"/>
              <w:ind w:right="428"/>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23,715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$ 23,231</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Dollar change from prior year</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Percent change from prior year</w:t>
            </w:r>
          </w:p>
        </w:tc>
        <w:tc>
          <w:tcPr>
            <w:tcW w:w="2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2 %</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0" w:right="239" w:firstLine="648"/>
        <w:spacing w:after="0" w:line="259" w:lineRule="auto"/>
        <w:rPr>
          <w:sz w:val="20"/>
          <w:szCs w:val="20"/>
          <w:color w:val="auto"/>
        </w:rPr>
      </w:pPr>
      <w:r>
        <w:rPr>
          <w:rFonts w:ascii="Arial" w:cs="Arial" w:eastAsia="Arial" w:hAnsi="Arial"/>
          <w:sz w:val="18"/>
          <w:szCs w:val="18"/>
          <w:color w:val="auto"/>
        </w:rPr>
        <w:t>General and administrative expenses were $23.7 million for the year ended December 31, 2018, an increase of $0.5 million, or 2%, compared to $23.2 million for the year ended December 31, 2017. The increase was primarily due to an increase in professional services and stock-based compensation expense, partially offset by a reduction in personnel costs due to reduction in force during the third quarter of 2017.</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40" w:right="99" w:firstLine="648"/>
        <w:spacing w:after="0" w:line="263" w:lineRule="auto"/>
        <w:rPr>
          <w:sz w:val="20"/>
          <w:szCs w:val="20"/>
          <w:color w:val="auto"/>
        </w:rPr>
      </w:pPr>
      <w:r>
        <w:rPr>
          <w:rFonts w:ascii="Arial" w:cs="Arial" w:eastAsia="Arial" w:hAnsi="Arial"/>
          <w:sz w:val="18"/>
          <w:szCs w:val="18"/>
          <w:color w:val="auto"/>
        </w:rPr>
        <w:t>Interest expense was $3.5 million for the year ended December 31, 2018, an increase of $3.5 million, compared to zero for the year ended December 31, 2017. The increase in 2018 represents loan and interest expense related to the loan agreement entered in May 2018.</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40" w:right="99" w:firstLine="648"/>
        <w:spacing w:after="0" w:line="263" w:lineRule="auto"/>
        <w:rPr>
          <w:sz w:val="20"/>
          <w:szCs w:val="20"/>
          <w:color w:val="auto"/>
        </w:rPr>
      </w:pPr>
      <w:r>
        <w:rPr>
          <w:rFonts w:ascii="Arial" w:cs="Arial" w:eastAsia="Arial" w:hAnsi="Arial"/>
          <w:sz w:val="18"/>
          <w:szCs w:val="18"/>
          <w:color w:val="auto"/>
        </w:rPr>
        <w:t>Other income, net was $3.2 million for the year ended December 31, 2018, an increase of $1.2 million, or 63%, compared to $2.0 million for the year ended December 31, 2017. The increase was primarily due to an increase in treasury-related income, partially offset by currency exchange loss.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4" w:name="page75"/>
    <w:bookmarkEnd w:id="7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3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142"/>
        </w:trPr>
        <w:tc>
          <w:tcPr>
            <w:tcW w:w="3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4"/>
          </w:tcPr>
          <w:p>
            <w:pPr>
              <w:jc w:val="right"/>
              <w:ind w:right="455"/>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181,133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78,768</w:t>
            </w:r>
          </w:p>
        </w:tc>
        <w:tc>
          <w:tcPr>
            <w:tcW w:w="40" w:type="dxa"/>
            <w:vAlign w:val="bottom"/>
            <w:shd w:val="clear" w:color="auto" w:fill="CCEEFF"/>
          </w:tcPr>
          <w:p>
            <w:pPr>
              <w:spacing w:after="0"/>
              <w:rPr>
                <w:sz w:val="18"/>
                <w:szCs w:val="18"/>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Short-term investments</w:t>
            </w:r>
          </w:p>
        </w:tc>
        <w:tc>
          <w:tcPr>
            <w:tcW w:w="16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66,379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89,321</w:t>
            </w:r>
          </w:p>
        </w:tc>
        <w:tc>
          <w:tcPr>
            <w:tcW w:w="40" w:type="dxa"/>
            <w:vAlign w:val="bottom"/>
            <w:tcBorders>
              <w:bottom w:val="single" w:sz="8" w:color="CCEEFF"/>
            </w:tcBorders>
          </w:tcPr>
          <w:p>
            <w:pPr>
              <w:spacing w:after="0"/>
              <w:rPr>
                <w:sz w:val="18"/>
                <w:szCs w:val="18"/>
                <w:color w:val="auto"/>
              </w:rPr>
            </w:pPr>
          </w:p>
        </w:tc>
      </w:tr>
      <w:tr>
        <w:trPr>
          <w:trHeight w:val="217"/>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liquid funds</w:t>
            </w:r>
          </w:p>
        </w:tc>
        <w:tc>
          <w:tcPr>
            <w:tcW w:w="1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247,512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168,089</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40" w:right="519" w:firstLine="648"/>
        <w:spacing w:after="0" w:line="277" w:lineRule="auto"/>
        <w:rPr>
          <w:sz w:val="20"/>
          <w:szCs w:val="20"/>
          <w:color w:val="auto"/>
        </w:rPr>
      </w:pPr>
      <w:r>
        <w:rPr>
          <w:rFonts w:ascii="Arial" w:cs="Arial" w:eastAsia="Arial" w:hAnsi="Arial"/>
          <w:sz w:val="18"/>
          <w:szCs w:val="18"/>
          <w:color w:val="auto"/>
        </w:rPr>
        <w:t>As of December 31, 2019, we had cash, cash equivalents and short-term investments totaling $247.5 million compared to $168.1 million as of December 31, 2018.</w:t>
      </w:r>
    </w:p>
    <w:p>
      <w:pPr>
        <w:spacing w:after="0" w:line="170"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7"/>
          <w:szCs w:val="17"/>
          <w:color w:val="auto"/>
        </w:rPr>
        <w:t>On December 9, 2019, we completed an underwritten public offering of 20,000,000 shares of common stock at a price of $6.25 per share before underwriting discounts and commissions, or the 2019 Offering. In connection with the 2019 Offering, we entered into an underwriting agreement, or the 2019 Underwriting Agreement, with Citigroup Global Markets Inc., Cowen and Company LLC, SVB Leerink LLC and Piper Jaffray &amp; Co., or collectively the 2019 Underwriters, pursuant to which we granted to the 2019 Underwriters a 30-day option to purchase up to an additional 3,000,000 shares of our common stock, or the 2019 Overallotment. We completed the sale of 23,000,000 shares, inclusive of the 2019 Overallotment, to the 2019 Underwriters and that sale resulted in our receipt of aggregate gross proceeds of approximately $143.8 million, less underwriting discounts, commissions and offering expenses totaling approximately $8.9 million, which resulted in net proceeds of approximately $134.9 million.</w:t>
      </w:r>
    </w:p>
    <w:p>
      <w:pPr>
        <w:spacing w:after="0" w:line="181" w:lineRule="exact"/>
        <w:rPr>
          <w:sz w:val="20"/>
          <w:szCs w:val="20"/>
          <w:color w:val="auto"/>
        </w:rPr>
      </w:pPr>
    </w:p>
    <w:p>
      <w:pPr>
        <w:ind w:left="40" w:right="479" w:firstLine="648"/>
        <w:spacing w:after="0" w:line="286" w:lineRule="auto"/>
        <w:rPr>
          <w:sz w:val="20"/>
          <w:szCs w:val="20"/>
          <w:color w:val="auto"/>
        </w:rPr>
      </w:pPr>
      <w:r>
        <w:rPr>
          <w:rFonts w:ascii="Arial" w:cs="Arial" w:eastAsia="Arial" w:hAnsi="Arial"/>
          <w:sz w:val="17"/>
          <w:szCs w:val="17"/>
          <w:color w:val="auto"/>
        </w:rPr>
        <w:t>On November 22, 2019, we and KKC entered into a stock purchase agreement, pursuant to which we sold an aggregate of 2,873,563 shares of our common stock at $6.96 per share for aggregate net proceeds of approximately $20.0 million, or the Private Placement. The Private Placement closed on November 25, 2019.</w:t>
      </w:r>
    </w:p>
    <w:p>
      <w:pPr>
        <w:spacing w:after="0" w:line="165" w:lineRule="exact"/>
        <w:rPr>
          <w:sz w:val="20"/>
          <w:szCs w:val="20"/>
          <w:color w:val="auto"/>
        </w:rPr>
      </w:pPr>
    </w:p>
    <w:p>
      <w:pPr>
        <w:ind w:left="40" w:right="79" w:firstLine="648"/>
        <w:spacing w:after="0" w:line="275" w:lineRule="auto"/>
        <w:rPr>
          <w:sz w:val="20"/>
          <w:szCs w:val="20"/>
          <w:color w:val="auto"/>
        </w:rPr>
      </w:pPr>
      <w:r>
        <w:rPr>
          <w:rFonts w:ascii="Arial" w:cs="Arial" w:eastAsia="Arial" w:hAnsi="Arial"/>
          <w:sz w:val="17"/>
          <w:szCs w:val="17"/>
          <w:color w:val="auto"/>
        </w:rPr>
        <w:t>On August 9, 2018, we filed a prospectus supplement with the SEC pursuant to our previously filed shelf registration statement on Form S-3 (File No. 333-217441). The prospectus covers the offering, issuance and sale of up to $50.0 million of shares of common stock from time to time in “at the market” offerings pursuant to a Sales Agreement entered into with SVB Leerink (formerly known as Leerink Partners LLC), or Leerink, on August 9, 2018. As of December 31, 2019, no shares have been offered or issued or sold against the Sales Agreement with Leerink.</w:t>
      </w:r>
    </w:p>
    <w:p>
      <w:pPr>
        <w:spacing w:after="0" w:line="17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On May 25, 2018, we completed an underwritten public offering of 12,500,000 shares of common stock at a price of $4.00 per share before underwriting discounts and commissions, or the 2018 Offering. In connection with the 2018 Offering, we entered into an underwriting agreement, or the 2018 Underwriting Agreement, with Jefferies LLC and SVB Leerink (formerly known as Leerink Partners LLC), or together the 2018 Underwriters, pursuant to which we granted to the 2018 Underwriters a 30-day option to purchase up to an additional 1,875,000 shares of our common stock, or the 2018 Overallotment. We completed the sale of 14,375,000 shares, inclusive of the 2018 Overallotment, to the 2018 Underwriters, and that sale resulted in our receipt of aggregate gross proceeds of approximately $57.5 million, less underwriting discounts, commissions and offering expenses totaling approximately $3.7 million, which resulted in net proceeds of approximately $53.8 million.</w:t>
      </w:r>
    </w:p>
    <w:p>
      <w:pPr>
        <w:spacing w:after="0" w:line="181" w:lineRule="exact"/>
        <w:rPr>
          <w:sz w:val="20"/>
          <w:szCs w:val="20"/>
          <w:color w:val="auto"/>
        </w:rPr>
      </w:pPr>
    </w:p>
    <w:p>
      <w:pPr>
        <w:ind w:left="40" w:right="159" w:firstLine="648"/>
        <w:spacing w:after="0" w:line="279" w:lineRule="auto"/>
        <w:rPr>
          <w:sz w:val="20"/>
          <w:szCs w:val="20"/>
          <w:color w:val="auto"/>
        </w:rPr>
      </w:pPr>
      <w:r>
        <w:rPr>
          <w:rFonts w:ascii="Arial" w:cs="Arial" w:eastAsia="Arial" w:hAnsi="Arial"/>
          <w:sz w:val="17"/>
          <w:szCs w:val="17"/>
          <w:color w:val="auto"/>
        </w:rPr>
        <w:t>On May 16, 2018, we entered into a loan and security agreement, or the Loan Agreement, with Solar Capital Ltd. and Western Alliance Bank. The Loan Agreement provides for a $50.0 million term loan facility with a maturity date of November 1, 2022. The full amount of the loan was funded on May 16, 2018. We received net proceeds from the loan of $49.3 million, after deducting the closing fee, legal expenses and issuance cost.</w:t>
      </w:r>
    </w:p>
    <w:p>
      <w:pPr>
        <w:spacing w:after="0" w:line="171" w:lineRule="exact"/>
        <w:rPr>
          <w:sz w:val="20"/>
          <w:szCs w:val="20"/>
          <w:color w:val="auto"/>
        </w:rPr>
      </w:pPr>
    </w:p>
    <w:p>
      <w:pPr>
        <w:ind w:left="40" w:right="199" w:firstLine="648"/>
        <w:spacing w:after="0" w:line="257" w:lineRule="auto"/>
        <w:rPr>
          <w:sz w:val="20"/>
          <w:szCs w:val="20"/>
          <w:color w:val="auto"/>
        </w:rPr>
      </w:pPr>
      <w:r>
        <w:rPr>
          <w:rFonts w:ascii="Arial" w:cs="Arial" w:eastAsia="Arial" w:hAnsi="Arial"/>
          <w:sz w:val="18"/>
          <w:szCs w:val="18"/>
          <w:color w:val="auto"/>
        </w:rPr>
        <w:t>Our primary sources of cash have been from the sale and issuance of common stock, public offerings, private placement and convertible preferred stock, funds from our collaboration partnerships, and funds from our loan agreement. Our primary uses of cash are to fund operating expenses, primarily research and development expenditures. Cash used to fund operating expenses is impacted by the timing of when we pay these expenses, as reflected in the change in our outstanding accounts payable and accrued expenses.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5" w:name="page76"/>
    <w:bookmarkEnd w:id="7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648"/>
        <w:spacing w:after="0" w:line="287" w:lineRule="auto"/>
        <w:rPr>
          <w:sz w:val="20"/>
          <w:szCs w:val="20"/>
          <w:color w:val="auto"/>
        </w:rPr>
      </w:pPr>
      <w:r>
        <w:rPr>
          <w:rFonts w:ascii="Arial" w:cs="Arial" w:eastAsia="Arial" w:hAnsi="Arial"/>
          <w:sz w:val="16"/>
          <w:szCs w:val="16"/>
          <w:color w:val="auto"/>
        </w:rPr>
        <w:t>We believe that our existing capital resources as of December 31, 2019 will enable us to fund our operating expenses and capital expenditure requirements for at least the next 12 months following our financial statement issuance date. We have based this estimate on assumptions that may prove to be wrong, and we could utilize our available capital resources sooner than we currently expect. In particular, our operating plan can change, and we may require significant additional capital to fund our operations, including to support the development, commercialization and manufacturing efforts for tenapanor. We may seek to obtain such additional capital through debt financings, credit facilities, additional equity offerings and/or strategic collaborations. We currently have no unutilized credit facility or committed sources of capital, and there can be no assurances that such sources of capital will be available to us when needed or on acceptable terms. There are numerous risks and uncertainties associated with research, development and commercialization initiatives, and actual results could vary materially as a result of a number of factors, many of which are outside of our control. Our future capital requirements are difficult to forecast and will depend on many factors, including:</w:t>
      </w:r>
    </w:p>
    <w:p>
      <w:pPr>
        <w:spacing w:after="0" w:line="172" w:lineRule="exact"/>
        <w:rPr>
          <w:sz w:val="20"/>
          <w:szCs w:val="20"/>
          <w:color w:val="auto"/>
        </w:rPr>
      </w:pPr>
    </w:p>
    <w:p>
      <w:pPr>
        <w:ind w:left="700" w:right="79" w:hanging="332"/>
        <w:spacing w:after="0" w:line="277" w:lineRule="auto"/>
        <w:tabs>
          <w:tab w:leader="none" w:pos="70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preparation and submission of an NDA with the FDA to request marketing authorization for tenapanor for the control of serum phosphorus in CKD patients on dialysis;</w:t>
      </w:r>
    </w:p>
    <w:p>
      <w:pPr>
        <w:spacing w:after="0" w:line="170" w:lineRule="exact"/>
        <w:rPr>
          <w:rFonts w:ascii="Arial" w:cs="Arial" w:eastAsia="Arial" w:hAnsi="Arial"/>
          <w:sz w:val="18"/>
          <w:szCs w:val="18"/>
          <w:color w:val="231F20"/>
        </w:rPr>
      </w:pPr>
    </w:p>
    <w:p>
      <w:pPr>
        <w:ind w:left="700" w:right="79" w:hanging="332"/>
        <w:spacing w:after="0" w:line="277" w:lineRule="auto"/>
        <w:tabs>
          <w:tab w:leader="none" w:pos="70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in IBS-C in the United States;</w:t>
      </w:r>
    </w:p>
    <w:p>
      <w:pPr>
        <w:spacing w:after="0" w:line="170" w:lineRule="exact"/>
        <w:rPr>
          <w:rFonts w:ascii="Arial" w:cs="Arial" w:eastAsia="Arial" w:hAnsi="Arial"/>
          <w:sz w:val="18"/>
          <w:szCs w:val="18"/>
          <w:color w:val="231F20"/>
        </w:rPr>
      </w:pPr>
    </w:p>
    <w:p>
      <w:pPr>
        <w:ind w:left="700" w:right="79" w:hanging="332"/>
        <w:spacing w:after="0" w:line="277" w:lineRule="auto"/>
        <w:tabs>
          <w:tab w:leader="none" w:pos="70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for the control of serum phosphorus in CKD patients on dialysis, if approved, either alone or with one or more collaboration partners;</w:t>
      </w:r>
    </w:p>
    <w:p>
      <w:pPr>
        <w:spacing w:after="0" w:line="170" w:lineRule="exact"/>
        <w:rPr>
          <w:rFonts w:ascii="Arial" w:cs="Arial" w:eastAsia="Arial" w:hAnsi="Arial"/>
          <w:sz w:val="18"/>
          <w:szCs w:val="18"/>
          <w:color w:val="231F20"/>
        </w:rPr>
      </w:pPr>
    </w:p>
    <w:p>
      <w:pPr>
        <w:ind w:left="700" w:right="59" w:hanging="332"/>
        <w:spacing w:after="0" w:line="277" w:lineRule="auto"/>
        <w:tabs>
          <w:tab w:leader="none" w:pos="70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70" w:lineRule="exact"/>
        <w:rPr>
          <w:rFonts w:ascii="Arial" w:cs="Arial" w:eastAsia="Arial" w:hAnsi="Arial"/>
          <w:sz w:val="18"/>
          <w:szCs w:val="18"/>
          <w:color w:val="231F20"/>
        </w:rPr>
      </w:pPr>
    </w:p>
    <w:p>
      <w:pPr>
        <w:ind w:left="700" w:right="59" w:hanging="332"/>
        <w:spacing w:after="0" w:line="277" w:lineRule="auto"/>
        <w:tabs>
          <w:tab w:leader="none" w:pos="70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selling and marketing costs associated with tenapanor, including the cost and timing of building our sales and marketing capabilities;</w:t>
      </w:r>
    </w:p>
    <w:p>
      <w:pPr>
        <w:spacing w:after="0" w:line="170" w:lineRule="exact"/>
        <w:rPr>
          <w:rFonts w:ascii="Arial" w:cs="Arial" w:eastAsia="Arial" w:hAnsi="Arial"/>
          <w:sz w:val="18"/>
          <w:szCs w:val="18"/>
          <w:color w:val="231F20"/>
        </w:rPr>
      </w:pPr>
    </w:p>
    <w:p>
      <w:pPr>
        <w:jc w:val="both"/>
        <w:ind w:left="700" w:right="79" w:hanging="332"/>
        <w:spacing w:after="0" w:line="263" w:lineRule="auto"/>
        <w:tabs>
          <w:tab w:leader="none" w:pos="70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83" w:lineRule="exact"/>
        <w:rPr>
          <w:rFonts w:ascii="Arial" w:cs="Arial" w:eastAsia="Arial" w:hAnsi="Arial"/>
          <w:sz w:val="18"/>
          <w:szCs w:val="18"/>
          <w:color w:val="231F20"/>
        </w:rPr>
      </w:pPr>
    </w:p>
    <w:p>
      <w:pPr>
        <w:ind w:left="700" w:hanging="332"/>
        <w:spacing w:after="0"/>
        <w:tabs>
          <w:tab w:leader="none" w:pos="70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timing, receipt, and amount of sales of, or royalties on, tenapanor, if any;</w:t>
      </w:r>
    </w:p>
    <w:p>
      <w:pPr>
        <w:spacing w:after="0" w:line="225" w:lineRule="exact"/>
        <w:rPr>
          <w:rFonts w:ascii="Arial" w:cs="Arial" w:eastAsia="Arial" w:hAnsi="Arial"/>
          <w:sz w:val="18"/>
          <w:szCs w:val="18"/>
          <w:color w:val="231F20"/>
        </w:rPr>
      </w:pPr>
    </w:p>
    <w:p>
      <w:pPr>
        <w:ind w:left="700" w:hanging="332"/>
        <w:spacing w:after="0"/>
        <w:tabs>
          <w:tab w:leader="none" w:pos="70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sales price and the availability of adequate third-party reimbursement for tenapanor, if approved;</w:t>
      </w:r>
    </w:p>
    <w:p>
      <w:pPr>
        <w:spacing w:after="0" w:line="225" w:lineRule="exact"/>
        <w:rPr>
          <w:rFonts w:ascii="Arial" w:cs="Arial" w:eastAsia="Arial" w:hAnsi="Arial"/>
          <w:sz w:val="18"/>
          <w:szCs w:val="18"/>
          <w:color w:val="231F20"/>
        </w:rPr>
      </w:pPr>
    </w:p>
    <w:p>
      <w:pPr>
        <w:ind w:left="700" w:hanging="332"/>
        <w:spacing w:after="0"/>
        <w:tabs>
          <w:tab w:leader="none" w:pos="70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cash requirements of any future acquisitions or discovery of product candidates;</w:t>
      </w:r>
    </w:p>
    <w:p>
      <w:pPr>
        <w:spacing w:after="0" w:line="225" w:lineRule="exact"/>
        <w:rPr>
          <w:rFonts w:ascii="Arial" w:cs="Arial" w:eastAsia="Arial" w:hAnsi="Arial"/>
          <w:sz w:val="18"/>
          <w:szCs w:val="18"/>
          <w:color w:val="231F20"/>
        </w:rPr>
      </w:pPr>
    </w:p>
    <w:p>
      <w:pPr>
        <w:ind w:left="700" w:right="79" w:hanging="332"/>
        <w:spacing w:after="0" w:line="277" w:lineRule="auto"/>
        <w:tabs>
          <w:tab w:leader="none" w:pos="70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 including RDX013;</w:t>
      </w:r>
    </w:p>
    <w:p>
      <w:pPr>
        <w:spacing w:after="0" w:line="170" w:lineRule="exact"/>
        <w:rPr>
          <w:rFonts w:ascii="Arial" w:cs="Arial" w:eastAsia="Arial" w:hAnsi="Arial"/>
          <w:sz w:val="18"/>
          <w:szCs w:val="18"/>
          <w:color w:val="231F20"/>
        </w:rPr>
      </w:pPr>
    </w:p>
    <w:p>
      <w:pPr>
        <w:ind w:left="700" w:hanging="332"/>
        <w:spacing w:after="0"/>
        <w:tabs>
          <w:tab w:leader="none" w:pos="70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time and cost necessary to respond to technological and market developments;</w:t>
      </w:r>
    </w:p>
    <w:p>
      <w:pPr>
        <w:spacing w:after="0" w:line="225" w:lineRule="exact"/>
        <w:rPr>
          <w:rFonts w:ascii="Arial" w:cs="Arial" w:eastAsia="Arial" w:hAnsi="Arial"/>
          <w:sz w:val="18"/>
          <w:szCs w:val="18"/>
          <w:color w:val="231F20"/>
        </w:rPr>
      </w:pPr>
    </w:p>
    <w:p>
      <w:pPr>
        <w:jc w:val="both"/>
        <w:ind w:left="700" w:right="59" w:hanging="332"/>
        <w:spacing w:after="0" w:line="259" w:lineRule="auto"/>
        <w:tabs>
          <w:tab w:leader="none" w:pos="70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86" w:lineRule="exact"/>
        <w:rPr>
          <w:rFonts w:ascii="Arial" w:cs="Arial" w:eastAsia="Arial" w:hAnsi="Arial"/>
          <w:sz w:val="18"/>
          <w:szCs w:val="18"/>
          <w:color w:val="231F20"/>
        </w:rPr>
      </w:pPr>
    </w:p>
    <w:p>
      <w:pPr>
        <w:ind w:left="700" w:right="359" w:hanging="332"/>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payment of interest and principal related to our loan and security agreement entered into with Solar Capital and Western Alliance Bank during May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6" w:name="page77"/>
    <w:bookmarkEnd w:id="7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jc w:val="center"/>
              <w:ind w:right="54"/>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3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r>
      <w:tr>
        <w:trPr>
          <w:trHeight w:val="142"/>
        </w:trPr>
        <w:tc>
          <w:tcPr>
            <w:tcW w:w="3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(76,484)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(70,274)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(65,190)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(29,894)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65,290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155,476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103,553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6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102,365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left="40" w:right="99" w:firstLine="648"/>
        <w:spacing w:after="0" w:line="263" w:lineRule="auto"/>
        <w:rPr>
          <w:sz w:val="20"/>
          <w:szCs w:val="20"/>
          <w:color w:val="auto"/>
        </w:rPr>
      </w:pPr>
      <w:r>
        <w:rPr>
          <w:rFonts w:ascii="Arial" w:cs="Arial" w:eastAsia="Arial" w:hAnsi="Arial"/>
          <w:sz w:val="18"/>
          <w:szCs w:val="18"/>
          <w:color w:val="auto"/>
        </w:rPr>
        <w:t>Net cash used in operating activities during the year ended December 31, 2019, was $76.5 million, as compared to $70.3 million of net cash used in operating activities during the year ended December 31, 2018. The $6.2 million increase in net cash used in operating activities is attributable to:</w:t>
      </w:r>
    </w:p>
    <w:p>
      <w:pPr>
        <w:spacing w:after="0" w:line="184" w:lineRule="exact"/>
        <w:rPr>
          <w:sz w:val="20"/>
          <w:szCs w:val="20"/>
          <w:color w:val="auto"/>
        </w:rPr>
      </w:pPr>
    </w:p>
    <w:p>
      <w:pPr>
        <w:ind w:left="700" w:right="139" w:hanging="332"/>
        <w:spacing w:after="0" w:line="271" w:lineRule="auto"/>
        <w:tabs>
          <w:tab w:leader="none" w:pos="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$0.4 million decrease in cash received from collaboration partners during the year ended December 31, 2019 as compared to payments received during the year ended December 31, 2018. Specifically, we received a total of $14.1 million from collaboration partners during 2019, which was comprised of a $5.0 million upfront payment received in connection with the 2019 KKC Agreement, a $0.7 million upfront payment received in connection with the XuanZhu Agreement, a $5.0 million milestone payment received from KKC in connection with the 2017 KKC Agreement, a $3.0 million milestone payment received in connection with the Fosun Agreement and $0.4 million of manufacturing supply service revenue, as compared to a total of $14.5 million in cash payments received from collaboration partners during 2018;</w:t>
      </w:r>
    </w:p>
    <w:p>
      <w:pPr>
        <w:spacing w:after="0" w:line="178" w:lineRule="exact"/>
        <w:rPr>
          <w:rFonts w:ascii="Arial" w:cs="Arial" w:eastAsia="Arial" w:hAnsi="Arial"/>
          <w:sz w:val="17"/>
          <w:szCs w:val="17"/>
          <w:color w:val="auto"/>
        </w:rPr>
      </w:pPr>
    </w:p>
    <w:p>
      <w:pPr>
        <w:ind w:left="700" w:right="399" w:hanging="332"/>
        <w:spacing w:after="0" w:line="277"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$1.9 million decrease in payments made to AstraZeneca during 2019 in connection with the AZ Termination Agreement, as compared to payments made in 2018;</w:t>
      </w:r>
    </w:p>
    <w:p>
      <w:pPr>
        <w:spacing w:after="0" w:line="170" w:lineRule="exact"/>
        <w:rPr>
          <w:rFonts w:ascii="Arial" w:cs="Arial" w:eastAsia="Arial" w:hAnsi="Arial"/>
          <w:sz w:val="18"/>
          <w:szCs w:val="18"/>
          <w:color w:val="auto"/>
        </w:rPr>
      </w:pPr>
    </w:p>
    <w:p>
      <w:pPr>
        <w:ind w:left="700" w:right="699" w:hanging="332"/>
        <w:spacing w:after="0" w:line="277"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$0.4 million increase in cash R&amp;D expenses (excluding working capital-related fluctuations) in 2019, as compared to 2018;</w:t>
      </w:r>
    </w:p>
    <w:p>
      <w:pPr>
        <w:spacing w:after="0" w:line="170" w:lineRule="exact"/>
        <w:rPr>
          <w:rFonts w:ascii="Arial" w:cs="Arial" w:eastAsia="Arial" w:hAnsi="Arial"/>
          <w:sz w:val="18"/>
          <w:szCs w:val="18"/>
          <w:color w:val="auto"/>
        </w:rPr>
      </w:pPr>
    </w:p>
    <w:p>
      <w:pPr>
        <w:ind w:left="700" w:right="659" w:hanging="332"/>
        <w:spacing w:after="0" w:line="277"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$0.4 million decrease in cash G&amp;A expenses (excluding working capital-related fluctuations) in 2019, as compared to 2018;</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$2.1 million increase in net cash interest payments in 2019, as compared to 2018;</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$0.9 million decrease in cash paid for income taxes in 2019, as compared to 2018; and</w:t>
      </w:r>
    </w:p>
    <w:p>
      <w:pPr>
        <w:spacing w:after="0" w:line="225" w:lineRule="exact"/>
        <w:rPr>
          <w:rFonts w:ascii="Arial" w:cs="Arial" w:eastAsia="Arial" w:hAnsi="Arial"/>
          <w:sz w:val="18"/>
          <w:szCs w:val="18"/>
          <w:color w:val="auto"/>
        </w:rPr>
      </w:pPr>
    </w:p>
    <w:p>
      <w:pPr>
        <w:ind w:left="700" w:right="159" w:hanging="332"/>
        <w:spacing w:after="0" w:line="255"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$6.5 million net increase in cash used related to fluctuations in components of our non-revenue-related working capital in 2019, as compared to 2018, which was comprised of a $7.8 million decrease, a $1.9 million decrease and a $0.4 million decrease in cash provided by fluctuations in our non-payroll-related accruals and other current liabilities, lease liability and prepaid expenses and other current assets, respectively, partially offset by a $2.2 million increase and a $1.4 million increase of cash provided by fluctuations in our accrued compensation and benefits and accounts payable.</w:t>
      </w:r>
    </w:p>
    <w:p>
      <w:pPr>
        <w:spacing w:after="0" w:line="192" w:lineRule="exact"/>
        <w:rPr>
          <w:sz w:val="20"/>
          <w:szCs w:val="20"/>
          <w:color w:val="auto"/>
        </w:rPr>
      </w:pPr>
    </w:p>
    <w:p>
      <w:pPr>
        <w:ind w:left="40" w:right="99" w:firstLine="648"/>
        <w:spacing w:after="0" w:line="263" w:lineRule="auto"/>
        <w:rPr>
          <w:sz w:val="20"/>
          <w:szCs w:val="20"/>
          <w:color w:val="auto"/>
        </w:rPr>
      </w:pPr>
      <w:r>
        <w:rPr>
          <w:rFonts w:ascii="Arial" w:cs="Arial" w:eastAsia="Arial" w:hAnsi="Arial"/>
          <w:sz w:val="18"/>
          <w:szCs w:val="18"/>
          <w:color w:val="auto"/>
        </w:rPr>
        <w:t>Net cash used in operating activities during the year ended December 31, 2018, was $70.3 million, as compared to $65.2 million of net cash used in operating activities during the year ended December 31, 2017. The $5.1 million increase in net cash used in operating activities is predominantly attributable to:</w:t>
      </w:r>
    </w:p>
    <w:p>
      <w:pPr>
        <w:spacing w:after="0" w:line="184" w:lineRule="exact"/>
        <w:rPr>
          <w:sz w:val="20"/>
          <w:szCs w:val="20"/>
          <w:color w:val="auto"/>
        </w:rPr>
      </w:pPr>
    </w:p>
    <w:p>
      <w:pPr>
        <w:ind w:left="780" w:right="119" w:hanging="331"/>
        <w:spacing w:after="0" w:line="279" w:lineRule="auto"/>
        <w:tabs>
          <w:tab w:leader="none" w:pos="7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$15.5 million decrease in cash received from collaboration partners during the year ended December 31, 2018 as compared to payments received during the year ended December 31, 2017. Specifically, we received a total of $14.5 million from collaboration partners during 2018, which was comprised of a $12.0 million upfront payment received in connection with the Fosun Agreement, a $2.3 million upfront payment 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7" w:name="page78"/>
    <w:bookmarkEnd w:id="7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60" w:right="119"/>
        <w:spacing w:after="0" w:line="308" w:lineRule="auto"/>
        <w:rPr>
          <w:sz w:val="20"/>
          <w:szCs w:val="20"/>
          <w:color w:val="auto"/>
        </w:rPr>
      </w:pPr>
      <w:r>
        <w:rPr>
          <w:rFonts w:ascii="Arial" w:cs="Arial" w:eastAsia="Arial" w:hAnsi="Arial"/>
          <w:sz w:val="17"/>
          <w:szCs w:val="17"/>
          <w:color w:val="auto"/>
        </w:rPr>
        <w:t>connection with the Knight Agreement and a $0.2 million of manufacturing supply service revenue, as compared to a total of $30.0 million in cash payments received from collaboration partners during 2017;</w:t>
      </w:r>
    </w:p>
    <w:p>
      <w:pPr>
        <w:spacing w:after="0" w:line="146" w:lineRule="exact"/>
        <w:rPr>
          <w:sz w:val="20"/>
          <w:szCs w:val="20"/>
          <w:color w:val="auto"/>
        </w:rPr>
      </w:pPr>
    </w:p>
    <w:p>
      <w:pPr>
        <w:ind w:left="780" w:right="299" w:hanging="331"/>
        <w:spacing w:after="0" w:line="277"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$3.1 million decrease in payments made to AstraZeneca during 2018 in connection with the AZ Termination Agreement, as compared to payments made in 2017;</w:t>
      </w:r>
    </w:p>
    <w:p>
      <w:pPr>
        <w:spacing w:after="0" w:line="170" w:lineRule="exact"/>
        <w:rPr>
          <w:rFonts w:ascii="Arial" w:cs="Arial" w:eastAsia="Arial" w:hAnsi="Arial"/>
          <w:sz w:val="18"/>
          <w:szCs w:val="18"/>
          <w:color w:val="auto"/>
        </w:rPr>
      </w:pPr>
    </w:p>
    <w:p>
      <w:pPr>
        <w:ind w:left="780" w:right="579" w:hanging="331"/>
        <w:spacing w:after="0" w:line="277"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$5.3 million decrease in cash R&amp;D expenses (excluding working capital-related fluctuations) in 2018, as compared to 2017;</w:t>
      </w:r>
    </w:p>
    <w:p>
      <w:pPr>
        <w:spacing w:after="0" w:line="170" w:lineRule="exact"/>
        <w:rPr>
          <w:rFonts w:ascii="Arial" w:cs="Arial" w:eastAsia="Arial" w:hAnsi="Arial"/>
          <w:sz w:val="18"/>
          <w:szCs w:val="18"/>
          <w:color w:val="auto"/>
        </w:rPr>
      </w:pPr>
    </w:p>
    <w:p>
      <w:pPr>
        <w:ind w:left="780" w:hanging="331"/>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$3.2 million increase in net cash interest payments in 2018, as compared to 2017;</w:t>
      </w:r>
    </w:p>
    <w:p>
      <w:pPr>
        <w:spacing w:after="0" w:line="225" w:lineRule="exact"/>
        <w:rPr>
          <w:rFonts w:ascii="Arial" w:cs="Arial" w:eastAsia="Arial" w:hAnsi="Arial"/>
          <w:sz w:val="18"/>
          <w:szCs w:val="18"/>
          <w:color w:val="auto"/>
        </w:rPr>
      </w:pPr>
    </w:p>
    <w:p>
      <w:pPr>
        <w:ind w:left="780" w:hanging="331"/>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$1.1 million increase in cash paid for income taxes in 2018, as compared to 2017; and</w:t>
      </w:r>
    </w:p>
    <w:p>
      <w:pPr>
        <w:spacing w:after="0" w:line="225" w:lineRule="exact"/>
        <w:rPr>
          <w:rFonts w:ascii="Arial" w:cs="Arial" w:eastAsia="Arial" w:hAnsi="Arial"/>
          <w:sz w:val="18"/>
          <w:szCs w:val="18"/>
          <w:color w:val="auto"/>
        </w:rPr>
      </w:pPr>
    </w:p>
    <w:p>
      <w:pPr>
        <w:ind w:left="780" w:right="219" w:hanging="331"/>
        <w:spacing w:after="0" w:line="296"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$6.3 million net decrease in cash used related to fluctuations in components of our non-revenue-related working capital in 2018, as compared to 2017, which was comprised of a $2.7 million increase, a $3.1 million increase and a $1.1 million increase in cash provided by fluctuations in our prepaid expenses and other current assets, accounts payable and our non-payroll-related accruals and other current liabilities, respectively, partially offset by a $0.6 million decrease of cash provided by fluctuations in our accrued compensation and benefits.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Net cash provided by investing activities increased by $53.3 million during the year ended December 31, 2019, as compared to the year ended December 31, 2018. This increase was attributable to a $66.3 million decrease in purchases of short-term available-for-sale investments and a $1.2 million increase in sales and redemptions of investments, partially offset by a decrease in proceeds from the sale of short-term investments of $14.2 million.</w:t>
      </w:r>
    </w:p>
    <w:p>
      <w:pPr>
        <w:spacing w:after="0" w:line="171"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Net cash used in investing activities increased by $95.2 million during the year ended December 31, 2018 as compared to the year ended December 31, 2017. This increase was attributable to an $85.0 million increase in purchases of short-term available-for-sales investments and a decrease of $17.1 million in sales and redemptions of investments, partially offset by a $4.9 million increase in proceeds from the sales of short-term investments and a $2.0 million decrease in the purchases of property and equipment.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Net cash provided by financing activities increased by $51.9 million during the year ended December 31, 2019, as compared to the year ended December 31, 2018. This increase was predominantly attributable to an $81.2 million increase in net proceeds received in connection with underwritten public offering initiatives and a $20.0 million increase in net proceeds received in connection with the Private Placement, partially offset by a net $49.3 million decrease in proceeds received in connection with a long-term loan borrowing.</w:t>
      </w:r>
    </w:p>
    <w:p>
      <w:pPr>
        <w:spacing w:after="0" w:line="188" w:lineRule="exact"/>
        <w:rPr>
          <w:sz w:val="20"/>
          <w:szCs w:val="20"/>
          <w:color w:val="auto"/>
        </w:rPr>
      </w:pPr>
    </w:p>
    <w:p>
      <w:pPr>
        <w:ind w:left="40" w:right="139" w:firstLine="648"/>
        <w:spacing w:after="0" w:line="275" w:lineRule="auto"/>
        <w:rPr>
          <w:sz w:val="20"/>
          <w:szCs w:val="20"/>
          <w:color w:val="auto"/>
        </w:rPr>
      </w:pPr>
      <w:r>
        <w:rPr>
          <w:rFonts w:ascii="Arial" w:cs="Arial" w:eastAsia="Arial" w:hAnsi="Arial"/>
          <w:sz w:val="17"/>
          <w:szCs w:val="17"/>
          <w:color w:val="auto"/>
        </w:rPr>
        <w:t>Net cash provided by financing activities increased by $102.9 million during the year ended December 31, 2018, as compared to the year ended December 31, 2017. This increase was attributable to a $53.8 million increase in net proceeds received in connection with an underwritten equity offering and a $49.3 million increase in net proceeds received in connection with a long-term borrowing, partially offset by a $0.2 million decrease in proceeds received pursuant to the issuance of common stock under stock plans and the exercise of stock options.</w:t>
      </w:r>
    </w:p>
    <w:p>
      <w:pPr>
        <w:spacing w:after="0" w:line="3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0" w:right="379" w:firstLine="648"/>
        <w:spacing w:after="0" w:line="277" w:lineRule="auto"/>
        <w:rPr>
          <w:sz w:val="20"/>
          <w:szCs w:val="20"/>
          <w:color w:val="auto"/>
        </w:rPr>
      </w:pPr>
      <w:r>
        <w:rPr>
          <w:rFonts w:ascii="Arial" w:cs="Arial" w:eastAsia="Arial" w:hAnsi="Arial"/>
          <w:sz w:val="18"/>
          <w:szCs w:val="18"/>
          <w:color w:val="auto"/>
        </w:rPr>
        <w:t>As of December 31, 2019, we did not have any off-balance sheet arrangements as defined in Item 303(a)(4) of Regulation S-K as promulgated by the SEC.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8" w:name="page79"/>
    <w:bookmarkEnd w:id="7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left="40" w:right="179" w:firstLine="648"/>
        <w:spacing w:after="0" w:line="289" w:lineRule="auto"/>
        <w:rPr>
          <w:sz w:val="20"/>
          <w:szCs w:val="20"/>
          <w:color w:val="auto"/>
        </w:rPr>
      </w:pPr>
      <w:r>
        <w:rPr>
          <w:rFonts w:ascii="Arial" w:cs="Arial" w:eastAsia="Arial" w:hAnsi="Arial"/>
          <w:sz w:val="16"/>
          <w:szCs w:val="16"/>
          <w:color w:val="auto"/>
        </w:rPr>
        <w:t>Up to December 31, 2019 we were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had irrevocably elected not to avail ourselves of this exemption from new or revised accounting standards, and, therefore, were subject to the same new or revised accounting standards as other public companies that are not emerging growth companies. In addition, as an emerging growth company, we had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ceased to be an emerging growth company on January 1, 2020.</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SMALLER REPORTING COMPANY</w:t>
      </w:r>
    </w:p>
    <w:p>
      <w:pPr>
        <w:spacing w:after="0" w:line="229" w:lineRule="exact"/>
        <w:rPr>
          <w:sz w:val="20"/>
          <w:szCs w:val="20"/>
          <w:color w:val="auto"/>
        </w:rPr>
      </w:pPr>
    </w:p>
    <w:p>
      <w:pPr>
        <w:jc w:val="both"/>
        <w:ind w:left="40" w:right="399" w:firstLine="648"/>
        <w:spacing w:after="0" w:line="311" w:lineRule="auto"/>
        <w:rPr>
          <w:sz w:val="20"/>
          <w:szCs w:val="20"/>
          <w:color w:val="auto"/>
        </w:rPr>
      </w:pPr>
      <w:r>
        <w:rPr>
          <w:rFonts w:ascii="Arial" w:cs="Arial" w:eastAsia="Arial" w:hAnsi="Arial"/>
          <w:sz w:val="16"/>
          <w:szCs w:val="16"/>
          <w:color w:val="auto"/>
        </w:rPr>
        <w:t>On June 28, 2018, the SEC adopted amendments that raise the thresholds in the smaller reporting company, or SRC, definition, whereby we were determined to qualify as an SRC. We elected to reflect that determination and avail ourselves with most of the SRC scaled disclosure accommodations in our filings subsequent to the adoption.</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40" w:right="159" w:firstLine="648"/>
        <w:spacing w:after="0" w:line="273" w:lineRule="auto"/>
        <w:rPr>
          <w:sz w:val="20"/>
          <w:szCs w:val="20"/>
          <w:color w:val="auto"/>
        </w:rPr>
      </w:pPr>
      <w:r>
        <w:rPr>
          <w:rFonts w:ascii="Arial" w:cs="Arial" w:eastAsia="Arial" w:hAnsi="Arial"/>
          <w:sz w:val="17"/>
          <w:szCs w:val="17"/>
          <w:color w:val="auto"/>
        </w:rPr>
        <w:t>We are subject to market risks, including interest rate fluctuation exposure through our investments, in the ordinary course of our 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178" w:lineRule="exact"/>
        <w:rPr>
          <w:sz w:val="20"/>
          <w:szCs w:val="20"/>
          <w:color w:val="auto"/>
        </w:rPr>
      </w:pPr>
    </w:p>
    <w:p>
      <w:pPr>
        <w:ind w:left="40" w:right="179" w:firstLine="648"/>
        <w:spacing w:after="0" w:line="218" w:lineRule="exact"/>
        <w:rPr>
          <w:sz w:val="20"/>
          <w:szCs w:val="20"/>
          <w:color w:val="auto"/>
        </w:rPr>
      </w:pPr>
      <w:r>
        <w:rPr>
          <w:rFonts w:ascii="Arial" w:cs="Arial" w:eastAsia="Arial" w:hAnsi="Arial"/>
          <w:sz w:val="17"/>
          <w:szCs w:val="17"/>
          <w:color w:val="auto"/>
        </w:rPr>
        <w:t>As of December 31, 2019, we had cash, cash equivalents and short-term investments of $247.5 million, which consist of bank deposits and money market funds, as well as high quality fixed income instruments including corporate bonds, commercial paper, and asset-backed securities collateralized by non-mortgage consumer receivables. The credit rating of our short-term investments must be rated A</w:t>
      </w:r>
      <w:r>
        <w:rPr>
          <w:rFonts w:ascii="MS PGothic" w:cs="MS PGothic" w:eastAsia="MS PGothic" w:hAnsi="MS PGothic"/>
          <w:sz w:val="17"/>
          <w:szCs w:val="17"/>
          <w:color w:val="auto"/>
        </w:rPr>
        <w:t>‑</w:t>
      </w:r>
      <w:r>
        <w:rPr>
          <w:rFonts w:ascii="Arial" w:cs="Arial" w:eastAsia="Arial" w:hAnsi="Arial"/>
          <w:sz w:val="17"/>
          <w:szCs w:val="17"/>
          <w:color w:val="auto"/>
        </w:rPr>
        <w:t>1/P</w:t>
      </w:r>
      <w:r>
        <w:rPr>
          <w:rFonts w:ascii="MS PGothic" w:cs="MS PGothic" w:eastAsia="MS PGothic" w:hAnsi="MS PGothic"/>
          <w:sz w:val="17"/>
          <w:szCs w:val="17"/>
          <w:color w:val="auto"/>
        </w:rPr>
        <w:t>‑</w:t>
      </w:r>
      <w:r>
        <w:rPr>
          <w:rFonts w:ascii="Arial" w:cs="Arial" w:eastAsia="Arial" w:hAnsi="Arial"/>
          <w:sz w:val="17"/>
          <w:szCs w:val="17"/>
          <w:color w:val="auto"/>
        </w:rPr>
        <w:t>1, or better by Standard and Poor’s and Moody’s Investors Service. Asset-backed securities must be rated AAA/Aaa. Money Market funds must be rated AAAm/Aaa.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spacing w:after="0" w:line="203" w:lineRule="exact"/>
        <w:rPr>
          <w:sz w:val="20"/>
          <w:szCs w:val="20"/>
          <w:color w:val="auto"/>
        </w:rPr>
      </w:pPr>
    </w:p>
    <w:p>
      <w:pPr>
        <w:ind w:left="40" w:right="239" w:firstLine="648"/>
        <w:spacing w:after="0" w:line="293" w:lineRule="auto"/>
        <w:rPr>
          <w:sz w:val="20"/>
          <w:szCs w:val="20"/>
          <w:color w:val="auto"/>
        </w:rPr>
      </w:pPr>
      <w:r>
        <w:rPr>
          <w:rFonts w:ascii="Arial" w:cs="Arial" w:eastAsia="Arial" w:hAnsi="Arial"/>
          <w:sz w:val="16"/>
          <w:szCs w:val="16"/>
          <w:color w:val="auto"/>
        </w:rPr>
        <w:t>We are subject to interest rate fluctuation exposure through our borrowings under the Loan Agreement and our investment in money market accounts which bear a variable interest rate. Borrowings under the Loan Agreement bear interest at a rate equal to one-month London Interbank Offered Rate, or LIBOR, plus 7.45% per annum. A hypothetical increase in one-month LIBOR of 100 basis points above the current one-month LIBOR rates would have increased our interest expense by approximately $0.5 million for the year ended December 31, 2019. As of December 31, 2019, we had an aggregate principal amount of $50.0 million outstanding pursuant to our Loan Agreement.</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left="40" w:right="199" w:firstLine="648"/>
        <w:spacing w:after="0" w:line="279" w:lineRule="auto"/>
        <w:rPr>
          <w:sz w:val="20"/>
          <w:szCs w:val="20"/>
          <w:color w:val="auto"/>
        </w:rPr>
      </w:pPr>
      <w:r>
        <w:rPr>
          <w:rFonts w:ascii="Arial" w:cs="Arial" w:eastAsia="Arial" w:hAnsi="Arial"/>
          <w:sz w:val="17"/>
          <w:szCs w:val="17"/>
          <w:color w:val="auto"/>
        </w:rPr>
        <w:t>The majority of our transactions are denominated in U.S. dollars. However, we do have certain transactions that are denominated in 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9" w:name="page80"/>
    <w:bookmarkEnd w:id="7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2019, we had no open forward foreign currency exchange contracts.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0" w:name="page81"/>
    <w:bookmarkEnd w:id="8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300" w:type="dxa"/>
            <w:vAlign w:val="bottom"/>
            <w:gridSpan w:val="7"/>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Report of Independent Registered Public Accounting Firm</w:t>
              </w:r>
            </w:hyperlink>
          </w:p>
        </w:tc>
        <w:tc>
          <w:tcPr>
            <w:tcW w:w="46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196"/>
        </w:trPr>
        <w:tc>
          <w:tcPr>
            <w:tcW w:w="42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Balance Sheets</w:t>
              </w:r>
            </w:hyperlink>
          </w:p>
        </w:tc>
        <w:tc>
          <w:tcPr>
            <w:tcW w:w="80" w:type="dxa"/>
            <w:vAlign w:val="bottom"/>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Statements of Operations and Comprehensive Loss</w:t>
              </w:r>
            </w:hyperlink>
          </w:p>
        </w:tc>
        <w:tc>
          <w:tcPr>
            <w:tcW w:w="600" w:type="dxa"/>
            <w:vAlign w:val="bottom"/>
            <w:gridSpan w:val="2"/>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26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85">
              <w:r>
                <w:rPr>
                  <w:rFonts w:ascii="Arial" w:cs="Arial" w:eastAsia="Arial" w:hAnsi="Arial"/>
                  <w:sz w:val="18"/>
                  <w:szCs w:val="18"/>
                  <w:color w:val="0000EE"/>
                  <w:w w:val="92"/>
                </w:rPr>
                <w:t>Statements of Stockholders’ Equity</w:t>
              </w:r>
            </w:hyperlink>
          </w:p>
        </w:tc>
        <w:tc>
          <w:tcPr>
            <w:tcW w:w="1700" w:type="dxa"/>
            <w:vAlign w:val="bottom"/>
            <w:gridSpan w:val="3"/>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4300" w:type="dxa"/>
            <w:vAlign w:val="bottom"/>
            <w:gridSpan w:val="7"/>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Statements of Cash Flows</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18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6"/>
        </w:trPr>
        <w:tc>
          <w:tcPr>
            <w:tcW w:w="4300" w:type="dxa"/>
            <w:vAlign w:val="bottom"/>
            <w:gridSpan w:val="7"/>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Notes to Financial Statements</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898"/>
        </w:trPr>
        <w:tc>
          <w:tcPr>
            <w:tcW w:w="1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tcPr>
          <w:p>
            <w:pPr>
              <w:jc w:val="right"/>
              <w:ind w:right="4270"/>
              <w:spacing w:after="0"/>
              <w:rPr>
                <w:sz w:val="20"/>
                <w:szCs w:val="20"/>
                <w:color w:val="auto"/>
              </w:rPr>
            </w:pPr>
            <w:r>
              <w:rPr>
                <w:rFonts w:ascii="Arial" w:cs="Arial" w:eastAsia="Arial" w:hAnsi="Arial"/>
                <w:sz w:val="18"/>
                <w:szCs w:val="18"/>
                <w:color w:val="auto"/>
              </w:rPr>
              <w:t>79</w:t>
            </w:r>
          </w:p>
        </w:tc>
      </w:tr>
      <w:tr>
        <w:trPr>
          <w:trHeight w:val="560"/>
        </w:trPr>
        <w:tc>
          <w:tcPr>
            <w:tcW w:w="1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81" w:name="page82"/>
    <w:bookmarkEnd w:id="8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Stockholders and the Board of Directors of Ardelyx, Inc.</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We have audited the accompanying balance sheets of Ardelyx, Inc. (the “Company”) as of December 31, 2019 and 2018, the related statements of operations and comprehensive loss, stockholders’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U.S. generally accepted accounting principles.</w:t>
      </w:r>
    </w:p>
    <w:p>
      <w:pPr>
        <w:spacing w:after="0" w:line="110" w:lineRule="exact"/>
        <w:rPr>
          <w:sz w:val="20"/>
          <w:szCs w:val="20"/>
          <w:color w:val="auto"/>
        </w:rPr>
      </w:pPr>
    </w:p>
    <w:p>
      <w:pPr>
        <w:ind w:left="40" w:right="319" w:firstLine="648"/>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March 6, 2020 expressed an unqualified opinion thereon.</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Adoption of ASU No. 2014-09</w:t>
      </w:r>
    </w:p>
    <w:p>
      <w:pPr>
        <w:spacing w:after="0" w:line="175" w:lineRule="exact"/>
        <w:rPr>
          <w:sz w:val="20"/>
          <w:szCs w:val="20"/>
          <w:color w:val="auto"/>
        </w:rPr>
      </w:pPr>
    </w:p>
    <w:p>
      <w:pPr>
        <w:ind w:left="40" w:right="159" w:firstLine="648"/>
        <w:spacing w:after="0" w:line="263" w:lineRule="auto"/>
        <w:rPr>
          <w:sz w:val="20"/>
          <w:szCs w:val="20"/>
          <w:color w:val="auto"/>
        </w:rPr>
      </w:pPr>
      <w:r>
        <w:rPr>
          <w:rFonts w:ascii="Arial" w:cs="Arial" w:eastAsia="Arial" w:hAnsi="Arial"/>
          <w:sz w:val="18"/>
          <w:szCs w:val="18"/>
          <w:color w:val="auto"/>
        </w:rPr>
        <w:t>As discussed in Note 2 to the financial statements, the Company changed its method for recognizing revenue as a result of the adoption of Accounting Standards Update (ASU) No. 2014-09, Revenue from Contracts with Customers (Topic 606), and the related amendments effective January 1, 2018.</w:t>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left="40" w:right="139" w:firstLine="648"/>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left="40" w:right="119" w:firstLine="648"/>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6,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2" w:name="page83"/>
    <w:bookmarkEnd w:id="8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42"/>
        </w:trPr>
        <w:tc>
          <w:tcPr>
            <w:tcW w:w="6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6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181,133</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78,768</w:t>
            </w:r>
          </w:p>
        </w:tc>
      </w:tr>
      <w:tr>
        <w:trPr>
          <w:trHeight w:val="216"/>
        </w:trPr>
        <w:tc>
          <w:tcPr>
            <w:tcW w:w="630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66,379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89,321</w:t>
            </w: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6300" w:type="dxa"/>
            <w:vAlign w:val="bottom"/>
          </w:tcPr>
          <w:p>
            <w:pPr>
              <w:ind w:left="120"/>
              <w:spacing w:after="0"/>
              <w:rPr>
                <w:sz w:val="20"/>
                <w:szCs w:val="20"/>
                <w:color w:val="auto"/>
              </w:rPr>
            </w:pPr>
            <w:r>
              <w:rPr>
                <w:rFonts w:ascii="Arial" w:cs="Arial" w:eastAsia="Arial" w:hAnsi="Arial"/>
                <w:sz w:val="18"/>
                <w:szCs w:val="18"/>
                <w:color w:val="auto"/>
              </w:rPr>
              <w:t>Unbilled revenue</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r>
      <w:tr>
        <w:trPr>
          <w:trHeight w:val="209"/>
        </w:trPr>
        <w:tc>
          <w:tcPr>
            <w:tcW w:w="63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252,062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176,371</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Right-of-use assets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217"/>
        </w:trPr>
        <w:tc>
          <w:tcPr>
            <w:tcW w:w="6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259,782</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183,332</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16"/>
        </w:trPr>
        <w:tc>
          <w:tcPr>
            <w:tcW w:w="6300" w:type="dxa"/>
            <w:vAlign w:val="bottom"/>
          </w:tcPr>
          <w:p>
            <w:pPr>
              <w:ind w:left="120"/>
              <w:spacing w:after="0"/>
              <w:rPr>
                <w:sz w:val="20"/>
                <w:szCs w:val="20"/>
                <w:color w:val="auto"/>
              </w:rPr>
            </w:pPr>
            <w:r>
              <w:rPr>
                <w:rFonts w:ascii="Arial" w:cs="Arial" w:eastAsia="Arial" w:hAnsi="Arial"/>
                <w:sz w:val="18"/>
                <w:szCs w:val="18"/>
                <w:color w:val="auto"/>
              </w:rPr>
              <w:t>Accrued compensation and benefits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2,723</w:t>
            </w: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Uncharged license fees</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300" w:type="dxa"/>
            <w:vAlign w:val="bottom"/>
          </w:tcPr>
          <w:p>
            <w:pPr>
              <w:ind w:left="120"/>
              <w:spacing w:after="0"/>
              <w:rPr>
                <w:sz w:val="20"/>
                <w:szCs w:val="20"/>
                <w:color w:val="auto"/>
              </w:rPr>
            </w:pPr>
            <w:r>
              <w:rPr>
                <w:rFonts w:ascii="Arial" w:cs="Arial" w:eastAsia="Arial" w:hAnsi="Arial"/>
                <w:sz w:val="18"/>
                <w:szCs w:val="18"/>
                <w:color w:val="auto"/>
              </w:rPr>
              <w:t>Current portion of operating lease liability</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Loan payable, current portion</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w:t>
            </w:r>
          </w:p>
        </w:tc>
      </w:tr>
      <w:tr>
        <w:trPr>
          <w:trHeight w:val="210"/>
        </w:trPr>
        <w:tc>
          <w:tcPr>
            <w:tcW w:w="63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17,728</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Loan payable, net of current portion</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48,831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49,209</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10"/>
        </w:trPr>
        <w:tc>
          <w:tcPr>
            <w:tcW w:w="6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73,127</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67,519</w:t>
            </w: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17)</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2"/>
        </w:trPr>
        <w:tc>
          <w:tcPr>
            <w:tcW w:w="63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Preferred stock, $0.0001 par value; 5,000,000 shares authorized; no shares issued</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0"/>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and outstanding as of December 31, 2019 and December 31, 2018, respectively.</w:t>
            </w:r>
          </w:p>
        </w:tc>
        <w:tc>
          <w:tcPr>
            <w:tcW w:w="3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300" w:type="dxa"/>
            <w:vAlign w:val="bottom"/>
          </w:tcPr>
          <w:p>
            <w:pPr>
              <w:ind w:left="120"/>
              <w:spacing w:after="0" w:line="201" w:lineRule="exact"/>
              <w:rPr>
                <w:sz w:val="20"/>
                <w:szCs w:val="20"/>
                <w:color w:val="auto"/>
              </w:rPr>
            </w:pPr>
            <w:r>
              <w:rPr>
                <w:rFonts w:ascii="Arial" w:cs="Arial" w:eastAsia="Arial" w:hAnsi="Arial"/>
                <w:sz w:val="18"/>
                <w:szCs w:val="18"/>
                <w:color w:val="auto"/>
                <w:w w:val="92"/>
              </w:rPr>
              <w:t>Common stock, $0.0001 par value; 300,000,000 shares authorized; 88,817,741 and</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6300" w:type="dxa"/>
            <w:vAlign w:val="bottom"/>
          </w:tcPr>
          <w:p>
            <w:pPr>
              <w:ind w:left="120"/>
              <w:spacing w:after="0"/>
              <w:rPr>
                <w:sz w:val="20"/>
                <w:szCs w:val="20"/>
                <w:color w:val="auto"/>
              </w:rPr>
            </w:pPr>
            <w:r>
              <w:rPr>
                <w:rFonts w:ascii="Arial" w:cs="Arial" w:eastAsia="Arial" w:hAnsi="Arial"/>
                <w:sz w:val="18"/>
                <w:szCs w:val="18"/>
                <w:color w:val="auto"/>
              </w:rPr>
              <w:t>62,516,627 shares issued and outstanding as of December 31, 2019 and</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6300" w:type="dxa"/>
            <w:vAlign w:val="bottom"/>
          </w:tcPr>
          <w:p>
            <w:pPr>
              <w:ind w:left="120"/>
              <w:spacing w:after="0"/>
              <w:rPr>
                <w:sz w:val="20"/>
                <w:szCs w:val="20"/>
                <w:color w:val="auto"/>
              </w:rPr>
            </w:pPr>
            <w:r>
              <w:rPr>
                <w:rFonts w:ascii="Arial" w:cs="Arial" w:eastAsia="Arial" w:hAnsi="Arial"/>
                <w:sz w:val="18"/>
                <w:szCs w:val="18"/>
                <w:color w:val="auto"/>
              </w:rPr>
              <w:t>December 31, 2018, respectively.</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647,078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481,357</w:t>
            </w:r>
          </w:p>
        </w:tc>
      </w:tr>
      <w:tr>
        <w:trPr>
          <w:trHeight w:val="216"/>
        </w:trPr>
        <w:tc>
          <w:tcPr>
            <w:tcW w:w="630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(460,452)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(365,512)</w:t>
            </w: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186,655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115,813</w:t>
            </w:r>
          </w:p>
        </w:tc>
      </w:tr>
      <w:tr>
        <w:trPr>
          <w:trHeight w:val="216"/>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259,782</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183,332</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3" w:name="page84"/>
    <w:bookmarkEnd w:id="8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Licensing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42,000</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Collaborative development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r>
      <w:tr>
        <w:trPr>
          <w:trHeight w:val="216"/>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8,400</w:t>
            </w:r>
          </w:p>
        </w:tc>
      </w:tr>
      <w:tr>
        <w:trPr>
          <w:trHeight w:val="209"/>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33,600</w:t>
            </w:r>
          </w:p>
        </w:tc>
      </w:tr>
      <w:tr>
        <w:trPr>
          <w:trHeight w:val="209"/>
        </w:trPr>
        <w:tc>
          <w:tcPr>
            <w:tcW w:w="516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75,484</w:t>
            </w:r>
          </w:p>
        </w:tc>
      </w:tr>
      <w:tr>
        <w:trPr>
          <w:trHeight w:val="216"/>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23,715</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23,231</w:t>
            </w:r>
          </w:p>
        </w:tc>
      </w:tr>
      <w:tr>
        <w:trPr>
          <w:trHeight w:val="209"/>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95,944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93,088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98,715</w:t>
            </w:r>
          </w:p>
        </w:tc>
      </w:tr>
      <w:tr>
        <w:trPr>
          <w:trHeight w:val="210"/>
        </w:trPr>
        <w:tc>
          <w:tcPr>
            <w:tcW w:w="516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(91,263)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(90,947)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(65,115)</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(63,160)</w:t>
            </w:r>
          </w:p>
        </w:tc>
      </w:tr>
      <w:tr>
        <w:trPr>
          <w:trHeight w:val="216"/>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r>
      <w:tr>
        <w:trPr>
          <w:trHeight w:val="229"/>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(94,940)</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(91,298)</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(64,339)</w:t>
            </w:r>
          </w:p>
        </w:tc>
      </w:tr>
      <w:tr>
        <w:trPr>
          <w:trHeight w:val="210"/>
        </w:trPr>
        <w:tc>
          <w:tcPr>
            <w:tcW w:w="51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loss per common share, basic and diluted</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w:t>
            </w:r>
          </w:p>
        </w:tc>
      </w:tr>
      <w:tr>
        <w:trPr>
          <w:trHeight w:val="236"/>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 basic and diluted</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64,478,066</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56,219,919</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47,435,331</w:t>
            </w:r>
          </w:p>
        </w:tc>
      </w:tr>
      <w:tr>
        <w:trPr>
          <w:trHeight w:val="203"/>
        </w:trPr>
        <w:tc>
          <w:tcPr>
            <w:tcW w:w="5160" w:type="dxa"/>
            <w:vAlign w:val="bottom"/>
          </w:tcPr>
          <w:p>
            <w:pPr>
              <w:spacing w:after="0" w:line="203" w:lineRule="exact"/>
              <w:rPr>
                <w:sz w:val="20"/>
                <w:szCs w:val="20"/>
                <w:color w:val="auto"/>
              </w:rPr>
            </w:pPr>
            <w:r>
              <w:rPr>
                <w:rFonts w:ascii="Arial" w:cs="Arial" w:eastAsia="Arial" w:hAnsi="Arial"/>
                <w:sz w:val="18"/>
                <w:szCs w:val="18"/>
                <w:b w:val="1"/>
                <w:bCs w:val="1"/>
                <w:color w:val="auto"/>
              </w:rPr>
              <w:t>Comprehensive loss: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(94,940)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(91,298)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(64,339)</w:t>
            </w:r>
          </w:p>
        </w:tc>
      </w:tr>
      <w:tr>
        <w:trPr>
          <w:trHeight w:val="216"/>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Unrealized gains on available-for-sale securities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17"/>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(94,882)</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(64,315)</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4" w:name="page85"/>
    <w:bookmarkEnd w:id="8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3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Paid-In</w:t>
            </w:r>
          </w:p>
        </w:tc>
        <w:tc>
          <w:tcPr>
            <w:tcW w:w="1000" w:type="dxa"/>
            <w:vAlign w:val="bottom"/>
            <w:gridSpan w:val="2"/>
            <w:vMerge w:val="continue"/>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9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Capital</w:t>
            </w:r>
          </w:p>
        </w:tc>
        <w:tc>
          <w:tcPr>
            <w:tcW w:w="10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Deficit</w:t>
            </w:r>
          </w:p>
        </w:tc>
        <w:tc>
          <w:tcPr>
            <w:tcW w:w="112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0"/>
              </w:rPr>
              <w:t>(Loss) Income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47,309,422</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$ 407,092</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(213,875)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193,151</w:t>
            </w: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line="201" w:lineRule="exact"/>
              <w:rPr>
                <w:sz w:val="20"/>
                <w:szCs w:val="20"/>
                <w:color w:val="auto"/>
              </w:rPr>
            </w:pPr>
            <w:r>
              <w:rPr>
                <w:rFonts w:ascii="Arial" w:cs="Arial" w:eastAsia="Arial" w:hAnsi="Arial"/>
                <w:sz w:val="18"/>
                <w:szCs w:val="18"/>
                <w:color w:val="auto"/>
              </w:rPr>
              <w:t>Issuance of common stock under</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20"/>
              <w:spacing w:after="0"/>
              <w:rPr>
                <w:sz w:val="20"/>
                <w:szCs w:val="20"/>
                <w:color w:val="auto"/>
              </w:rPr>
            </w:pPr>
            <w:r>
              <w:rPr>
                <w:rFonts w:ascii="Arial" w:cs="Arial" w:eastAsia="Arial" w:hAnsi="Arial"/>
                <w:sz w:val="18"/>
                <w:szCs w:val="18"/>
                <w:color w:val="auto"/>
              </w:rPr>
              <w:t>employee stock 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99,343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 for services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line="201" w:lineRule="exact"/>
              <w:rPr>
                <w:sz w:val="20"/>
                <w:szCs w:val="20"/>
                <w:color w:val="auto"/>
              </w:rPr>
            </w:pPr>
            <w:r>
              <w:rPr>
                <w:rFonts w:ascii="Arial" w:cs="Arial" w:eastAsia="Arial" w:hAnsi="Arial"/>
                <w:sz w:val="18"/>
                <w:szCs w:val="18"/>
                <w:color w:val="auto"/>
                <w:w w:val="95"/>
              </w:rPr>
              <w:t>Issuance of common stock upon exercise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20"/>
              <w:spacing w:after="0"/>
              <w:rPr>
                <w:sz w:val="20"/>
                <w:szCs w:val="20"/>
                <w:color w:val="auto"/>
              </w:rPr>
            </w:pPr>
            <w:r>
              <w:rPr>
                <w:rFonts w:ascii="Arial" w:cs="Arial" w:eastAsia="Arial" w:hAnsi="Arial"/>
                <w:sz w:val="18"/>
                <w:szCs w:val="18"/>
                <w:color w:val="auto"/>
              </w:rPr>
              <w:t>of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35,759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Issuance of common stock upon vesting</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restricted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43,597</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9,590</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Unrealized gains on available-for-sale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(64,339)</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(64,339)</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47,534,979</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$ 417,568</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(278,214)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139,312</w:t>
            </w: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line="201" w:lineRule="exact"/>
              <w:rPr>
                <w:sz w:val="20"/>
                <w:szCs w:val="20"/>
                <w:color w:val="auto"/>
              </w:rPr>
            </w:pPr>
            <w:r>
              <w:rPr>
                <w:rFonts w:ascii="Arial" w:cs="Arial" w:eastAsia="Arial" w:hAnsi="Arial"/>
                <w:sz w:val="18"/>
                <w:szCs w:val="18"/>
                <w:color w:val="auto"/>
              </w:rPr>
              <w:t>Adoption of ASU No. 2014-09 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20"/>
              <w:spacing w:after="0"/>
              <w:rPr>
                <w:sz w:val="20"/>
                <w:szCs w:val="20"/>
                <w:color w:val="auto"/>
              </w:rPr>
            </w:pPr>
            <w:r>
              <w:rPr>
                <w:rFonts w:ascii="Arial" w:cs="Arial" w:eastAsia="Arial" w:hAnsi="Arial"/>
                <w:sz w:val="18"/>
                <w:szCs w:val="18"/>
                <w:color w:val="auto"/>
              </w:rPr>
              <w:t>January 1, 2018</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under</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stock purchase plan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120,959</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Arial" w:cs="Arial" w:eastAsia="Arial" w:hAnsi="Arial"/>
                <w:sz w:val="18"/>
                <w:szCs w:val="18"/>
                <w:color w:val="auto"/>
              </w:rPr>
              <w:t>Issuance of common stock for services</w:t>
            </w:r>
          </w:p>
        </w:tc>
        <w:tc>
          <w:tcPr>
            <w:tcW w:w="920" w:type="dxa"/>
            <w:vAlign w:val="bottom"/>
          </w:tcPr>
          <w:p>
            <w:pPr>
              <w:jc w:val="right"/>
              <w:spacing w:after="0"/>
              <w:rPr>
                <w:sz w:val="20"/>
                <w:szCs w:val="20"/>
                <w:color w:val="auto"/>
              </w:rPr>
            </w:pPr>
            <w:r>
              <w:rPr>
                <w:rFonts w:ascii="Arial" w:cs="Arial" w:eastAsia="Arial" w:hAnsi="Arial"/>
                <w:sz w:val="18"/>
                <w:szCs w:val="18"/>
                <w:color w:val="auto"/>
              </w:rPr>
              <w:t>75,183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Issuance of common stock upon vesting</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restricted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410,506</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9,226</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9,226</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Unrealized gains on available-for-sale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line="201" w:lineRule="exact"/>
              <w:rPr>
                <w:sz w:val="20"/>
                <w:szCs w:val="20"/>
                <w:color w:val="auto"/>
              </w:rPr>
            </w:pPr>
            <w:r>
              <w:rPr>
                <w:rFonts w:ascii="Arial" w:cs="Arial" w:eastAsia="Arial" w:hAnsi="Arial"/>
                <w:sz w:val="18"/>
                <w:szCs w:val="18"/>
                <w:color w:val="auto"/>
              </w:rPr>
              <w:t>Issuance of common stock upon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Arial" w:cs="Arial" w:eastAsia="Arial" w:hAnsi="Arial"/>
                <w:sz w:val="18"/>
                <w:szCs w:val="18"/>
                <w:color w:val="auto"/>
              </w:rPr>
              <w:t>underwritten public offering, net of</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20"/>
              <w:spacing w:after="0"/>
              <w:rPr>
                <w:sz w:val="20"/>
                <w:szCs w:val="20"/>
                <w:color w:val="auto"/>
              </w:rPr>
            </w:pPr>
            <w:r>
              <w:rPr>
                <w:rFonts w:ascii="Arial" w:cs="Arial" w:eastAsia="Arial" w:hAnsi="Arial"/>
                <w:sz w:val="18"/>
                <w:szCs w:val="18"/>
                <w:color w:val="auto"/>
              </w:rPr>
              <w:t>issuance costs</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14,375,000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53,769</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53,770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(91,298)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(91,298)</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62,516,627</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$ 481,357</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(365,512)</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115,813</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under</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stock purchase plan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160,744</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Arial" w:cs="Arial" w:eastAsia="Arial" w:hAnsi="Arial"/>
                <w:sz w:val="18"/>
                <w:szCs w:val="18"/>
                <w:color w:val="auto"/>
              </w:rPr>
              <w:t>Issuance of common stock for services</w:t>
            </w:r>
          </w:p>
        </w:tc>
        <w:tc>
          <w:tcPr>
            <w:tcW w:w="920" w:type="dxa"/>
            <w:vAlign w:val="bottom"/>
          </w:tcPr>
          <w:p>
            <w:pPr>
              <w:jc w:val="right"/>
              <w:spacing w:after="0"/>
              <w:rPr>
                <w:sz w:val="20"/>
                <w:szCs w:val="20"/>
                <w:color w:val="auto"/>
              </w:rPr>
            </w:pPr>
            <w:r>
              <w:rPr>
                <w:rFonts w:ascii="Arial" w:cs="Arial" w:eastAsia="Arial" w:hAnsi="Arial"/>
                <w:sz w:val="18"/>
                <w:szCs w:val="18"/>
                <w:color w:val="auto"/>
              </w:rPr>
              <w:t>113,136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Issuance of common stock upon exercise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68,062</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line="201" w:lineRule="exact"/>
              <w:rPr>
                <w:sz w:val="20"/>
                <w:szCs w:val="20"/>
                <w:color w:val="auto"/>
              </w:rPr>
            </w:pPr>
            <w:r>
              <w:rPr>
                <w:rFonts w:ascii="Arial" w:cs="Arial" w:eastAsia="Arial" w:hAnsi="Arial"/>
                <w:sz w:val="18"/>
                <w:szCs w:val="18"/>
                <w:color w:val="auto"/>
                <w:w w:val="98"/>
              </w:rPr>
              <w:t>Issuance of common stock upon vesting</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20"/>
              <w:spacing w:after="0"/>
              <w:rPr>
                <w:sz w:val="20"/>
                <w:szCs w:val="20"/>
                <w:color w:val="auto"/>
              </w:rPr>
            </w:pPr>
            <w:r>
              <w:rPr>
                <w:rFonts w:ascii="Arial" w:cs="Arial" w:eastAsia="Arial" w:hAnsi="Arial"/>
                <w:sz w:val="18"/>
                <w:szCs w:val="18"/>
                <w:color w:val="auto"/>
              </w:rPr>
              <w:t>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85,609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line="201" w:lineRule="exact"/>
              <w:rPr>
                <w:sz w:val="20"/>
                <w:szCs w:val="20"/>
                <w:color w:val="auto"/>
              </w:rPr>
            </w:pPr>
            <w:r>
              <w:rPr>
                <w:rFonts w:ascii="Arial" w:cs="Arial" w:eastAsia="Arial" w:hAnsi="Arial"/>
                <w:sz w:val="18"/>
                <w:szCs w:val="18"/>
                <w:color w:val="auto"/>
              </w:rPr>
              <w:t>Unrealized gains on available-for-sale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20"/>
              <w:spacing w:after="0"/>
              <w:rPr>
                <w:sz w:val="20"/>
                <w:szCs w:val="20"/>
                <w:color w:val="auto"/>
              </w:rPr>
            </w:pPr>
            <w:r>
              <w:rPr>
                <w:rFonts w:ascii="Arial" w:cs="Arial" w:eastAsia="Arial" w:hAnsi="Arial"/>
                <w:sz w:val="18"/>
                <w:szCs w:val="18"/>
                <w:color w:val="auto"/>
              </w:rPr>
              <w:t>securities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upon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underwritten public offering, net of</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costs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23,000,000</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134,924</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134,927</w:t>
            </w: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line="201" w:lineRule="exact"/>
              <w:rPr>
                <w:sz w:val="20"/>
                <w:szCs w:val="20"/>
                <w:color w:val="auto"/>
              </w:rPr>
            </w:pPr>
            <w:r>
              <w:rPr>
                <w:rFonts w:ascii="Arial" w:cs="Arial" w:eastAsia="Arial" w:hAnsi="Arial"/>
                <w:sz w:val="18"/>
                <w:szCs w:val="18"/>
                <w:color w:val="auto"/>
                <w:w w:val="98"/>
              </w:rPr>
              <w:t>Issuance of common stock upon private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20"/>
              <w:spacing w:after="0"/>
              <w:rPr>
                <w:sz w:val="20"/>
                <w:szCs w:val="20"/>
                <w:color w:val="auto"/>
              </w:rPr>
            </w:pPr>
            <w:r>
              <w:rPr>
                <w:rFonts w:ascii="Arial" w:cs="Arial" w:eastAsia="Arial" w:hAnsi="Arial"/>
                <w:sz w:val="18"/>
                <w:szCs w:val="18"/>
                <w:color w:val="auto"/>
              </w:rPr>
              <w:t>placement, net of issuance costs</w:t>
            </w:r>
          </w:p>
        </w:tc>
        <w:tc>
          <w:tcPr>
            <w:tcW w:w="920" w:type="dxa"/>
            <w:vAlign w:val="bottom"/>
          </w:tcPr>
          <w:p>
            <w:pPr>
              <w:jc w:val="right"/>
              <w:spacing w:after="0"/>
              <w:rPr>
                <w:sz w:val="20"/>
                <w:szCs w:val="20"/>
                <w:color w:val="auto"/>
              </w:rPr>
            </w:pPr>
            <w:r>
              <w:rPr>
                <w:rFonts w:ascii="Arial" w:cs="Arial" w:eastAsia="Arial" w:hAnsi="Arial"/>
                <w:sz w:val="18"/>
                <w:szCs w:val="18"/>
                <w:color w:val="auto"/>
              </w:rPr>
              <w:t>2,873,563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19,975</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19,975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(94,940)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88,817,741</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$ 647,078</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(460,452)</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186,655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5" w:name="page86"/>
    <w:bookmarkEnd w:id="85"/>
    <w:p>
      <w:pPr>
        <w:spacing w:after="0" w:line="209" w:lineRule="auto"/>
        <w:framePr w:w="260" w:h="160" w:wrap="auto" w:vAnchor="page" w:hAnchor="page" w:x="5820" w:y="13034"/>
        <w:rPr>
          <w:rFonts w:ascii="Arial" w:cs="Arial" w:eastAsia="Arial" w:hAnsi="Arial"/>
          <w:sz w:val="16"/>
          <w:szCs w:val="16"/>
          <w:color w:val="auto"/>
        </w:rPr>
      </w:pPr>
      <w:r>
        <w:rPr>
          <w:rFonts w:ascii="Arial" w:cs="Arial" w:eastAsia="Arial" w:hAnsi="Arial"/>
          <w:sz w:val="16"/>
          <w:szCs w:val="16"/>
          <w:color w:val="auto"/>
        </w:rPr>
        <w:t>84</w:t>
      </w:r>
    </w:p>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rFonts w:ascii="Arial" w:cs="Arial" w:eastAsia="Arial" w:hAnsi="Arial"/>
          <w:sz w:val="16"/>
          <w:szCs w:val="16"/>
          <w:color w:val="auto"/>
        </w:rPr>
      </w:pPr>
    </w:p>
    <w:tbl>
      <w:tblPr>
        <w:tblLayout w:type="fixed"/>
        <w:tblInd w:w="4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ind w:right="53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2017</w:t>
            </w: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(94,940)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(91,298)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(64,339)</w:t>
            </w: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color w:val="auto"/>
              </w:rPr>
              <w:t>Depreciation expense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2,639</w:t>
            </w:r>
          </w:p>
        </w:tc>
      </w:tr>
      <w:tr>
        <w:trPr>
          <w:trHeight w:val="216"/>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color w:val="auto"/>
              </w:rPr>
              <w:t>Amortization of deferred compensation for services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(premium) discount on investment securities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color w:val="auto"/>
              </w:rPr>
              <w:t>Non-cash lease expense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color w:val="auto"/>
              </w:rPr>
              <w:t>Change in derivative liabilities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associated with debt discount accretion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Unbilled revenue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(10,796)</w:t>
            </w:r>
          </w:p>
        </w:tc>
      </w:tr>
      <w:tr>
        <w:trPr>
          <w:trHeight w:val="216"/>
        </w:trPr>
        <w:tc>
          <w:tcPr>
            <w:tcW w:w="5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r>
      <w:tr>
        <w:trPr>
          <w:trHeight w:val="216"/>
        </w:trPr>
        <w:tc>
          <w:tcPr>
            <w:tcW w:w="580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(2,730)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(1,027)</w:t>
            </w:r>
          </w:p>
        </w:tc>
      </w:tr>
      <w:tr>
        <w:trPr>
          <w:trHeight w:val="216"/>
        </w:trPr>
        <w:tc>
          <w:tcPr>
            <w:tcW w:w="5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5800" w:type="dxa"/>
            <w:vAlign w:val="bottom"/>
          </w:tcPr>
          <w:p>
            <w:pPr>
              <w:ind w:left="540"/>
              <w:spacing w:after="0"/>
              <w:rPr>
                <w:sz w:val="20"/>
                <w:szCs w:val="20"/>
                <w:color w:val="auto"/>
              </w:rPr>
            </w:pPr>
            <w:r>
              <w:rPr>
                <w:rFonts w:ascii="Arial" w:cs="Arial" w:eastAsia="Arial" w:hAnsi="Arial"/>
                <w:sz w:val="18"/>
                <w:szCs w:val="18"/>
                <w:color w:val="auto"/>
              </w:rPr>
              <w:t>Lease liabilities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(1,892)</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and other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5800" w:type="dxa"/>
            <w:vAlign w:val="bottom"/>
          </w:tcPr>
          <w:p>
            <w:pPr>
              <w:ind w:left="5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(76,484)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(70,274)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(65,190)</w:t>
            </w:r>
          </w:p>
        </w:tc>
      </w:tr>
      <w:tr>
        <w:trPr>
          <w:trHeight w:val="210"/>
        </w:trPr>
        <w:tc>
          <w:tcPr>
            <w:tcW w:w="58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maturities of investments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133,701</w:t>
            </w: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Sales and redemptions of investments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17,957</w:t>
            </w: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investments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(102,671)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(169,033)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(84,013)</w:t>
            </w: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(2,355)</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65,290</w:t>
            </w:r>
          </w:p>
        </w:tc>
      </w:tr>
      <w:tr>
        <w:trPr>
          <w:trHeight w:val="209"/>
        </w:trPr>
        <w:tc>
          <w:tcPr>
            <w:tcW w:w="58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underwritten public offering, net of issuance costs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5800" w:type="dxa"/>
            <w:vAlign w:val="bottom"/>
          </w:tcPr>
          <w:p>
            <w:pPr>
              <w:ind w:left="220"/>
              <w:spacing w:after="0" w:line="201" w:lineRule="exact"/>
              <w:rPr>
                <w:sz w:val="20"/>
                <w:szCs w:val="20"/>
                <w:color w:val="auto"/>
              </w:rPr>
            </w:pPr>
            <w:r>
              <w:rPr>
                <w:rFonts w:ascii="Arial" w:cs="Arial" w:eastAsia="Arial" w:hAnsi="Arial"/>
                <w:sz w:val="18"/>
                <w:szCs w:val="18"/>
                <w:color w:val="auto"/>
                <w:w w:val="95"/>
              </w:rPr>
              <w:t>Proceeds from issuance of common stock upon private placement, net of</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0"/>
        </w:trPr>
        <w:tc>
          <w:tcPr>
            <w:tcW w:w="5800" w:type="dxa"/>
            <w:vAlign w:val="bottom"/>
          </w:tcPr>
          <w:p>
            <w:pPr>
              <w:ind w:left="220"/>
              <w:spacing w:after="0"/>
              <w:rPr>
                <w:sz w:val="20"/>
                <w:szCs w:val="20"/>
                <w:color w:val="auto"/>
              </w:rPr>
            </w:pPr>
            <w:r>
              <w:rPr>
                <w:rFonts w:ascii="Arial" w:cs="Arial" w:eastAsia="Arial" w:hAnsi="Arial"/>
                <w:sz w:val="18"/>
                <w:szCs w:val="18"/>
                <w:color w:val="auto"/>
              </w:rPr>
              <w:t>issuance costs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19,975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 under stock plans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Issuance of common stock upon exercise of options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loan payable, net of issuance costs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155,476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103,553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w:t>
            </w: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16"/>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78,768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75,383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74,598</w:t>
            </w:r>
          </w:p>
        </w:tc>
      </w:tr>
      <w:tr>
        <w:trPr>
          <w:trHeight w:val="229"/>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181,133</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78,768</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75,383</w:t>
            </w:r>
          </w:p>
        </w:tc>
      </w:tr>
      <w:tr>
        <w:trPr>
          <w:trHeight w:val="203"/>
        </w:trPr>
        <w:tc>
          <w:tcPr>
            <w:tcW w:w="5800" w:type="dxa"/>
            <w:vAlign w:val="bottom"/>
          </w:tcPr>
          <w:p>
            <w:pPr>
              <w:spacing w:after="0" w:line="203" w:lineRule="exact"/>
              <w:rPr>
                <w:sz w:val="20"/>
                <w:szCs w:val="20"/>
                <w:color w:val="auto"/>
              </w:rPr>
            </w:pPr>
            <w:r>
              <w:rPr>
                <w:rFonts w:ascii="Arial" w:cs="Arial" w:eastAsia="Arial" w:hAnsi="Arial"/>
                <w:sz w:val="18"/>
                <w:szCs w:val="18"/>
                <w:b w:val="1"/>
                <w:bCs w:val="1"/>
                <w:color w:val="auto"/>
              </w:rPr>
              <w:t>Supplementary disclosure of cash flow information: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paid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800" w:type="dxa"/>
            <w:vAlign w:val="bottom"/>
          </w:tcPr>
          <w:p>
            <w:pPr>
              <w:spacing w:after="0"/>
              <w:rPr>
                <w:sz w:val="20"/>
                <w:szCs w:val="20"/>
                <w:color w:val="auto"/>
              </w:rPr>
            </w:pPr>
            <w:r>
              <w:rPr>
                <w:rFonts w:ascii="Arial" w:cs="Arial" w:eastAsia="Arial" w:hAnsi="Arial"/>
                <w:sz w:val="18"/>
                <w:szCs w:val="18"/>
                <w:b w:val="1"/>
                <w:bCs w:val="1"/>
                <w:color w:val="auto"/>
              </w:rPr>
              <w:t>Supplementary disclosure of non-cash activities: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Right-of-use assets obtained in exchange for lease obligations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ind w:left="120"/>
              <w:spacing w:after="0"/>
              <w:rPr>
                <w:sz w:val="20"/>
                <w:szCs w:val="20"/>
                <w:color w:val="auto"/>
              </w:rPr>
            </w:pPr>
            <w:r>
              <w:rPr>
                <w:rFonts w:ascii="Arial" w:cs="Arial" w:eastAsia="Arial" w:hAnsi="Arial"/>
                <w:sz w:val="18"/>
                <w:szCs w:val="18"/>
                <w:color w:val="auto"/>
              </w:rPr>
              <w:t>Issuance of common stock for services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derivative in connection with issuance of loan payable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5800" w:type="dxa"/>
            <w:vAlign w:val="bottom"/>
          </w:tcPr>
          <w:p>
            <w:pPr>
              <w:ind w:left="120"/>
              <w:spacing w:after="0" w:line="201" w:lineRule="exact"/>
              <w:rPr>
                <w:sz w:val="20"/>
                <w:szCs w:val="20"/>
                <w:color w:val="auto"/>
              </w:rPr>
            </w:pPr>
            <w:r>
              <w:rPr>
                <w:rFonts w:ascii="Arial" w:cs="Arial" w:eastAsia="Arial" w:hAnsi="Arial"/>
                <w:sz w:val="18"/>
                <w:szCs w:val="18"/>
                <w:color w:val="auto"/>
                <w:w w:val="98"/>
              </w:rPr>
              <w:t>Acquisition of property and equipment included in accounts payable and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0"/>
        </w:trPr>
        <w:tc>
          <w:tcPr>
            <w:tcW w:w="580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r>
    </w:tbl>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6" w:name="page87"/>
    <w:bookmarkEnd w:id="8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ind w:left="680" w:hanging="636"/>
        <w:spacing w:after="0"/>
        <w:tabs>
          <w:tab w:leader="none" w:pos="6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ind w:left="40" w:right="539" w:firstLine="648"/>
        <w:spacing w:after="0" w:line="308" w:lineRule="auto"/>
        <w:rPr>
          <w:sz w:val="20"/>
          <w:szCs w:val="20"/>
          <w:color w:val="auto"/>
        </w:rPr>
      </w:pPr>
      <w:r>
        <w:rPr>
          <w:rFonts w:ascii="Arial" w:cs="Arial" w:eastAsia="Arial" w:hAnsi="Arial"/>
          <w:sz w:val="17"/>
          <w:szCs w:val="17"/>
          <w:color w:val="auto"/>
        </w:rPr>
        <w:t>Ardelyx, Inc. (the “Company,” “we,” “us” or “our”) is a specialized biopharmaceutical company focused on developing first-in-class medicines to improve treatment choices for people with cardiorenal diseases.</w:t>
      </w:r>
    </w:p>
    <w:p>
      <w:pPr>
        <w:spacing w:after="0" w:line="146" w:lineRule="exact"/>
        <w:rPr>
          <w:sz w:val="20"/>
          <w:szCs w:val="20"/>
          <w:color w:val="auto"/>
        </w:rPr>
      </w:pPr>
    </w:p>
    <w:p>
      <w:pPr>
        <w:ind w:left="40" w:right="1419" w:firstLine="648"/>
        <w:spacing w:after="0" w:line="277" w:lineRule="auto"/>
        <w:rPr>
          <w:sz w:val="20"/>
          <w:szCs w:val="20"/>
          <w:color w:val="auto"/>
        </w:rPr>
      </w:pPr>
      <w:r>
        <w:rPr>
          <w:rFonts w:ascii="Arial" w:cs="Arial" w:eastAsia="Arial" w:hAnsi="Arial"/>
          <w:sz w:val="18"/>
          <w:szCs w:val="18"/>
          <w:color w:val="auto"/>
        </w:rPr>
        <w:t>The Company operates in only one business segment, which is the research and development of biopharmaceutical products.</w:t>
      </w:r>
    </w:p>
    <w:p>
      <w:pPr>
        <w:spacing w:after="0" w:line="166" w:lineRule="exact"/>
        <w:rPr>
          <w:sz w:val="20"/>
          <w:szCs w:val="20"/>
          <w:color w:val="auto"/>
        </w:rPr>
      </w:pPr>
    </w:p>
    <w:p>
      <w:pPr>
        <w:ind w:left="680" w:hanging="636"/>
        <w:spacing w:after="0"/>
        <w:tabs>
          <w:tab w:leader="none" w:pos="6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319" w:firstLine="648"/>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Prior Period Errors</w:t>
      </w:r>
    </w:p>
    <w:p>
      <w:pPr>
        <w:spacing w:after="0" w:line="225"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In connection with our review of our financial statements as of and for the six months ended June 30, 2019, we corrected errors related to the accounting for clinical trial accruals that had resulted in an overstatement of research and development expenses during the year ended December 31, 2018. Specifically, management concluded that the Company’s research and development expenses recorded during the year ended December 31, 2018 had been overstated by $3.6 million and that the Company’s accrued expenses and other current liabilities as of December 31, 2018 had been overstated by the same amount.</w:t>
      </w:r>
    </w:p>
    <w:p>
      <w:pPr>
        <w:spacing w:after="0" w:line="192" w:lineRule="exact"/>
        <w:rPr>
          <w:sz w:val="20"/>
          <w:szCs w:val="20"/>
          <w:color w:val="auto"/>
        </w:rPr>
      </w:pPr>
    </w:p>
    <w:p>
      <w:pPr>
        <w:ind w:left="40" w:right="119"/>
        <w:spacing w:after="0" w:line="291" w:lineRule="auto"/>
        <w:rPr>
          <w:sz w:val="20"/>
          <w:szCs w:val="20"/>
          <w:color w:val="auto"/>
        </w:rPr>
      </w:pPr>
      <w:r>
        <w:rPr>
          <w:rFonts w:ascii="Arial" w:cs="Arial" w:eastAsia="Arial" w:hAnsi="Arial"/>
          <w:sz w:val="16"/>
          <w:szCs w:val="16"/>
          <w:color w:val="auto"/>
        </w:rPr>
        <w:t xml:space="preserve">Management analyzed the potential impact of these errors in accordance with the U.S. Securities and Exchange Commission’s (“SEC”) Staff Accounting Bulletin No. 108, </w:t>
      </w:r>
      <w:r>
        <w:rPr>
          <w:rFonts w:ascii="Arial" w:cs="Arial" w:eastAsia="Arial" w:hAnsi="Arial"/>
          <w:sz w:val="16"/>
          <w:szCs w:val="16"/>
          <w:i w:val="1"/>
          <w:iCs w:val="1"/>
          <w:color w:val="auto"/>
        </w:rPr>
        <w:t>Considering the Effects of Prior Year Misstatements when</w:t>
      </w:r>
      <w:r>
        <w:rPr>
          <w:rFonts w:ascii="Arial" w:cs="Arial" w:eastAsia="Arial" w:hAnsi="Arial"/>
          <w:sz w:val="16"/>
          <w:szCs w:val="16"/>
          <w:color w:val="auto"/>
        </w:rPr>
        <w:t xml:space="preserve"> </w:t>
      </w:r>
      <w:r>
        <w:rPr>
          <w:rFonts w:ascii="Arial" w:cs="Arial" w:eastAsia="Arial" w:hAnsi="Arial"/>
          <w:sz w:val="16"/>
          <w:szCs w:val="16"/>
          <w:i w:val="1"/>
          <w:iCs w:val="1"/>
          <w:color w:val="auto"/>
        </w:rPr>
        <w:t>Quantifying Misstatements in Current Year Financial Statements</w:t>
      </w:r>
      <w:r>
        <w:rPr>
          <w:rFonts w:ascii="Arial" w:cs="Arial" w:eastAsia="Arial" w:hAnsi="Arial"/>
          <w:sz w:val="16"/>
          <w:szCs w:val="16"/>
          <w:color w:val="auto"/>
        </w:rPr>
        <w:t>, and concluded that while the errors were significant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financial statements as of and for the six months ended June 30, 2019, a correction of the errors would not have been material to the full year results for 2019 and 2018 nor affect the trend of financial results. Accordingly, the Company reduced accrued and other liabilities by $3.6 million and recorded a cumulative adjustment of $3.6 million in the statement of operations and comprehensive loss to reduce research and development expenses in 2019.</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99" w:firstLine="648"/>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judgments that affect the amounts reported in the financial statements and accompanying notes. On an ongoing basis, management evaluates its estimates, including those related to recognition of revenue, clinical trial accruals, contract manufacturing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40" w:right="179" w:firstLine="648"/>
        <w:spacing w:after="0" w:line="301" w:lineRule="auto"/>
        <w:rPr>
          <w:sz w:val="20"/>
          <w:szCs w:val="20"/>
          <w:color w:val="auto"/>
        </w:rPr>
      </w:pPr>
      <w:r>
        <w:rPr>
          <w:rFonts w:ascii="Arial" w:cs="Arial" w:eastAsia="Arial" w:hAnsi="Arial"/>
          <w:sz w:val="16"/>
          <w:szCs w:val="16"/>
          <w:color w:val="auto"/>
        </w:rPr>
        <w:t>As of December 31, 2019, the Company had cash and cash equivalents and short-term investments of approximately $247.5 million, which include net proceeds of approximately $134.9 million and approximately $20.0 million received in connection with the 2019 Offering and the Private Placement, respectively, as defined and discussed in Note 7. We believe our current available cash, cash equivalents and short-term investments will be sufficient to fund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color w:val="auto"/>
        </w:rPr>
        <w:t>our planned expenditures and meet the Company’s obligations for at least 12 months following March 6, 2020, which is the date that the financial statements are being issued.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40" w:right="219" w:firstLine="648"/>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date of 90 days or less on the date of purchase to be cash equivalents.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Short-term investments consist of debt securities classified as available-for-sale and have maturities greater than 90 days, but less than one year, from the date of acquisition. Short-term investments are carried at fair value based upon quoted market prices. Unrealized gains and losses on available-for-sale securities are excluded from earnings and are reported as a component of accumulated other comprehensive loss. The cost of available-for-sale securities sold is based on the specific-identification method.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40" w:right="419" w:firstLine="648"/>
        <w:spacing w:after="0" w:line="301"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primarily of cash, cash equivalents, short-term investments and accounts receivable. The Company is exposed to credit risks in the event of default by the counterparties to the extent of the amount recorded in its balance sheet. Cash, cash equivalents and short-term investments are invested through banks and other financial institutions in the United States.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An allowance for doubtful accounts will be recorded based on a combination of historical experience, aging analysis, and information on specific accounts. Account balances will be written off against the allowance after all means of collection have been exhausted and the potential for recovery is considered remote. No provision was made for doubtful accounts as of December 31, 2019, 2018 and 2017.</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 and Forward Contracts</w:t>
      </w:r>
    </w:p>
    <w:p>
      <w:pPr>
        <w:spacing w:after="0" w:line="144" w:lineRule="exact"/>
        <w:rPr>
          <w:sz w:val="20"/>
          <w:szCs w:val="20"/>
          <w:color w:val="auto"/>
        </w:rPr>
      </w:pPr>
    </w:p>
    <w:p>
      <w:pPr>
        <w:jc w:val="both"/>
        <w:ind w:left="40" w:right="59" w:firstLine="648"/>
        <w:spacing w:after="0" w:line="220" w:lineRule="auto"/>
        <w:rPr>
          <w:sz w:val="20"/>
          <w:szCs w:val="20"/>
          <w:color w:val="auto"/>
        </w:rPr>
      </w:pPr>
      <w:r>
        <w:rPr>
          <w:rFonts w:ascii="Arial" w:cs="Arial" w:eastAsia="Arial" w:hAnsi="Arial"/>
          <w:sz w:val="17"/>
          <w:szCs w:val="17"/>
          <w:color w:val="auto"/>
        </w:rPr>
        <w:t>The Company manages its foreign currency exposures with the use of foreign currency purchases as well as currency spot and forward contracts. The Company primarily conducts its business in U.S. dollars; however, a portion of the Company’s expense and capital activities are transacted in foreign currencies which are subject to exchange rate fluctuations that can affect cash or earnings. The Company has been in a loss position and therefore its primary objective is to conserve and manage cash. There are generally two methods by which the Company manages the cash flow risk of foreign exchange fluctuations when a contract is signed (i) it can purchase the foreign funds, in full or in part, upon the execution of the contract, or (ii) it can obtain the right to purchase such funds, in full or in part, at the execution of the contract, i.e., obtain a forward contract from an appropriate bank, that can be exercised to obtain the currency of interest at a particular point in time. The derivative instruments that the Company uses to hedge the exposure shall generally not be designated as cash flow hedges, and as a result, changes in their fair value will be recorded in other income (expense), net, in the Company's statements of operations and comprehensive loss. The fair values of forward foreign currency exchange contracts are estimated using current exchange rates and interest rates and the current creditworthiness of the counterparties is taken into consideration.</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using the straight-line method over the estimated useful lives of the respective assets, with ranges generally from three to five years. Leasehold improvements are amortized over the lesser of the estimated useful lives or the related remaining lease term.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8" w:name="page89"/>
    <w:bookmarkEnd w:id="8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The carrying value of long-lived assets, including property and equipment, are reviewed for impairment whenever events or changes in circumstances indicate that the asset may not be recoverable. An impairment loss is recognized when the total of estimated future undiscounted cash flows, expected to result from the use of the asset and its eventual disposition, are less than the asset’s carrying amount. Impairment, if any, would be assessed using discounted cash flows or other appropriate measures of fair value. For the years ending December 31, 2019, 2018 and 2017 there have been no impairment losses.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The Company uses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A valuation allowance is provided when it is more likely than not that some portion or all of a deferred tax asset will not be realized.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 xml:space="preserve">On January 1, 2018 the Company adopted the Financial Accounting Standards Board’s (“FASB”) Accounting Standards Update (“ASU”) No. 2014-09, </w:t>
      </w:r>
      <w:r>
        <w:rPr>
          <w:rFonts w:ascii="Arial" w:cs="Arial" w:eastAsia="Arial" w:hAnsi="Arial"/>
          <w:sz w:val="17"/>
          <w:szCs w:val="17"/>
          <w:i w:val="1"/>
          <w:iCs w:val="1"/>
          <w:color w:val="auto"/>
        </w:rPr>
        <w:t>Revenue from Contracts with Customers (Topic 606) and related amendments</w:t>
      </w:r>
      <w:r>
        <w:rPr>
          <w:rFonts w:ascii="Arial" w:cs="Arial" w:eastAsia="Arial" w:hAnsi="Arial"/>
          <w:sz w:val="17"/>
          <w:szCs w:val="17"/>
          <w:color w:val="auto"/>
        </w:rPr>
        <w:t xml:space="preserve"> (“ASC 606”), on a modified retrospective basis, which resulted in an adjustment to the opening accumulated deficit balance on the adoption date. As a result of the adoption of the new standard, on January 1, 2018, the Company recorded the following: (i) unbilled revenue under current assets of $5.0 million representing a future receivable related to the first milestone under the Company’s license agreement with Kyowa Kirin Co., Ltd. (formerly known as Kyowa Hakko Kirin Co., Ltd, or KHK) (“KKC”), which was subsequently achieved by KKC and collected in February 2019, thereby reducing the unbilled revenue balance to zero, (ii) uncharged license fees under current liabilities of $1.0 million representing the corresponding future payable related to AstraZeneca AB, or AstraZeneca, in accordance with the Company’s termination agreement with AstraZeneca, which, upon KKC achieving the milestone, was reclassified to accounts payable and subsequently paid to AstraZeneca during the second quarter of 2019, and (iii) a related decrease in accumulated deficit of approximately $4.0 million as the new standard permitted revenue from milestones that possess certain criteria to be recognized earlier and also contained different recognition criteria related to milestones than under the previous accounting standard.</w:t>
      </w:r>
    </w:p>
    <w:p>
      <w:pPr>
        <w:spacing w:after="0" w:line="184" w:lineRule="exact"/>
        <w:rPr>
          <w:sz w:val="20"/>
          <w:szCs w:val="20"/>
          <w:color w:val="auto"/>
        </w:rPr>
      </w:pPr>
    </w:p>
    <w:p>
      <w:pPr>
        <w:ind w:left="40" w:right="79" w:firstLine="648"/>
        <w:spacing w:after="0" w:line="291" w:lineRule="auto"/>
        <w:rPr>
          <w:sz w:val="20"/>
          <w:szCs w:val="20"/>
          <w:color w:val="auto"/>
        </w:rPr>
      </w:pPr>
      <w:r>
        <w:rPr>
          <w:rFonts w:ascii="Arial" w:cs="Arial" w:eastAsia="Arial" w:hAnsi="Arial"/>
          <w:sz w:val="16"/>
          <w:szCs w:val="16"/>
          <w:color w:val="auto"/>
        </w:rPr>
        <w:t>The Company generates revenue primarily from research and collaboration and license agreements with customers. Goods and services in the agreements may include the grant of licenses for the use of the Company’s technology, the provision of services associated with the research and development of product candidates, manufacturing services, and participation in joint steering committees. The terms of these arrangements typically include payment to the Company of one or more of the following: non-refundable, up-front license fees; research, development, regulatory and commercial milestone payments; reimbursement of research and development services; option payments; reimbursement of certain costs; payments for manufacturing supply services; and future royalties on net sales of licensed products.</w:t>
      </w:r>
    </w:p>
    <w:p>
      <w:pPr>
        <w:spacing w:after="0" w:line="166" w:lineRule="exact"/>
        <w:rPr>
          <w:sz w:val="20"/>
          <w:szCs w:val="20"/>
          <w:color w:val="auto"/>
        </w:rPr>
      </w:pPr>
    </w:p>
    <w:p>
      <w:pPr>
        <w:ind w:left="40" w:right="179" w:firstLine="648"/>
        <w:spacing w:after="0" w:line="293" w:lineRule="auto"/>
        <w:rPr>
          <w:sz w:val="20"/>
          <w:szCs w:val="20"/>
          <w:color w:val="auto"/>
        </w:rPr>
      </w:pPr>
      <w:r>
        <w:rPr>
          <w:rFonts w:ascii="Arial" w:cs="Arial" w:eastAsia="Arial" w:hAnsi="Arial"/>
          <w:sz w:val="16"/>
          <w:szCs w:val="16"/>
          <w:color w:val="auto"/>
        </w:rPr>
        <w:t>When two or more contracts are entered into with the same customer at or near the same time, the Company evaluates the contracts to determine whether the contracts should be accounted for as a single arrangement. Contracts are combined and accounted for as a single arrangement if one or more of the following criteria are met: (i) the contracts are negotiated as a package with a single commercial objective; (ii) the amount of consideration to be paid in one contract depends on the price or performance of the other contract; or (iii) the goods or services promised in the contracts (or some goods or services promised in each of the contracts) are a single performance obligation.</w:t>
      </w:r>
    </w:p>
    <w:p>
      <w:pPr>
        <w:spacing w:after="0" w:line="164" w:lineRule="exact"/>
        <w:rPr>
          <w:sz w:val="20"/>
          <w:szCs w:val="20"/>
          <w:color w:val="auto"/>
        </w:rPr>
      </w:pPr>
    </w:p>
    <w:p>
      <w:pPr>
        <w:ind w:left="40" w:right="59" w:firstLine="648"/>
        <w:spacing w:after="0" w:line="301" w:lineRule="auto"/>
        <w:rPr>
          <w:sz w:val="20"/>
          <w:szCs w:val="20"/>
          <w:color w:val="auto"/>
        </w:rPr>
      </w:pPr>
      <w:r>
        <w:rPr>
          <w:rFonts w:ascii="Arial" w:cs="Arial" w:eastAsia="Arial" w:hAnsi="Arial"/>
          <w:sz w:val="16"/>
          <w:szCs w:val="16"/>
          <w:color w:val="auto"/>
        </w:rPr>
        <w:t>In determining the appropriate amount of revenue to be recognized as the Company fulfills its obligations under each of its agreements, management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constraints on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9" w:name="page90"/>
    <w:bookmarkEnd w:id="8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variable consideration; (iv) allocation of the transaction price to the performance obligations; and (v) recognition of revenue when (or as) the Company satisfies each performance obligation. As part of the accounting for contracts with customers, the Company develops assumptions that require judgment to determine whether promised goods and services represent distinct performance obligations and the standalone selling price for each performance obligation identified in the contract. This evaluation is subjective and requires the Company to make judgments about the promised goods and services and whether those goods and services are separable from other aspects of the contract. Further, determining the standalone selling price for performance obligations requires significant judgment, and when an observable price of a promised good or service is not readily available, the Company considers relevant assumptions to estimate the standalone selling price, including, as applicable, market conditions, development timelines, probabilities of technical and regulatory success, reimbursement rates for personnel costs, forecasted revenues, potential limitations to the selling price of the product and discount rates.</w:t>
      </w:r>
    </w:p>
    <w:p>
      <w:pPr>
        <w:spacing w:after="0" w:line="182" w:lineRule="exact"/>
        <w:rPr>
          <w:sz w:val="20"/>
          <w:szCs w:val="20"/>
          <w:color w:val="auto"/>
        </w:rPr>
      </w:pPr>
    </w:p>
    <w:p>
      <w:pPr>
        <w:ind w:left="40" w:right="159" w:firstLine="648"/>
        <w:spacing w:after="0" w:line="288" w:lineRule="auto"/>
        <w:rPr>
          <w:sz w:val="20"/>
          <w:szCs w:val="20"/>
          <w:color w:val="auto"/>
        </w:rPr>
      </w:pPr>
      <w:r>
        <w:rPr>
          <w:rFonts w:ascii="Arial" w:cs="Arial" w:eastAsia="Arial" w:hAnsi="Arial"/>
          <w:sz w:val="16"/>
          <w:szCs w:val="16"/>
          <w:color w:val="auto"/>
        </w:rPr>
        <w:t>The Company applies judgment in determining whether a combined performance obligation is satisfied at a point in time or over time, and, if over time, concluding upon the appropriate method of measuring progress to be applied for purposes of recognizing revenue. The Company evaluates the measure of progress each reporting period and, as estimates related to the measure of progress change, related revenue recognition is adjusted accordingly. Changes in the Company’s estimated measure of progress are accounted for prospectively as a change in accounting estimate. The Company recognizes collaboration revenue by measuring the progress toward complete satisfaction of the performance obligation using an input measure. In order to recognize revenue over the research and development period, the Company measures actual costs incurred to date compared to the overall total expected costs to satisfy the performance obligation. Revenues are recognized as the program costs are incurred. The Company will re-evaluate the estimate of expected costs to satisfy the performance obligation each reporting period and make adjustments for any significant changes.</w:t>
      </w:r>
    </w:p>
    <w:p>
      <w:pPr>
        <w:spacing w:after="0" w:line="168"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8"/>
          <w:szCs w:val="18"/>
          <w:color w:val="auto"/>
        </w:rPr>
        <w:t>Amounts received prior to satisfying the revenue recognition criteria are recorded as contract liabilities in the Company’s balance sheets. If the related performance obligation is expected to be satisfied within the next twelve months this will be classified in current liabilities. Amounts recognized as revenue prior to receipt are recorded as contract assets in the Company's balance sheets. If the Company expects to have an unconditional right to receive the consideration in the next twelve months, this will be classified in current assets. A net contract asset or liability is presented for each contract with a customer.</w:t>
      </w:r>
    </w:p>
    <w:p>
      <w:pPr>
        <w:spacing w:after="0" w:line="192" w:lineRule="exact"/>
        <w:rPr>
          <w:sz w:val="20"/>
          <w:szCs w:val="20"/>
          <w:color w:val="auto"/>
        </w:rPr>
      </w:pPr>
    </w:p>
    <w:p>
      <w:pPr>
        <w:ind w:left="40" w:right="159" w:firstLine="648"/>
        <w:spacing w:after="0" w:line="287"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milestone payments,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evaluates whether the milestones are considered probable of being reached and estimates the amount to be included in the transaction price using the most likely amount method.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constraints, and if necessary, adjusts its estimate of the overall transaction price. Any such adjustments are recorded on a cumulative catch-up basis, which would affect earnings in the period of adjustment.</w:t>
      </w:r>
    </w:p>
    <w:p>
      <w:pPr>
        <w:spacing w:after="0" w:line="168" w:lineRule="exact"/>
        <w:rPr>
          <w:sz w:val="20"/>
          <w:szCs w:val="20"/>
          <w:color w:val="auto"/>
        </w:rPr>
      </w:pPr>
    </w:p>
    <w:p>
      <w:pPr>
        <w:ind w:left="40" w:right="199" w:firstLine="648"/>
        <w:spacing w:after="0" w:line="255"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for either clinical development or commercial supply at the customer’s discretion are generally considered as options. The Company assess if these options provide a material right to the licensee and if so, they are accounted for as separate performance obligations. If the Company is entitled to additional payments when the customer exercises these options, any payments are recorded in other revenues when the customer obtains control of the goods, which is upon delivery.</w:t>
      </w:r>
    </w:p>
    <w:p>
      <w:pPr>
        <w:spacing w:after="0" w:line="192" w:lineRule="exact"/>
        <w:rPr>
          <w:sz w:val="20"/>
          <w:szCs w:val="20"/>
          <w:color w:val="auto"/>
        </w:rPr>
      </w:pPr>
    </w:p>
    <w:p>
      <w:pPr>
        <w:ind w:left="40" w:right="79" w:firstLine="648"/>
        <w:spacing w:after="0" w:line="311" w:lineRule="auto"/>
        <w:rPr>
          <w:sz w:val="20"/>
          <w:szCs w:val="20"/>
          <w:color w:val="auto"/>
        </w:rPr>
      </w:pPr>
      <w:r>
        <w:rPr>
          <w:rFonts w:ascii="Arial" w:cs="Arial" w:eastAsia="Arial" w:hAnsi="Arial"/>
          <w:sz w:val="16"/>
          <w:szCs w:val="16"/>
          <w:i w:val="1"/>
          <w:iCs w:val="1"/>
          <w:color w:val="auto"/>
        </w:rPr>
        <w:t xml:space="preserve">Royalties: </w:t>
      </w:r>
      <w:r>
        <w:rPr>
          <w:rFonts w:ascii="Arial" w:cs="Arial" w:eastAsia="Arial" w:hAnsi="Arial"/>
          <w:sz w:val="16"/>
          <w:szCs w:val="16"/>
          <w:color w:val="auto"/>
        </w:rPr>
        <w:t>For arrangements that include sales-based royalties, including milestone payments based on the level of</w:t>
      </w:r>
      <w:r>
        <w:rPr>
          <w:rFonts w:ascii="Arial" w:cs="Arial" w:eastAsia="Arial" w:hAnsi="Arial"/>
          <w:sz w:val="16"/>
          <w:szCs w:val="16"/>
          <w:i w:val="1"/>
          <w:iCs w:val="1"/>
          <w:color w:val="auto"/>
        </w:rPr>
        <w:t xml:space="preserve"> </w:t>
      </w:r>
      <w:r>
        <w:rPr>
          <w:rFonts w:ascii="Arial" w:cs="Arial" w:eastAsia="Arial" w:hAnsi="Arial"/>
          <w:sz w:val="16"/>
          <w:szCs w:val="16"/>
          <w:color w:val="auto"/>
        </w:rPr>
        <w:t>sales, and where the license is deemed to be the predominant item to which the royalties relate, the Company recognizes revenue at the later of (i) when the related sales occur, or (ii) when the performance obligation to which some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0" w:name="page91"/>
    <w:bookmarkEnd w:id="9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color w:val="auto"/>
        </w:rPr>
        <w:t>or all of the royalty has been allocated has been satisfied (or partially satisfied). To date, the Company has not recognized any royalty revenue resulting from any of its licensing arrangements.</w:t>
      </w:r>
    </w:p>
    <w:p>
      <w:pPr>
        <w:spacing w:after="0" w:line="170" w:lineRule="exact"/>
        <w:rPr>
          <w:sz w:val="20"/>
          <w:szCs w:val="20"/>
          <w:color w:val="auto"/>
        </w:rPr>
      </w:pPr>
    </w:p>
    <w:p>
      <w:pPr>
        <w:ind w:left="40" w:right="119" w:firstLine="648"/>
        <w:spacing w:after="0" w:line="291"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If a license granted to a customer to use the Company’s intellectual property is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to be distinct from the other performance obligations identified in the arrangement, the Company recognizes revenue from consideration allocated to the license when the license is transferred to the licensee and the licensee is able to use and benefit from the license. For licenses that are bundled with other promises, the Company applies judgment to assess the nature of the combined performance obligation to determine whether the combined performance obligation is satisfied over time or at a point in time and, if over time, to conclude upon the appropriate method of measuring progress for purposes of recognizing revenue related to consideration allocated to the performance obligation.</w:t>
      </w:r>
    </w:p>
    <w:p>
      <w:pPr>
        <w:spacing w:after="0" w:line="166"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Customer options, such as options granted to allow a licensee to choose to research, develop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commercialize licensed compounds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82"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i w:val="1"/>
          <w:iCs w:val="1"/>
          <w:color w:val="auto"/>
        </w:rPr>
        <w:t xml:space="preserve">Contract costs: </w:t>
      </w:r>
      <w:r>
        <w:rPr>
          <w:rFonts w:ascii="Arial" w:cs="Arial" w:eastAsia="Arial" w:hAnsi="Arial"/>
          <w:sz w:val="18"/>
          <w:szCs w:val="18"/>
          <w:color w:val="auto"/>
        </w:rPr>
        <w:t>The Company recognizes as an asset the incremental costs of obtaining a contract with a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if the costs are expected to be recovered. The Company has elected a practical expedient wherein it recognizes the incremental costs of obtaining a contract as an expense when incurred if the amortization period of the asset that it otherwise would have recognized is one year or less. To date, the Company has not incurred any material incremental costs of obtaining a contract with a customer.</w:t>
      </w:r>
    </w:p>
    <w:p>
      <w:pPr>
        <w:spacing w:after="0" w:line="188" w:lineRule="exact"/>
        <w:rPr>
          <w:sz w:val="20"/>
          <w:szCs w:val="20"/>
          <w:color w:val="auto"/>
        </w:rPr>
      </w:pPr>
    </w:p>
    <w:p>
      <w:pPr>
        <w:ind w:left="40" w:right="99" w:firstLine="648"/>
        <w:spacing w:after="0" w:line="286" w:lineRule="auto"/>
        <w:rPr>
          <w:sz w:val="20"/>
          <w:szCs w:val="20"/>
          <w:color w:val="auto"/>
        </w:rPr>
      </w:pPr>
      <w:r>
        <w:rPr>
          <w:rFonts w:ascii="Arial" w:cs="Arial" w:eastAsia="Arial" w:hAnsi="Arial"/>
          <w:sz w:val="16"/>
          <w:szCs w:val="16"/>
          <w:i w:val="1"/>
          <w:iCs w:val="1"/>
          <w:color w:val="auto"/>
        </w:rPr>
        <w:t xml:space="preserve">Contract modifications: </w:t>
      </w:r>
      <w:r>
        <w:rPr>
          <w:rFonts w:ascii="Arial" w:cs="Arial" w:eastAsia="Arial" w:hAnsi="Arial"/>
          <w:sz w:val="16"/>
          <w:szCs w:val="16"/>
          <w:color w:val="auto"/>
        </w:rPr>
        <w:t>Contract modifications, defined as changes in the scope or price (or both) of a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approved by the parties to the contract, such as a contract amendment, exist when the parties to a contract approve a modification that either creates new or changes existing enforceable rights and obligations of the parties to the contract. Depending on facts and circumstances, the Company accounts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goods or services that are distinct and the price of the contract increases by an amount of consideration that reflects the Company’s standalone selling prices of the additional promised goods or services. When a contract modification is not considered a separate contract and the remaining goods or services are distinct from the goods or services transferred on or before the date of the contract modification, the Company accounts for the contract modification as a termination of the existing contract and a creation of a new contract. When a contract modification is not considered a separate contract and the remaining goods or services are not distinct, the Company accounts for the contract modification as an add-on to the existing contract and as an adjustment to revenue on a cumulative catch-up basis.</w:t>
      </w:r>
    </w:p>
    <w:p>
      <w:pPr>
        <w:spacing w:after="0" w:line="174" w:lineRule="exact"/>
        <w:rPr>
          <w:sz w:val="20"/>
          <w:szCs w:val="20"/>
          <w:color w:val="auto"/>
        </w:rPr>
      </w:pPr>
    </w:p>
    <w:p>
      <w:pPr>
        <w:ind w:left="40" w:right="79" w:firstLine="648"/>
        <w:spacing w:after="0" w:line="293" w:lineRule="auto"/>
        <w:rPr>
          <w:sz w:val="20"/>
          <w:szCs w:val="20"/>
          <w:color w:val="auto"/>
        </w:rPr>
      </w:pPr>
      <w:r>
        <w:rPr>
          <w:rFonts w:ascii="Arial" w:cs="Arial" w:eastAsia="Arial" w:hAnsi="Arial"/>
          <w:sz w:val="16"/>
          <w:szCs w:val="16"/>
          <w:color w:val="auto"/>
        </w:rPr>
        <w:t>The Company receives payments from its licensees as established in each contract. Upfront payments and fees are recorded as deferred revenue upon receipt or when due and may require deferral of revenue recognition to a future period until the Company performs its obligations under these arrangements. Where applicable, amounts are recorded as unbilled revenue when the Company’s right to consideration is unconditional. The Company does not assess whether a contract with a customer has a significant financing component if the expectation at contract inception is such that the period between payment by the licensees and the transfer of the promised goods or services to the licensees will be one year or less.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1" w:name="page92"/>
    <w:bookmarkEnd w:id="9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40" w:right="279" w:firstLine="648"/>
        <w:spacing w:after="0" w:line="293" w:lineRule="auto"/>
        <w:rPr>
          <w:sz w:val="20"/>
          <w:szCs w:val="20"/>
          <w:color w:val="auto"/>
        </w:rPr>
      </w:pPr>
      <w:r>
        <w:rPr>
          <w:rFonts w:ascii="Arial" w:cs="Arial" w:eastAsia="Arial" w:hAnsi="Arial"/>
          <w:sz w:val="16"/>
          <w:szCs w:val="16"/>
          <w:color w:val="auto"/>
        </w:rPr>
        <w:t>Research and development costs are charged to expense as incurred and consist of costs incurred to further the Company’s research and development activities and include salaries and related employee benefits, costs associated with clinical trials, costs related to pre-commercialization manufacturing activities such as manufacturing process validation activities and the manufacturing of clinical drug supply, nonclinical research and development activities, regulatory activities, research-related overhead expenses and fees paid to external service providers and contract research and manufacturing organizations that conduct certain research and development activities on behalf of the Company.</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7"/>
          <w:szCs w:val="17"/>
          <w:color w:val="auto"/>
        </w:rPr>
        <w:t>The Company is required to estimate its accrued expenses at the end of each reporting period. This process involves reviewing open contracts and purchase orders, communicating with Company personnel to identify services that have been performed on the Company’s behalf and estimating the level of service performed and the associated cost incurred for the service when the Company has not yet been invoiced or otherwise notified of the actual costs. The majority of the Company’s service providers submit invoices in arrears for services performed or when contractual milestones are met. The Company makes estimates of its accrued expenses as of each balance sheet date in the financial statements based on facts and circumstances known to the Company at that time. The Company periodically confirms the accuracy of its estimates with the service providers and makes adjustments if necessary. Examples of estimated accrued research and development expenses include fees paid to:</w:t>
      </w:r>
    </w:p>
    <w:p>
      <w:pPr>
        <w:spacing w:after="0" w:line="181" w:lineRule="exact"/>
        <w:rPr>
          <w:sz w:val="20"/>
          <w:szCs w:val="20"/>
          <w:color w:val="auto"/>
        </w:rPr>
      </w:pPr>
    </w:p>
    <w:p>
      <w:pPr>
        <w:ind w:left="700" w:hanging="332"/>
        <w:spacing w:after="0"/>
        <w:tabs>
          <w:tab w:leader="none" w:pos="70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contract research organizations, or CROs, in connection with clinical studies;</w:t>
      </w:r>
    </w:p>
    <w:p>
      <w:pPr>
        <w:spacing w:after="0" w:line="225" w:lineRule="exact"/>
        <w:rPr>
          <w:rFonts w:ascii="Arial" w:cs="Arial" w:eastAsia="Arial" w:hAnsi="Arial"/>
          <w:sz w:val="18"/>
          <w:szCs w:val="18"/>
          <w:color w:val="231F20"/>
        </w:rPr>
      </w:pPr>
    </w:p>
    <w:p>
      <w:pPr>
        <w:ind w:left="700" w:hanging="332"/>
        <w:spacing w:after="0"/>
        <w:tabs>
          <w:tab w:leader="none" w:pos="70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investigative sites in connection with clinical studies;</w:t>
      </w:r>
    </w:p>
    <w:p>
      <w:pPr>
        <w:spacing w:after="0" w:line="225" w:lineRule="exact"/>
        <w:rPr>
          <w:rFonts w:ascii="Arial" w:cs="Arial" w:eastAsia="Arial" w:hAnsi="Arial"/>
          <w:sz w:val="18"/>
          <w:szCs w:val="18"/>
          <w:color w:val="231F20"/>
        </w:rPr>
      </w:pPr>
    </w:p>
    <w:p>
      <w:pPr>
        <w:ind w:left="700" w:hanging="332"/>
        <w:spacing w:after="0"/>
        <w:tabs>
          <w:tab w:leader="none" w:pos="70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vendors related to product manufacturing, development and distribution of clinical supplies; and</w:t>
      </w:r>
    </w:p>
    <w:p>
      <w:pPr>
        <w:spacing w:after="0" w:line="225" w:lineRule="exact"/>
        <w:rPr>
          <w:rFonts w:ascii="Arial" w:cs="Arial" w:eastAsia="Arial" w:hAnsi="Arial"/>
          <w:sz w:val="18"/>
          <w:szCs w:val="18"/>
          <w:color w:val="231F20"/>
        </w:rPr>
      </w:pPr>
    </w:p>
    <w:p>
      <w:pPr>
        <w:ind w:left="700" w:hanging="332"/>
        <w:spacing w:after="0"/>
        <w:tabs>
          <w:tab w:leader="none" w:pos="70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vendors in connection with preclinical development activities.</w:t>
      </w:r>
    </w:p>
    <w:p>
      <w:pPr>
        <w:spacing w:after="0" w:line="225" w:lineRule="exact"/>
        <w:rPr>
          <w:sz w:val="20"/>
          <w:szCs w:val="20"/>
          <w:color w:val="auto"/>
        </w:rPr>
      </w:pPr>
    </w:p>
    <w:p>
      <w:pPr>
        <w:ind w:left="40" w:right="179" w:firstLine="648"/>
        <w:spacing w:after="0" w:line="288" w:lineRule="auto"/>
        <w:rPr>
          <w:sz w:val="20"/>
          <w:szCs w:val="20"/>
          <w:color w:val="auto"/>
        </w:rPr>
      </w:pPr>
      <w:r>
        <w:rPr>
          <w:rFonts w:ascii="Arial" w:cs="Arial" w:eastAsia="Arial" w:hAnsi="Arial"/>
          <w:sz w:val="16"/>
          <w:szCs w:val="16"/>
          <w:color w:val="auto"/>
        </w:rPr>
        <w:t>The Company records expenses related to clinical studies and manufacturing development activities based on its estimates of the services received and efforts expended pursuant to contracts with multiple CROs and manufacturing vendors that conduct and manage these activities on the Company’s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trial milestones. In accruing service fees, the Company estimates the time period over which services will be performed, enrollment of subjects, number of sites activated and the level of effort to be expended in each period. If the actual timing of the performance of services or the level of effort varies from the Company’s estimate, the Company will adjust the accrued or prepaid expense balance accordingly.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0" w:right="59" w:firstLine="648"/>
        <w:spacing w:after="0" w:line="288" w:lineRule="auto"/>
        <w:rPr>
          <w:sz w:val="20"/>
          <w:szCs w:val="20"/>
          <w:color w:val="auto"/>
        </w:rPr>
      </w:pPr>
      <w:r>
        <w:rPr>
          <w:rFonts w:ascii="Arial" w:cs="Arial" w:eastAsia="Arial" w:hAnsi="Arial"/>
          <w:sz w:val="16"/>
          <w:szCs w:val="16"/>
          <w:color w:val="auto"/>
        </w:rPr>
        <w:t>The Company recognizes compensation expense for all stock-based payment awards made to employees, nonemployees and directors based on estimated fair values. For employee and nonemployee stock options, the Company determines the grant date fair value of the awards using the Black-Scholes option-pricing model and generally recognizes the fair value as stock-based compensation expense on a straight-line basis over the vesting period of the respective awards. For restricted stock and performance-based restricted stock, to the extent they are probable, the compensation cost for these awards is based on the closing price of the Company’s common stock on the date of grant and recognized as compensation expense on a straight-line basis over the requisite service period. Stock-based compensation expense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2" w:name="page93"/>
    <w:bookmarkEnd w:id="9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Derivatives and Hedging Activities</w:t>
      </w:r>
    </w:p>
    <w:p>
      <w:pPr>
        <w:spacing w:after="0" w:line="225" w:lineRule="exact"/>
        <w:rPr>
          <w:sz w:val="20"/>
          <w:szCs w:val="20"/>
          <w:color w:val="auto"/>
        </w:rPr>
      </w:pPr>
    </w:p>
    <w:p>
      <w:pPr>
        <w:ind w:left="40" w:right="159" w:firstLine="648"/>
        <w:spacing w:after="0" w:line="263" w:lineRule="auto"/>
        <w:rPr>
          <w:sz w:val="20"/>
          <w:szCs w:val="20"/>
          <w:color w:val="auto"/>
        </w:rPr>
      </w:pPr>
      <w:r>
        <w:rPr>
          <w:rFonts w:ascii="Arial" w:cs="Arial" w:eastAsia="Arial" w:hAnsi="Arial"/>
          <w:sz w:val="18"/>
          <w:szCs w:val="18"/>
          <w:color w:val="auto"/>
        </w:rPr>
        <w:t>The Company accounts for its derivative instruments as either assets or liabilities on the balance sheet and measures them at fair value. Derivatives are adjusted to fair value through other income (expense), net in the statements of operations and comprehensive loss.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The Company determines if an arrangement is a lease at the inception of the arrangement. Operating leases are included in right-of-use assets, current portion of operating lease liability, and operating lease liability, net of current portion in our balance sheets. Right-of-use assets represent the Company’s right to use an underlying asset for the lease term and lease liabilities represent our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and exclude lease incentives. The Company’s lease terms may include options to extend or terminate the lease when it is reasonably certain that the Company will exercise any such options. Lease expense is recognized on a straight-line basis over the expected lease term. The Company has elected not to separate lease and non-lease components, such as common area maintenance charges, and instead it accounts for these as a single lease component.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ind w:left="40" w:right="499" w:firstLine="648"/>
        <w:spacing w:after="0" w:line="263" w:lineRule="auto"/>
        <w:rPr>
          <w:sz w:val="20"/>
          <w:szCs w:val="20"/>
          <w:color w:val="auto"/>
        </w:rPr>
      </w:pPr>
      <w:r>
        <w:rPr>
          <w:rFonts w:ascii="Arial" w:cs="Arial" w:eastAsia="Arial" w:hAnsi="Arial"/>
          <w:sz w:val="18"/>
          <w:szCs w:val="18"/>
          <w:color w:val="auto"/>
        </w:rPr>
        <w:t>Comprehensive loss is composed of two components: net loss and other comprehensive income (loss). Other comprehensive income (loss) refers to gains and losses that are recorded as an element of stockholders’ equity but are excluded from net loss.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left="40" w:right="479" w:firstLine="648"/>
        <w:spacing w:after="0" w:line="279" w:lineRule="auto"/>
        <w:rPr>
          <w:sz w:val="20"/>
          <w:szCs w:val="20"/>
          <w:color w:val="auto"/>
        </w:rPr>
      </w:pPr>
      <w:r>
        <w:rPr>
          <w:rFonts w:ascii="Arial" w:cs="Arial" w:eastAsia="Arial" w:hAnsi="Arial"/>
          <w:sz w:val="17"/>
          <w:szCs w:val="17"/>
          <w:color w:val="auto"/>
        </w:rPr>
        <w:t>Basic net loss per common share is calculated by dividing the net loss by the weighted-average number of common shares outstanding during the period, without consideration of potential common shares. Diluted net loss per common share in the periods presented is the same as basic net loss per common share, since the effects of potentially dilutive securities are antidilutive due to the net loss for all periods presented.</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New Accounting Pronouncements - Recently Adopted</w:t>
      </w:r>
    </w:p>
    <w:p>
      <w:pPr>
        <w:spacing w:after="0" w:line="225"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7"/>
          <w:szCs w:val="17"/>
          <w:color w:val="auto"/>
        </w:rPr>
        <w:t xml:space="preserve">On January 1, 2019, the Company adopted the FASB’s Accounting Standards Update (“ASU”), No. 2018-07,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which simplifies the accounting for share-based payments to non-employees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aligning it with the accounting guidance for share-based payments for employees. This ASU expands the scope of </w:t>
      </w:r>
      <w:r>
        <w:rPr>
          <w:rFonts w:ascii="Arial" w:cs="Arial" w:eastAsia="Arial" w:hAnsi="Arial"/>
          <w:sz w:val="17"/>
          <w:szCs w:val="17"/>
          <w:i w:val="1"/>
          <w:iCs w:val="1"/>
          <w:color w:val="auto"/>
        </w:rPr>
        <w:t>Topic</w:t>
      </w:r>
      <w:r>
        <w:rPr>
          <w:rFonts w:ascii="Arial" w:cs="Arial" w:eastAsia="Arial" w:hAnsi="Arial"/>
          <w:sz w:val="17"/>
          <w:szCs w:val="17"/>
          <w:color w:val="auto"/>
        </w:rPr>
        <w:t xml:space="preserve"> </w:t>
      </w:r>
      <w:r>
        <w:rPr>
          <w:rFonts w:ascii="Arial" w:cs="Arial" w:eastAsia="Arial" w:hAnsi="Arial"/>
          <w:sz w:val="17"/>
          <w:szCs w:val="17"/>
          <w:i w:val="1"/>
          <w:iCs w:val="1"/>
          <w:color w:val="auto"/>
        </w:rPr>
        <w:t>718, Compensation – Stock Compensation</w:t>
      </w:r>
      <w:r>
        <w:rPr>
          <w:rFonts w:ascii="Arial" w:cs="Arial" w:eastAsia="Arial" w:hAnsi="Arial"/>
          <w:sz w:val="17"/>
          <w:szCs w:val="17"/>
          <w:color w:val="auto"/>
        </w:rPr>
        <w:t>, which currently only includes share-based payments issued to employees, to</w:t>
      </w:r>
      <w:r>
        <w:rPr>
          <w:rFonts w:ascii="Arial" w:cs="Arial" w:eastAsia="Arial" w:hAnsi="Arial"/>
          <w:sz w:val="17"/>
          <w:szCs w:val="17"/>
          <w:i w:val="1"/>
          <w:iCs w:val="1"/>
          <w:color w:val="auto"/>
        </w:rPr>
        <w:t xml:space="preserve"> </w:t>
      </w:r>
      <w:r>
        <w:rPr>
          <w:rFonts w:ascii="Arial" w:cs="Arial" w:eastAsia="Arial" w:hAnsi="Arial"/>
          <w:sz w:val="17"/>
          <w:szCs w:val="17"/>
          <w:color w:val="auto"/>
        </w:rPr>
        <w:t>also include share-based payments issued to non-employees for goods and services. Consequently, the accounting for share-based payments to non-employees and employees is substantially aligned. The adoption of this standard did not have a material impact on the Company’s financial statements.</w:t>
      </w:r>
    </w:p>
    <w:p>
      <w:pPr>
        <w:spacing w:after="0" w:line="177" w:lineRule="exact"/>
        <w:rPr>
          <w:sz w:val="20"/>
          <w:szCs w:val="20"/>
          <w:color w:val="auto"/>
        </w:rPr>
      </w:pPr>
    </w:p>
    <w:p>
      <w:pPr>
        <w:ind w:left="40" w:right="99" w:firstLine="648"/>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 amended, which generally requires lessees to recognize operating and financing lease liabilities and corresponding right-of-use assets on the balance sheet and to provide enhanced disclosures surrounding the amount, timing and uncertainty of cash flows arising from leasing arrangements. In July 2018, the FASB issued ASU No.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(“ASU 2018-11”). In issuing ASU 2018-11, the FASB permitted another transition method for ASU 2016-02, which allows the transition to the new lease standard by recognizing a cumulative-effect adjustment to the opening balance of retained earnings in the period of adoption. The Company elected the transition method and package of practical expedients permitted under the transition guidance, which allowed the Company to carryforward its historical lease classification, its assessment on whether a contract is or contains a lease, and its initial direct costs for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3" w:name="page94"/>
    <w:bookmarkEnd w:id="9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73" w:lineRule="auto"/>
        <w:rPr>
          <w:sz w:val="20"/>
          <w:szCs w:val="20"/>
          <w:color w:val="auto"/>
        </w:rPr>
      </w:pPr>
      <w:r>
        <w:rPr>
          <w:rFonts w:ascii="Arial" w:cs="Arial" w:eastAsia="Arial" w:hAnsi="Arial"/>
          <w:sz w:val="17"/>
          <w:szCs w:val="17"/>
          <w:color w:val="auto"/>
        </w:rPr>
        <w:t>any leases that exist prior to adoption of the new standard. The Company also elected to combine lease and non-lease components and to keep leases with an initial term of 12 months or less off the balance sheet and recognize the associated lease payments in the statements of operations on a straight-line basis over the lease term. We adopted the ASU on January 1, 2019 using a modified retrospective approach and recorded a right-of-use asset and a corresponding lease liability to account for our facility lease as a cumulative-effect adjustment to the opening balance of accrued expense and other current liabilities and other long-term liabilities in the period of adoption.</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Impact of Adoption</w:t>
      </w:r>
    </w:p>
    <w:p>
      <w:pPr>
        <w:spacing w:after="0" w:line="225" w:lineRule="exact"/>
        <w:rPr>
          <w:sz w:val="20"/>
          <w:szCs w:val="20"/>
          <w:color w:val="auto"/>
        </w:rPr>
      </w:pPr>
    </w:p>
    <w:p>
      <w:pPr>
        <w:ind w:left="40" w:right="179" w:firstLine="648"/>
        <w:spacing w:after="0" w:line="259" w:lineRule="auto"/>
        <w:rPr>
          <w:sz w:val="20"/>
          <w:szCs w:val="20"/>
          <w:color w:val="auto"/>
        </w:rPr>
      </w:pPr>
      <w:r>
        <w:rPr>
          <w:rFonts w:ascii="Arial" w:cs="Arial" w:eastAsia="Arial" w:hAnsi="Arial"/>
          <w:sz w:val="18"/>
          <w:szCs w:val="18"/>
          <w:color w:val="auto"/>
        </w:rPr>
        <w:t>The Company, on adopting Topic 842 on January 1, 2019, used the modified retrospective approach with the cumulative effect of initially applying the standard as an adjustment to the opening balance of accrued and other liabilities and other long-term liabilities. The following adjustments were recorded in the Company’s balance sheet on January 1, 2019 (in thousands):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b w:val="1"/>
                <w:bCs w:val="1"/>
                <w:color w:val="auto"/>
                <w:w w:val="95"/>
              </w:rPr>
              <w:t>January 1,</w:t>
            </w:r>
          </w:p>
        </w:tc>
      </w:tr>
      <w:tr>
        <w:trPr>
          <w:trHeight w:val="171"/>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Due to Topic 842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2019</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Current portion of operating lease liability</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1,892</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1,892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12,857</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12,673</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 xml:space="preserve">As a result of adopting Topic 842 on January 1, 2019, the following financial statement line items in the Company’s balance sheet at December 31, 2019 and the statement of operations and comprehensive loss for the year ended December 31, 2019 were affected compared to as would have been recorded under ASC 840, </w:t>
      </w:r>
      <w:r>
        <w:rPr>
          <w:rFonts w:ascii="Arial" w:cs="Arial" w:eastAsia="Arial" w:hAnsi="Arial"/>
          <w:sz w:val="18"/>
          <w:szCs w:val="18"/>
          <w:i w:val="1"/>
          <w:iCs w:val="1"/>
          <w:color w:val="auto"/>
        </w:rPr>
        <w:t>Leases (Topic 840)</w:t>
      </w:r>
      <w:r>
        <w:rPr>
          <w:rFonts w:ascii="Arial" w:cs="Arial" w:eastAsia="Arial" w:hAnsi="Arial"/>
          <w:sz w:val="18"/>
          <w:szCs w:val="18"/>
          <w:color w:val="auto"/>
        </w:rPr>
        <w:t>,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33"/>
              <w:spacing w:after="0"/>
              <w:rPr>
                <w:sz w:val="20"/>
                <w:szCs w:val="20"/>
                <w:color w:val="auto"/>
              </w:rPr>
            </w:pPr>
            <w:r>
              <w:rPr>
                <w:rFonts w:ascii="Arial" w:cs="Arial" w:eastAsia="Arial" w:hAnsi="Arial"/>
                <w:sz w:val="14"/>
                <w:szCs w:val="14"/>
                <w:b w:val="1"/>
                <w:bCs w:val="1"/>
                <w:color w:val="auto"/>
                <w:w w:val="91"/>
              </w:rPr>
              <w:t>December 31, 2019</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9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As Reported</w:t>
            </w:r>
          </w:p>
        </w:tc>
        <w:tc>
          <w:tcPr>
            <w:tcW w:w="16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Under Topic 840</w:t>
            </w:r>
          </w:p>
        </w:tc>
        <w:tc>
          <w:tcPr>
            <w:tcW w:w="20" w:type="dxa"/>
            <w:vAlign w:val="bottom"/>
          </w:tcPr>
          <w:p>
            <w:pPr>
              <w:spacing w:after="0"/>
              <w:rPr>
                <w:sz w:val="10"/>
                <w:szCs w:val="10"/>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Effect of Change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under Topic</w:t>
            </w: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842</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Current portion of operating lease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2,608</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7,248</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7,571</w:t>
            </w:r>
          </w:p>
        </w:tc>
        <w:tc>
          <w:tcPr>
            <w:tcW w:w="16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594"/>
        </w:trPr>
        <w:tc>
          <w:tcPr>
            <w:tcW w:w="3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center"/>
              <w:ind w:left="417"/>
              <w:spacing w:after="0"/>
              <w:rPr>
                <w:sz w:val="20"/>
                <w:szCs w:val="20"/>
                <w:color w:val="auto"/>
              </w:rPr>
            </w:pPr>
            <w:r>
              <w:rPr>
                <w:rFonts w:ascii="Arial" w:cs="Arial" w:eastAsia="Arial" w:hAnsi="Arial"/>
                <w:sz w:val="14"/>
                <w:szCs w:val="14"/>
                <w:b w:val="1"/>
                <w:bCs w:val="1"/>
                <w:color w:val="auto"/>
                <w:w w:val="92"/>
              </w:rPr>
              <w:t>Year Ended December 31, 2019</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9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As Reported</w:t>
            </w:r>
          </w:p>
        </w:tc>
        <w:tc>
          <w:tcPr>
            <w:tcW w:w="16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Under Topic 840</w:t>
            </w:r>
          </w:p>
        </w:tc>
        <w:tc>
          <w:tcPr>
            <w:tcW w:w="20" w:type="dxa"/>
            <w:vAlign w:val="bottom"/>
          </w:tcPr>
          <w:p>
            <w:pPr>
              <w:spacing w:after="0"/>
              <w:rPr>
                <w:sz w:val="10"/>
                <w:szCs w:val="10"/>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Effect of Change</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under Topic</w:t>
            </w: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842</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Arial" w:cs="Arial" w:eastAsia="Arial" w:hAnsi="Arial"/>
                <w:sz w:val="18"/>
                <w:szCs w:val="18"/>
                <w:color w:val="auto"/>
              </w:rPr>
              <w:t>Research and development related to leases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2,070</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1,962</w:t>
            </w:r>
          </w:p>
        </w:tc>
        <w:tc>
          <w:tcPr>
            <w:tcW w:w="16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 related to leases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7"/>
        </w:trPr>
        <w:tc>
          <w:tcPr>
            <w:tcW w:w="3780" w:type="dxa"/>
            <w:vAlign w:val="bottom"/>
          </w:tcPr>
          <w:p>
            <w:pPr>
              <w:ind w:left="3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New Accounting Pronouncements – Adoption on January 1, 2020</w:t>
      </w:r>
    </w:p>
    <w:p>
      <w:pPr>
        <w:spacing w:after="0" w:line="225" w:lineRule="exact"/>
        <w:rPr>
          <w:sz w:val="20"/>
          <w:szCs w:val="20"/>
          <w:color w:val="auto"/>
        </w:rPr>
      </w:pPr>
    </w:p>
    <w:p>
      <w:pPr>
        <w:ind w:left="40" w:right="239" w:firstLine="648"/>
        <w:spacing w:after="0" w:line="286" w:lineRule="auto"/>
        <w:rPr>
          <w:sz w:val="20"/>
          <w:szCs w:val="20"/>
          <w:color w:val="auto"/>
        </w:rPr>
      </w:pPr>
      <w:r>
        <w:rPr>
          <w:rFonts w:ascii="Arial" w:cs="Arial" w:eastAsia="Arial" w:hAnsi="Arial"/>
          <w:sz w:val="17"/>
          <w:szCs w:val="17"/>
          <w:color w:val="auto"/>
        </w:rPr>
        <w:t xml:space="preserve">In November 2018, the FASB issued ASU 2018-18, </w:t>
      </w:r>
      <w:r>
        <w:rPr>
          <w:rFonts w:ascii="Arial" w:cs="Arial" w:eastAsia="Arial" w:hAnsi="Arial"/>
          <w:sz w:val="17"/>
          <w:szCs w:val="17"/>
          <w:i w:val="1"/>
          <w:iCs w:val="1"/>
          <w:color w:val="auto"/>
        </w:rPr>
        <w:t>Collaborative Arrangements (Topic 808): Clarifying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Interaction between Topic 808 and Topic 606</w:t>
      </w:r>
      <w:r>
        <w:rPr>
          <w:rFonts w:ascii="Arial" w:cs="Arial" w:eastAsia="Arial" w:hAnsi="Arial"/>
          <w:sz w:val="17"/>
          <w:szCs w:val="17"/>
          <w:color w:val="auto"/>
        </w:rPr>
        <w:t>, which clarifies that certain transactions between collaborative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should be accounted for as revenue under ASC 606 when the collaborative arrangement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4" w:name="page95"/>
    <w:bookmarkEnd w:id="9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color w:val="auto"/>
        </w:rPr>
        <w:t>participant is a customer. For the Company, the amendment is effective January 1, 2020. Management does not expect that adoption of this guidance will have a significant impact on the Company’s financial statements.</w:t>
      </w:r>
    </w:p>
    <w:p>
      <w:pPr>
        <w:spacing w:after="0" w:line="170" w:lineRule="exact"/>
        <w:rPr>
          <w:sz w:val="20"/>
          <w:szCs w:val="20"/>
          <w:color w:val="auto"/>
        </w:rPr>
      </w:pPr>
    </w:p>
    <w:p>
      <w:pPr>
        <w:ind w:left="40" w:right="139" w:firstLine="648"/>
        <w:spacing w:after="0" w:line="289"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Framework—Changes to the Disclosure Requirements for Fair Value Measurement</w:t>
      </w:r>
      <w:r>
        <w:rPr>
          <w:rFonts w:ascii="Arial" w:cs="Arial" w:eastAsia="Arial" w:hAnsi="Arial"/>
          <w:sz w:val="16"/>
          <w:szCs w:val="16"/>
          <w:color w:val="auto"/>
        </w:rPr>
        <w:t>. ASU 2018-13 considers cost and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and removes, modifies and adds disclosure requirements in Topic 820. The amendments on changes in unrealized gains and losses, the range and weighted average of significant unobservable inputs used to develop Level 3 fair value measurements, and the narrative description of measurement uncertainty is to be applied prospectively for only the most recent interim or annual period presented in the initial fiscal year of adoption. All other amendments are to be applied retrospectively to all periods presented. ASU 2018-13 is effective for the Company for fiscal years beginning after December 15, 2019, including interim periods within that fiscal year and early adoption was permitted. Management does not expect that adoption of this guidance will have a significant impact on the Company’s financial statements.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225" w:lineRule="exact"/>
        <w:rPr>
          <w:sz w:val="20"/>
          <w:szCs w:val="20"/>
          <w:color w:val="auto"/>
        </w:rPr>
      </w:pPr>
    </w:p>
    <w:p>
      <w:pPr>
        <w:ind w:left="40" w:right="299" w:firstLine="648"/>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which removes certain exceptions for intra period allocations, recognizing deferred taxes for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calculating income taxes in interim periods. This ASU also adds guidance to reduce complexity in certain areas, including recognizing deferred taxes for tax goodwill and allocating taxes to members of a consolidated group. The guidance is effective for the Company for fiscal years, and interim periods within those fiscal years, beginning after December 15, 2020, with early adoption permitted. Management is currently assessing the impact of this standard on the Company’s financial statements.</w:t>
      </w:r>
    </w:p>
    <w:p>
      <w:pPr>
        <w:spacing w:after="0" w:line="195"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an amendment which modifies the measurement and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of credit losses for most financial assets and certain other instruments. The amendment updates the guidance for measuring and recording credit losses on financial assets measured at amortized cost by replacing the “incurred loss” model with an “expected loss” model. Accordingly, these financial assets will be presented at the net amount expected to be collected. The amendment also requires that credit losses related to available-for-sale debt securities be recorded as an allowance through net income rather than reducing the carrying amount under the current, other-than-temporary-impairment model. For smaller reporting companies the guidance is effective for fiscal years beginning after December 15, 2022, including interim periods within those fiscal years. Early adoption is permitted. Management is currently assessing the impact of this standard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5" w:name="page96"/>
    <w:bookmarkEnd w:id="9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80" w:hanging="636"/>
        <w:spacing w:after="0"/>
        <w:tabs>
          <w:tab w:leader="none" w:pos="6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SHORT-TERM INVESTMENTS</w:t>
      </w:r>
    </w:p>
    <w:p>
      <w:pPr>
        <w:spacing w:after="0" w:line="229" w:lineRule="exact"/>
        <w:rPr>
          <w:sz w:val="20"/>
          <w:szCs w:val="20"/>
          <w:color w:val="auto"/>
        </w:rPr>
      </w:pPr>
    </w:p>
    <w:p>
      <w:pPr>
        <w:ind w:left="40" w:right="219" w:firstLine="648"/>
        <w:spacing w:after="0" w:line="263" w:lineRule="auto"/>
        <w:rPr>
          <w:sz w:val="20"/>
          <w:szCs w:val="20"/>
          <w:color w:val="auto"/>
        </w:rPr>
      </w:pPr>
      <w:r>
        <w:rPr>
          <w:rFonts w:ascii="Arial" w:cs="Arial" w:eastAsia="Arial" w:hAnsi="Arial"/>
          <w:sz w:val="18"/>
          <w:szCs w:val="18"/>
          <w:color w:val="auto"/>
        </w:rPr>
        <w:t>Securities classified as cash, cash equivalents and short-term investments as of December 31, 2019 and December 31, 2018 are summarized below (in thousands). Estimated fair value is based on quoted market prices for these investments.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left="34"/>
              <w:spacing w:after="0"/>
              <w:rPr>
                <w:sz w:val="20"/>
                <w:szCs w:val="20"/>
                <w:color w:val="auto"/>
              </w:rPr>
            </w:pPr>
            <w:r>
              <w:rPr>
                <w:rFonts w:ascii="Arial" w:cs="Arial" w:eastAsia="Arial" w:hAnsi="Arial"/>
                <w:sz w:val="14"/>
                <w:szCs w:val="14"/>
                <w:b w:val="1"/>
                <w:bCs w:val="1"/>
                <w:color w:val="auto"/>
                <w:w w:val="91"/>
              </w:rPr>
              <w:t>December 31, 2019</w:t>
            </w: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tcPr>
          <w:p>
            <w:pPr>
              <w:jc w:val="center"/>
              <w:ind w:left="14"/>
              <w:spacing w:after="0" w:line="142" w:lineRule="exact"/>
              <w:rPr>
                <w:sz w:val="20"/>
                <w:szCs w:val="20"/>
                <w:color w:val="auto"/>
              </w:rPr>
            </w:pPr>
            <w:r>
              <w:rPr>
                <w:rFonts w:ascii="Arial" w:cs="Arial" w:eastAsia="Arial" w:hAnsi="Arial"/>
                <w:sz w:val="14"/>
                <w:szCs w:val="14"/>
                <w:b w:val="1"/>
                <w:bCs w:val="1"/>
                <w:color w:val="auto"/>
                <w:w w:val="92"/>
              </w:rPr>
              <w:t>Gross Unrealized</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Gains</w:t>
            </w: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Losses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3,124</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4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147,208</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11,441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19,360</w:t>
            </w:r>
          </w:p>
        </w:tc>
        <w:tc>
          <w:tcPr>
            <w:tcW w:w="0" w:type="dxa"/>
            <w:vAlign w:val="bottom"/>
          </w:tcPr>
          <w:p>
            <w:pPr>
              <w:spacing w:after="0"/>
              <w:rPr>
                <w:sz w:val="1"/>
                <w:szCs w:val="1"/>
                <w:color w:val="auto"/>
              </w:rPr>
            </w:pPr>
          </w:p>
        </w:tc>
      </w:tr>
      <w:tr>
        <w:trPr>
          <w:trHeight w:val="209"/>
        </w:trPr>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cash and cash equivalents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181,130</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181,133</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21,690</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800" w:type="dxa"/>
            <w:vAlign w:val="bottom"/>
          </w:tcPr>
          <w:p>
            <w:pPr>
              <w:jc w:val="right"/>
              <w:ind w:right="64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21,693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36,681</w:t>
            </w:r>
          </w:p>
        </w:tc>
        <w:tc>
          <w:tcPr>
            <w:tcW w:w="0" w:type="dxa"/>
            <w:vAlign w:val="bottom"/>
          </w:tcPr>
          <w:p>
            <w:pPr>
              <w:spacing w:after="0"/>
              <w:rPr>
                <w:sz w:val="1"/>
                <w:szCs w:val="1"/>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Asset-backed securities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short-term investments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66,379</w:t>
            </w:r>
          </w:p>
        </w:tc>
        <w:tc>
          <w:tcPr>
            <w:tcW w:w="0" w:type="dxa"/>
            <w:vAlign w:val="bottom"/>
          </w:tcPr>
          <w:p>
            <w:pPr>
              <w:spacing w:after="0"/>
              <w:rPr>
                <w:sz w:val="1"/>
                <w:szCs w:val="1"/>
                <w:color w:val="auto"/>
              </w:rPr>
            </w:pPr>
          </w:p>
        </w:tc>
      </w:tr>
      <w:tr>
        <w:trPr>
          <w:trHeight w:val="217"/>
        </w:trPr>
        <w:tc>
          <w:tcPr>
            <w:tcW w:w="3580" w:type="dxa"/>
            <w:vAlign w:val="bottom"/>
          </w:tcPr>
          <w:p>
            <w:pPr>
              <w:ind w:left="120"/>
              <w:spacing w:after="0"/>
              <w:rPr>
                <w:sz w:val="20"/>
                <w:szCs w:val="20"/>
                <w:color w:val="auto"/>
              </w:rPr>
            </w:pPr>
            <w:r>
              <w:rPr>
                <w:rFonts w:ascii="Arial" w:cs="Arial" w:eastAsia="Arial" w:hAnsi="Arial"/>
                <w:sz w:val="18"/>
                <w:szCs w:val="18"/>
                <w:color w:val="auto"/>
              </w:rPr>
              <w:t>Total cash equivalents and investments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247,492</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247,512</w:t>
            </w:r>
          </w:p>
        </w:tc>
        <w:tc>
          <w:tcPr>
            <w:tcW w:w="0" w:type="dxa"/>
            <w:vAlign w:val="bottom"/>
          </w:tcPr>
          <w:p>
            <w:pPr>
              <w:spacing w:after="0"/>
              <w:rPr>
                <w:sz w:val="1"/>
                <w:szCs w:val="1"/>
                <w:color w:val="auto"/>
              </w:rPr>
            </w:pPr>
          </w:p>
        </w:tc>
      </w:tr>
      <w:tr>
        <w:trPr>
          <w:trHeight w:val="378"/>
        </w:trPr>
        <w:tc>
          <w:tcPr>
            <w:tcW w:w="3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left="34"/>
              <w:spacing w:after="0"/>
              <w:rPr>
                <w:sz w:val="20"/>
                <w:szCs w:val="20"/>
                <w:color w:val="auto"/>
              </w:rPr>
            </w:pPr>
            <w:r>
              <w:rPr>
                <w:rFonts w:ascii="Arial" w:cs="Arial" w:eastAsia="Arial" w:hAnsi="Arial"/>
                <w:sz w:val="14"/>
                <w:szCs w:val="14"/>
                <w:b w:val="1"/>
                <w:bCs w:val="1"/>
                <w:color w:val="auto"/>
                <w:w w:val="91"/>
              </w:rPr>
              <w:t>December 31, 2018</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tcPr>
          <w:p>
            <w:pPr>
              <w:jc w:val="center"/>
              <w:ind w:left="14"/>
              <w:spacing w:after="0" w:line="142" w:lineRule="exact"/>
              <w:rPr>
                <w:sz w:val="20"/>
                <w:szCs w:val="20"/>
                <w:color w:val="auto"/>
              </w:rPr>
            </w:pPr>
            <w:r>
              <w:rPr>
                <w:rFonts w:ascii="Arial" w:cs="Arial" w:eastAsia="Arial" w:hAnsi="Arial"/>
                <w:sz w:val="14"/>
                <w:szCs w:val="14"/>
                <w:b w:val="1"/>
                <w:bCs w:val="1"/>
                <w:color w:val="auto"/>
                <w:w w:val="92"/>
              </w:rPr>
              <w:t>Gross Unrealized</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Gains</w:t>
            </w: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Losses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3,733</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4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73,238</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and cash equivalents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78,768</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34,611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34,590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41,357</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9,378</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short-term investments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89,359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89,321</w:t>
            </w:r>
          </w:p>
        </w:tc>
        <w:tc>
          <w:tcPr>
            <w:tcW w:w="0" w:type="dxa"/>
            <w:vAlign w:val="bottom"/>
          </w:tcPr>
          <w:p>
            <w:pPr>
              <w:spacing w:after="0"/>
              <w:rPr>
                <w:sz w:val="1"/>
                <w:szCs w:val="1"/>
                <w:color w:val="auto"/>
              </w:rPr>
            </w:pPr>
          </w:p>
        </w:tc>
      </w:tr>
      <w:tr>
        <w:trPr>
          <w:trHeight w:val="217"/>
        </w:trPr>
        <w:tc>
          <w:tcPr>
            <w:tcW w:w="3580" w:type="dxa"/>
            <w:vAlign w:val="bottom"/>
          </w:tcPr>
          <w:p>
            <w:pPr>
              <w:ind w:left="120"/>
              <w:spacing w:after="0"/>
              <w:rPr>
                <w:sz w:val="20"/>
                <w:szCs w:val="20"/>
                <w:color w:val="auto"/>
              </w:rPr>
            </w:pPr>
            <w:r>
              <w:rPr>
                <w:rFonts w:ascii="Arial" w:cs="Arial" w:eastAsia="Arial" w:hAnsi="Arial"/>
                <w:sz w:val="18"/>
                <w:szCs w:val="18"/>
                <w:color w:val="auto"/>
              </w:rPr>
              <w:t>Total cash equivalents and investments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168,127</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 w:right="59" w:firstLine="648"/>
        <w:spacing w:after="0" w:line="291" w:lineRule="auto"/>
        <w:rPr>
          <w:sz w:val="20"/>
          <w:szCs w:val="20"/>
          <w:color w:val="auto"/>
        </w:rPr>
      </w:pPr>
      <w:r>
        <w:rPr>
          <w:rFonts w:ascii="Arial" w:cs="Arial" w:eastAsia="Arial" w:hAnsi="Arial"/>
          <w:sz w:val="16"/>
          <w:szCs w:val="16"/>
          <w:color w:val="auto"/>
        </w:rPr>
        <w:t>Cash equivalents consist of money market funds and other debt securities with original maturities of three months or less at the time of purchase, and the carrying amount is a reasonable approximation of fair value. The Company invests its cash in high quality securities of financial and commercial institutions. These securities are carried at fair value, which is based on readily available market information, with unrealized gains and losses included in accumulated other comprehensive income (loss) within stockholders’ equity on the Company’s balance sheets. The Company uses the specific identification method to determine the amount of realized gains or losses on sales of marketable securities. Realized gains or losses have been insignificant and are included in other income (expense), net, in the statement of operations.</w:t>
      </w:r>
    </w:p>
    <w:p>
      <w:pPr>
        <w:spacing w:after="0" w:line="166" w:lineRule="exact"/>
        <w:rPr>
          <w:sz w:val="20"/>
          <w:szCs w:val="20"/>
          <w:color w:val="auto"/>
        </w:rPr>
      </w:pPr>
    </w:p>
    <w:p>
      <w:pPr>
        <w:ind w:left="40" w:right="119" w:firstLine="648"/>
        <w:spacing w:after="0" w:line="293" w:lineRule="auto"/>
        <w:rPr>
          <w:sz w:val="20"/>
          <w:szCs w:val="20"/>
          <w:color w:val="auto"/>
        </w:rPr>
      </w:pPr>
      <w:r>
        <w:rPr>
          <w:rFonts w:ascii="Arial" w:cs="Arial" w:eastAsia="Arial" w:hAnsi="Arial"/>
          <w:sz w:val="16"/>
          <w:szCs w:val="16"/>
          <w:color w:val="auto"/>
        </w:rPr>
        <w:t>All available-for-sale securities held as of December 31, 2019 and 2018, had contractual maturities of less than one year. The Company’s available-for-sale securities are subject to a periodic impairment review. The Company considers a debt security to be impaired when its fair value is less than its carrying cost, in which case the Company would further review the investment to determine whether it is other-than-temporarily impaired. When the Company evaluates an investment for other-than-temporary impairment, the Company reviews factors such as the length of time and extent to which fair value has been below cost basis, the financial condition of the issuer and any changes thereto,</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6" w:name="page97"/>
    <w:bookmarkEnd w:id="9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93" w:lineRule="auto"/>
        <w:rPr>
          <w:sz w:val="20"/>
          <w:szCs w:val="20"/>
          <w:color w:val="auto"/>
        </w:rPr>
      </w:pPr>
      <w:r>
        <w:rPr>
          <w:rFonts w:ascii="Arial" w:cs="Arial" w:eastAsia="Arial" w:hAnsi="Arial"/>
          <w:sz w:val="16"/>
          <w:szCs w:val="16"/>
          <w:color w:val="auto"/>
        </w:rPr>
        <w:t>intent to sell, and whether it is more likely than not the Company will be required to sell the investment before the recovery of its cost basis. If an investment is other-than-temporarily impaired, the Company writes it down through the statement of operations to its fair value and establishes that value as a new cost basis for the investment. The Company did not identify any of its available-for-sale securities as other-than-temporarily impaired in any of the periods presented. As of December 31, 2019 and 2018, no investment was in a continuous unrealized loss position for more than one year and the Company believes that it is more likely than not that the investments will be held until maturity or a forecasted recovery of fair value.</w:t>
      </w:r>
    </w:p>
    <w:p>
      <w:pPr>
        <w:spacing w:after="0" w:line="160" w:lineRule="exact"/>
        <w:rPr>
          <w:sz w:val="20"/>
          <w:szCs w:val="20"/>
          <w:color w:val="auto"/>
        </w:rPr>
      </w:pPr>
    </w:p>
    <w:p>
      <w:pPr>
        <w:ind w:left="680" w:hanging="636"/>
        <w:spacing w:after="0"/>
        <w:tabs>
          <w:tab w:leader="none" w:pos="6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225" w:lineRule="exact"/>
        <w:rPr>
          <w:sz w:val="20"/>
          <w:szCs w:val="20"/>
          <w:color w:val="auto"/>
        </w:rPr>
      </w:pPr>
    </w:p>
    <w:p>
      <w:pPr>
        <w:jc w:val="both"/>
        <w:ind w:left="1820" w:right="59" w:hanging="809"/>
        <w:spacing w:after="0" w:line="259" w:lineRule="auto"/>
        <w:rPr>
          <w:sz w:val="20"/>
          <w:szCs w:val="20"/>
          <w:color w:val="auto"/>
        </w:rPr>
      </w:pPr>
      <w:r>
        <w:rPr>
          <w:rFonts w:ascii="Arial" w:cs="Arial" w:eastAsia="Arial" w:hAnsi="Arial"/>
          <w:sz w:val="18"/>
          <w:szCs w:val="18"/>
          <w:color w:val="auto"/>
        </w:rPr>
        <w:t>Level 1 – Valuations are based on quoted prices in active markets for identical assets or liabilities and readily accessible by the Company at the reporting date. Examples of assets and liabilities utilizing Level 1 inputs are certain money market funds, U.S. treasuries and trading securities with quoted prices on active markets.</w:t>
      </w:r>
    </w:p>
    <w:p>
      <w:pPr>
        <w:spacing w:after="0" w:line="187" w:lineRule="exact"/>
        <w:rPr>
          <w:sz w:val="20"/>
          <w:szCs w:val="20"/>
          <w:color w:val="auto"/>
        </w:rPr>
      </w:pPr>
    </w:p>
    <w:p>
      <w:pPr>
        <w:ind w:left="1840" w:right="139" w:hanging="815"/>
        <w:spacing w:after="0" w:line="255" w:lineRule="auto"/>
        <w:rPr>
          <w:sz w:val="20"/>
          <w:szCs w:val="20"/>
          <w:color w:val="auto"/>
        </w:rPr>
      </w:pPr>
      <w:r>
        <w:rPr>
          <w:rFonts w:ascii="Arial" w:cs="Arial" w:eastAsia="Arial" w:hAnsi="Arial"/>
          <w:sz w:val="18"/>
          <w:szCs w:val="18"/>
          <w:color w:val="auto"/>
        </w:rPr>
        <w:t>Level 2 – 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Examples of assets and liabilities utilizing Level 2 inputs are corporate bonds, commercial paper, certificates of deposit and over-the-counter derivatives.</w:t>
      </w:r>
    </w:p>
    <w:p>
      <w:pPr>
        <w:spacing w:after="0" w:line="192" w:lineRule="exact"/>
        <w:rPr>
          <w:sz w:val="20"/>
          <w:szCs w:val="20"/>
          <w:color w:val="auto"/>
        </w:rPr>
      </w:pPr>
    </w:p>
    <w:p>
      <w:pPr>
        <w:ind w:left="1840" w:right="259" w:hanging="815"/>
        <w:spacing w:after="0" w:line="277" w:lineRule="auto"/>
        <w:rPr>
          <w:sz w:val="20"/>
          <w:szCs w:val="20"/>
          <w:color w:val="auto"/>
        </w:rPr>
      </w:pPr>
      <w:r>
        <w:rPr>
          <w:rFonts w:ascii="Arial" w:cs="Arial" w:eastAsia="Arial" w:hAnsi="Arial"/>
          <w:sz w:val="18"/>
          <w:szCs w:val="18"/>
          <w:color w:val="auto"/>
        </w:rPr>
        <w:t>Level 3 – Valuations based on unobservable inputs in which there is little or no market data, which require the Company to develop its own assumptions.</w:t>
      </w:r>
    </w:p>
    <w:p>
      <w:pPr>
        <w:spacing w:after="0" w:line="170" w:lineRule="exact"/>
        <w:rPr>
          <w:sz w:val="20"/>
          <w:szCs w:val="20"/>
          <w:color w:val="auto"/>
        </w:rPr>
      </w:pPr>
    </w:p>
    <w:p>
      <w:pPr>
        <w:ind w:left="40" w:right="639" w:firstLine="648"/>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on a recurring basis by level within the fair value hierarchy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3"/>
              </w:rPr>
              <w:t>December 31, 2019</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0"/>
                <w:szCs w:val="10"/>
                <w:color w:val="auto"/>
              </w:rPr>
            </w:pP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7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0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147,208</w:t>
            </w: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147,208</w:t>
            </w:r>
          </w:p>
        </w:tc>
        <w:tc>
          <w:tcPr>
            <w:tcW w:w="120" w:type="dxa"/>
            <w:vAlign w:val="bottom"/>
          </w:tcPr>
          <w:p>
            <w:pPr>
              <w:spacing w:after="0"/>
              <w:rPr>
                <w:sz w:val="18"/>
                <w:szCs w:val="18"/>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56,041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56,041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Asset-backed securities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CCEEFF"/>
            </w:tcBorders>
          </w:tcPr>
          <w:p>
            <w:pPr>
              <w:jc w:val="center"/>
              <w:ind w:right="2230"/>
              <w:spacing w:after="0"/>
              <w:rPr>
                <w:sz w:val="20"/>
                <w:szCs w:val="20"/>
                <w:color w:val="auto"/>
              </w:rPr>
            </w:pPr>
            <w:r>
              <w:rPr>
                <w:rFonts w:ascii="Arial" w:cs="Arial" w:eastAsia="Arial" w:hAnsi="Arial"/>
                <w:sz w:val="18"/>
                <w:szCs w:val="18"/>
                <w:color w:val="auto"/>
                <w:w w:val="94"/>
              </w:rPr>
              <w:t>Total</w:t>
            </w:r>
          </w:p>
        </w:tc>
        <w:tc>
          <w:tcPr>
            <w:tcW w:w="7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244,388</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147,208</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97,180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jc w:val="center"/>
              <w:ind w:right="2270"/>
              <w:spacing w:after="0"/>
              <w:rPr>
                <w:sz w:val="20"/>
                <w:szCs w:val="20"/>
                <w:color w:val="auto"/>
              </w:rPr>
            </w:pPr>
            <w:r>
              <w:rPr>
                <w:rFonts w:ascii="Arial" w:cs="Arial" w:eastAsia="Arial" w:hAnsi="Arial"/>
                <w:sz w:val="18"/>
                <w:szCs w:val="18"/>
                <w:color w:val="auto"/>
                <w:w w:val="98"/>
              </w:rPr>
              <w:t>Liabilities: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liability for Exit Fee</w:t>
            </w:r>
          </w:p>
        </w:tc>
        <w:tc>
          <w:tcPr>
            <w:tcW w:w="10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969</w:t>
            </w:r>
          </w:p>
        </w:tc>
        <w:tc>
          <w:tcPr>
            <w:tcW w:w="0" w:type="dxa"/>
            <w:vAlign w:val="bottom"/>
          </w:tcPr>
          <w:p>
            <w:pPr>
              <w:spacing w:after="0"/>
              <w:rPr>
                <w:sz w:val="1"/>
                <w:szCs w:val="1"/>
                <w:color w:val="auto"/>
              </w:rPr>
            </w:pPr>
          </w:p>
        </w:tc>
      </w:tr>
      <w:tr>
        <w:trPr>
          <w:trHeight w:val="217"/>
        </w:trPr>
        <w:tc>
          <w:tcPr>
            <w:tcW w:w="3140" w:type="dxa"/>
            <w:vAlign w:val="bottom"/>
          </w:tcPr>
          <w:p>
            <w:pPr>
              <w:jc w:val="center"/>
              <w:ind w:right="2230"/>
              <w:spacing w:after="0"/>
              <w:rPr>
                <w:sz w:val="20"/>
                <w:szCs w:val="20"/>
                <w:color w:val="auto"/>
              </w:rPr>
            </w:pPr>
            <w:r>
              <w:rPr>
                <w:rFonts w:ascii="Arial" w:cs="Arial" w:eastAsia="Arial" w:hAnsi="Arial"/>
                <w:sz w:val="18"/>
                <w:szCs w:val="18"/>
                <w:color w:val="auto"/>
                <w:w w:val="94"/>
              </w:rPr>
              <w:t>Total</w:t>
            </w:r>
          </w:p>
        </w:tc>
        <w:tc>
          <w:tcPr>
            <w:tcW w:w="7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969</w:t>
            </w:r>
          </w:p>
        </w:tc>
        <w:tc>
          <w:tcPr>
            <w:tcW w:w="0" w:type="dxa"/>
            <w:vAlign w:val="bottom"/>
          </w:tcPr>
          <w:p>
            <w:pPr>
              <w:spacing w:after="0"/>
              <w:rPr>
                <w:sz w:val="1"/>
                <w:szCs w:val="1"/>
                <w:color w:val="auto"/>
              </w:rPr>
            </w:pPr>
          </w:p>
        </w:tc>
      </w:tr>
      <w:tr>
        <w:trPr>
          <w:trHeight w:val="864"/>
        </w:trPr>
        <w:tc>
          <w:tcPr>
            <w:tcW w:w="3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694"/>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97" w:name="page98"/>
    <w:bookmarkEnd w:id="9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274"/>
              <w:spacing w:after="0" w:line="119"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0"/>
                <w:szCs w:val="10"/>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94"/>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73,238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73,238</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Asset-backed securities</w:t>
            </w: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680" w:type="dxa"/>
            <w:vAlign w:val="bottom"/>
            <w:tcBorders>
              <w:bottom w:val="single" w:sz="8" w:color="CCEEFF"/>
            </w:tcBorders>
            <w:shd w:val="clear" w:color="auto" w:fill="CCEEFF"/>
          </w:tcPr>
          <w:p>
            <w:pPr>
              <w:jc w:val="center"/>
              <w:ind w:right="2770"/>
              <w:spacing w:after="0"/>
              <w:rPr>
                <w:sz w:val="20"/>
                <w:szCs w:val="20"/>
                <w:color w:val="auto"/>
              </w:rPr>
            </w:pPr>
            <w:r>
              <w:rPr>
                <w:rFonts w:ascii="Arial" w:cs="Arial" w:eastAsia="Arial" w:hAnsi="Arial"/>
                <w:sz w:val="18"/>
                <w:szCs w:val="18"/>
                <w:color w:val="auto"/>
                <w:w w:val="94"/>
              </w:rPr>
              <w:t>Total</w:t>
            </w: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164,356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87,122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jc w:val="center"/>
              <w:ind w:right="2810"/>
              <w:spacing w:after="0"/>
              <w:rPr>
                <w:sz w:val="20"/>
                <w:szCs w:val="20"/>
                <w:color w:val="auto"/>
              </w:rPr>
            </w:pPr>
            <w:r>
              <w:rPr>
                <w:rFonts w:ascii="Arial" w:cs="Arial" w:eastAsia="Arial" w:hAnsi="Arial"/>
                <w:sz w:val="18"/>
                <w:szCs w:val="18"/>
                <w:color w:val="auto"/>
                <w:w w:val="98"/>
              </w:rPr>
              <w:t>Liabilities: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20"/>
              <w:spacing w:after="0"/>
              <w:rPr>
                <w:sz w:val="20"/>
                <w:szCs w:val="20"/>
                <w:color w:val="auto"/>
              </w:rPr>
            </w:pPr>
            <w:r>
              <w:rPr>
                <w:rFonts w:ascii="Arial" w:cs="Arial" w:eastAsia="Arial" w:hAnsi="Arial"/>
                <w:sz w:val="18"/>
                <w:szCs w:val="18"/>
                <w:color w:val="auto"/>
              </w:rPr>
              <w:t>Derivative liability for exit fee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derivative contracts</w:t>
            </w:r>
          </w:p>
        </w:tc>
        <w:tc>
          <w:tcPr>
            <w:tcW w:w="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680" w:type="dxa"/>
            <w:vAlign w:val="bottom"/>
          </w:tcPr>
          <w:p>
            <w:pPr>
              <w:jc w:val="center"/>
              <w:ind w:right="2770"/>
              <w:spacing w:after="0"/>
              <w:rPr>
                <w:sz w:val="20"/>
                <w:szCs w:val="20"/>
                <w:color w:val="auto"/>
              </w:rPr>
            </w:pPr>
            <w:r>
              <w:rPr>
                <w:rFonts w:ascii="Arial" w:cs="Arial" w:eastAsia="Arial" w:hAnsi="Arial"/>
                <w:sz w:val="18"/>
                <w:szCs w:val="18"/>
                <w:color w:val="auto"/>
                <w:w w:val="94"/>
              </w:rPr>
              <w:t>Total</w:t>
            </w:r>
          </w:p>
        </w:tc>
        <w:tc>
          <w:tcPr>
            <w:tcW w:w="8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8"/>
          <w:szCs w:val="18"/>
          <w:color w:val="auto"/>
        </w:rPr>
        <w:t>Where quoted prices are available in an active market, securities are classified as Level 1. The Company classifies money market funds, U.S. treasury securities and U.S. treasury notes as Level 1. When quoted market prices are not available for the specific security, the Company estimates fair value by using benchmark yields, reported trades, broker/dealer quotes and issuer spreads. The Company classifies corporate bonds, commercial paper, asset-backed securities and foreign currency derivative contracts as Level 2. In certain cases, where there is limited activity or less transparency around inputs to valuation, securities are classified as Level 3. There were no transfers between Level 1 and Level 2 during the periods presented.</w:t>
      </w:r>
    </w:p>
    <w:p>
      <w:pPr>
        <w:spacing w:after="0" w:line="195" w:lineRule="exact"/>
        <w:rPr>
          <w:sz w:val="20"/>
          <w:szCs w:val="20"/>
          <w:color w:val="auto"/>
        </w:rPr>
      </w:pPr>
    </w:p>
    <w:p>
      <w:pPr>
        <w:ind w:left="40" w:right="179" w:firstLine="648"/>
        <w:spacing w:after="0" w:line="288" w:lineRule="auto"/>
        <w:rPr>
          <w:sz w:val="20"/>
          <w:szCs w:val="20"/>
          <w:color w:val="auto"/>
        </w:rPr>
      </w:pPr>
      <w:r>
        <w:rPr>
          <w:rFonts w:ascii="Arial" w:cs="Arial" w:eastAsia="Arial" w:hAnsi="Arial"/>
          <w:sz w:val="16"/>
          <w:szCs w:val="16"/>
          <w:color w:val="auto"/>
        </w:rPr>
        <w:t>In May 2018, in connection with entering into the Loan Agreement, as defined and discussed in Note 6, the Company entered into an agreement pursuant to which the Company agreed to pay $1.5 million in cash, or the Exit Fee, upon any change of control transaction in respect of the Company or if the Company obtains both (i) FDA approval of tenapanor for the treatment of hyperphosphatemia in CKD patients on dialysis and (ii) FDA approval of tenapanor for the treatment of patients with irritable bowel syndrome with constipation, or IBS-C, which was obtained on September 12, 2019 when the FDA approved IBSRELA® (tenapanor), a 50 mg, twice daily oral pill for the treatment of IBS-C, in adults (the “Exit Fee Agreement”). Notwithstanding the prepayment or termination of the Term Loan, the Company’s obligation to pay the Exit Fee will expire on May 16, 2028. The Company concluded that the Exit Fee is a freestanding derivative which should be accounted for at fair value on a recurring basis. The estimated fair value of the Exit Fee is recorded as a derivative liability and included in accrued expense and other current liabilities on the accompanying balance sheets.</w:t>
      </w:r>
    </w:p>
    <w:p>
      <w:pPr>
        <w:spacing w:after="0" w:line="168"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8"/>
          <w:szCs w:val="18"/>
          <w:color w:val="auto"/>
        </w:rPr>
        <w:t>The fair value of the derivative liability was determined using a discounted cash flow analysis and is classified as a Level 3 measurement within the fair value hierarchy since the Company’s valuation utilized significant unobservable inputs. Specifically, the key assumptions included in the calculation of the estimated fair value of the derivative instrument include: i) the Company’s estimates of both the probability and timing of a potential $1.5 million payment to Solar Capital Ltd. and Western Alliance Bank as a result of the FDA approvals, and ii) a discount rate which was derived from the Company's estimated cost of debt, adjusted with current LIBOR. Generally, increases or decreases in the probability of occurrence would result in a directionally similar impact in the fair value measurement of the derivative instrument and it is estimated that a 10% increase (decrease) in the probability of occurrence would result in a fair value fluctuation of approximately $0.1 million.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8" w:name="page99"/>
    <w:bookmarkEnd w:id="9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Changes in the fair value of recurring measurements included in Level 3 of the fair value hierarchy are presented as other income (expense), net in the Company's statements of operations and were as follows for the year ended December 31, 2019 (in thousands):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tcPr>
          <w:p>
            <w:pPr>
              <w:jc w:val="right"/>
              <w:ind w:right="515"/>
              <w:spacing w:after="0"/>
              <w:rPr>
                <w:sz w:val="20"/>
                <w:szCs w:val="20"/>
                <w:color w:val="auto"/>
              </w:rPr>
            </w:pPr>
            <w:r>
              <w:rPr>
                <w:rFonts w:ascii="Arial" w:cs="Arial" w:eastAsia="Arial" w:hAnsi="Arial"/>
                <w:sz w:val="14"/>
                <w:szCs w:val="14"/>
                <w:b w:val="1"/>
                <w:bCs w:val="1"/>
                <w:color w:val="auto"/>
              </w:rPr>
              <w:t>Estimated Fair Value</w:t>
            </w:r>
          </w:p>
        </w:tc>
      </w:tr>
      <w:tr>
        <w:trPr>
          <w:trHeight w:val="201"/>
        </w:trPr>
        <w:tc>
          <w:tcPr>
            <w:tcW w:w="64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of Derivative Liability</w:t>
            </w: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of Level 3 Liabilities at December 31, 2017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Initial estimated fair value of derivative liability for Exit Fee in May 2018</w:t>
            </w:r>
          </w:p>
        </w:tc>
        <w:tc>
          <w:tcPr>
            <w:tcW w:w="3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estimated fair value of derivative liability for Exit Fee</w:t>
            </w:r>
          </w:p>
        </w:tc>
        <w:tc>
          <w:tcPr>
            <w:tcW w:w="34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Balance of Level 3 Liabilities at December 31, 2018</w:t>
            </w:r>
          </w:p>
        </w:tc>
        <w:tc>
          <w:tcPr>
            <w:tcW w:w="3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estimated fair value of derivative liability for Exit Fee</w:t>
            </w:r>
          </w:p>
        </w:tc>
        <w:tc>
          <w:tcPr>
            <w:tcW w:w="34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17"/>
        </w:trPr>
        <w:tc>
          <w:tcPr>
            <w:tcW w:w="6400" w:type="dxa"/>
            <w:vAlign w:val="bottom"/>
          </w:tcPr>
          <w:p>
            <w:pPr>
              <w:spacing w:after="0"/>
              <w:rPr>
                <w:sz w:val="20"/>
                <w:szCs w:val="20"/>
                <w:color w:val="auto"/>
              </w:rPr>
            </w:pPr>
            <w:r>
              <w:rPr>
                <w:rFonts w:ascii="Arial" w:cs="Arial" w:eastAsia="Arial" w:hAnsi="Arial"/>
                <w:sz w:val="18"/>
                <w:szCs w:val="18"/>
                <w:color w:val="auto"/>
              </w:rPr>
              <w:t>Balance of Level 3 Liabilities at December 31, 2019</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r>
    </w:tbl>
    <w:p>
      <w:pPr>
        <w:spacing w:after="0" w:line="202" w:lineRule="exact"/>
        <w:rPr>
          <w:sz w:val="20"/>
          <w:szCs w:val="20"/>
          <w:color w:val="auto"/>
        </w:rPr>
      </w:pPr>
    </w:p>
    <w:p>
      <w:pPr>
        <w:ind w:left="40" w:right="119" w:firstLine="648"/>
        <w:spacing w:after="0" w:line="286" w:lineRule="auto"/>
        <w:rPr>
          <w:sz w:val="20"/>
          <w:szCs w:val="20"/>
          <w:color w:val="auto"/>
        </w:rPr>
      </w:pPr>
      <w:r>
        <w:rPr>
          <w:rFonts w:ascii="Arial" w:cs="Arial" w:eastAsia="Arial" w:hAnsi="Arial"/>
          <w:sz w:val="17"/>
          <w:szCs w:val="17"/>
          <w:color w:val="auto"/>
        </w:rPr>
        <w:t>The carrying amounts reflected in the balance sheets for cash equivalents, short-term investments, accounts receivable, prepaid expenses and other current assets, accounts payable and accrued expenses approximate their fair values at both December 31, 2019 and December 31, 2018, due to their short-term nature.</w:t>
      </w:r>
    </w:p>
    <w:p>
      <w:pPr>
        <w:spacing w:after="0" w:line="161" w:lineRule="exact"/>
        <w:rPr>
          <w:sz w:val="20"/>
          <w:szCs w:val="20"/>
          <w:color w:val="auto"/>
        </w:rPr>
      </w:pPr>
    </w:p>
    <w:p>
      <w:pPr>
        <w:ind w:left="700" w:right="4599" w:hanging="656"/>
        <w:spacing w:after="0" w:line="503" w:lineRule="auto"/>
        <w:tabs>
          <w:tab w:leader="none" w:pos="8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Foreign Currency Exchange Rate Exposure</w:t>
      </w:r>
    </w:p>
    <w:p>
      <w:pPr>
        <w:ind w:left="40" w:right="79" w:firstLine="648"/>
        <w:spacing w:after="0" w:line="290" w:lineRule="auto"/>
        <w:rPr>
          <w:sz w:val="20"/>
          <w:szCs w:val="20"/>
          <w:color w:val="auto"/>
        </w:rPr>
      </w:pPr>
      <w:r>
        <w:rPr>
          <w:rFonts w:ascii="Arial" w:cs="Arial" w:eastAsia="Arial" w:hAnsi="Arial"/>
          <w:sz w:val="16"/>
          <w:szCs w:val="16"/>
          <w:color w:val="auto"/>
        </w:rPr>
        <w:t>The Company has used forward foreign currency exchange contracts to secure a foreign currency exchange rate when a contract is executed involving payment in a foreign currency in order to minimize cash flow exposure to fluctuating exchange rates. Such exposure results from portions of the Company’s forecasted cash outflows being denominated in currencies other than the U.S. dollar, primarily the Swiss franc, or CHF, and the euro, or EUR. The derivative instruments the Company uses to hedge this exposure are not designated as cash flow hedges, and as a result, changes in the fair value of the derivative instruments are recorded in other income (expense), net, in the Company's statements of operations and comprehensive loss. The fair values of forward foreign currency exchange contracts are estimated using current exchange rates and interest rates and take into consideration the current creditworthiness of the counterparties.</w:t>
      </w:r>
    </w:p>
    <w:p>
      <w:pPr>
        <w:spacing w:after="0" w:line="165"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In March 2019, the Company settled its forward foreign currency exchange contract in the aggregate notional amount of CHF 3.3 million. As of December 31, 2019, the Company has no open forward foreign currency exchange contracts. The net loss associated with the Company's derivative instruments of $60,558 and $124,194 for the years ended December 31, 2019 and 2018, respectively, is recognized in other income (expense), net, in the statement of operations and comprehensive loss. There were no expenses related to the Company’s derivative instruments during the year ended December 31, 2017.</w:t>
      </w:r>
    </w:p>
    <w:p>
      <w:pPr>
        <w:spacing w:after="0" w:line="175" w:lineRule="exact"/>
        <w:rPr>
          <w:sz w:val="20"/>
          <w:szCs w:val="20"/>
          <w:color w:val="auto"/>
        </w:rPr>
      </w:pPr>
    </w:p>
    <w:p>
      <w:pPr>
        <w:ind w:left="920" w:hanging="876"/>
        <w:spacing w:after="0"/>
        <w:tabs>
          <w:tab w:leader="none" w:pos="9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Solar Capital and Western Alliance Bank Loan Agreement</w:t>
      </w:r>
    </w:p>
    <w:p>
      <w:pPr>
        <w:spacing w:after="0" w:line="225" w:lineRule="exact"/>
        <w:rPr>
          <w:sz w:val="20"/>
          <w:szCs w:val="20"/>
          <w:color w:val="auto"/>
        </w:rPr>
      </w:pPr>
    </w:p>
    <w:p>
      <w:pPr>
        <w:ind w:left="40" w:right="159" w:firstLine="648"/>
        <w:spacing w:after="0" w:line="257" w:lineRule="auto"/>
        <w:rPr>
          <w:sz w:val="20"/>
          <w:szCs w:val="20"/>
          <w:color w:val="auto"/>
        </w:rPr>
      </w:pPr>
      <w:r>
        <w:rPr>
          <w:rFonts w:ascii="Arial" w:cs="Arial" w:eastAsia="Arial" w:hAnsi="Arial"/>
          <w:sz w:val="18"/>
          <w:szCs w:val="18"/>
          <w:color w:val="auto"/>
        </w:rPr>
        <w:t>On May 16, 2018, the Company entered into a loan and security agreement, or the Loan Agreement, with Solar Capital Ltd. and Western Alliance Bank, or collectively the Lenders. The Loan Agreement provides for a $50.0 million term loan facility with a maturity date of November 1, 2022, or the Term Loan. The full amount of the loan was funded on May 16, 2018. The Company received net proceeds from the loan of approximately $49.3 million, after deducting the closing fee, legal expenses and issuance costs.</w:t>
      </w:r>
    </w:p>
    <w:p>
      <w:pPr>
        <w:spacing w:after="0" w:line="188"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Borrowings under the Term Loan bear interest at a floating per annum rate equal to 7.45% plus the one-month London Inter-bank Offered Rate, or LIBOR. The Company is permitted to make interest-only payments on the Term Loan through June 1, 2020, unless the Company achieves its primary endpoint in the Phase 3 study of tenapanor for the treatment of hyperphosphatemia in end-stage renal disease patients on dialysis, prior to June 1, 2020, in which case the Company is permitted to make interest-only payments on the Term Loan through December 1, 2020. On December 3, 2019, the Company reported positive topline results for PHREEDOM, a long-term Phase 3 study evaluating the efficacy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9" w:name="page100"/>
    <w:bookmarkEnd w:id="9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86" w:lineRule="auto"/>
        <w:rPr>
          <w:sz w:val="20"/>
          <w:szCs w:val="20"/>
          <w:color w:val="auto"/>
        </w:rPr>
      </w:pPr>
      <w:r>
        <w:rPr>
          <w:rFonts w:ascii="Arial" w:cs="Arial" w:eastAsia="Arial" w:hAnsi="Arial"/>
          <w:sz w:val="16"/>
          <w:szCs w:val="16"/>
          <w:color w:val="auto"/>
        </w:rPr>
        <w:t>and safety of tenapanor as monotherapy for the treatment of hyperphosphatemia in patients with CKD on dialysis. The Lenders are in agreement that these positive data from the Phase 3 PHREEDOM study achieve the “Phase 3 Endpoint” required by the Loan Agreement to extend the interest only period by six months to December 1, 2020. Accordingly, beginning on December 1, 2020 through the maturity date, the Company will be required to make monthly payments of interest plus repayment of the Term Loan in consecutive equal monthly installments of principal. The Company paid a closing fee of 1% of the Term Loan, or $0.5 million, upon the closing of the Term Loan. The Company is obligated to pay a final fee equal to 3.95% of the Term Loan upon the earliest to occur of the maturity date, the acceleration of the Term Loan, the prepayment or repayment of the Term Loan or the termination of the Loan Agreement. The Company may voluntarily prepay the outstanding Term Loan, subject to a prepayment premium of (i) 3% of the principal amount of the Term Loan 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the Company’s assets, except for the Company’s intellectual property and certain other customary exclusions. Additionally, in connection with the Term Loan, the Company entered into the Exit Fee Agreement, as discussed in Note 4.</w:t>
      </w:r>
    </w:p>
    <w:p>
      <w:pPr>
        <w:spacing w:after="0" w:line="167" w:lineRule="exact"/>
        <w:rPr>
          <w:sz w:val="20"/>
          <w:szCs w:val="20"/>
          <w:color w:val="auto"/>
        </w:rPr>
      </w:pPr>
    </w:p>
    <w:p>
      <w:pPr>
        <w:ind w:left="40" w:right="219" w:firstLine="648"/>
        <w:spacing w:after="0" w:line="263" w:lineRule="auto"/>
        <w:rPr>
          <w:sz w:val="20"/>
          <w:szCs w:val="20"/>
          <w:color w:val="auto"/>
        </w:rPr>
      </w:pPr>
      <w:r>
        <w:rPr>
          <w:rFonts w:ascii="Arial" w:cs="Arial" w:eastAsia="Arial" w:hAnsi="Arial"/>
          <w:sz w:val="18"/>
          <w:szCs w:val="18"/>
          <w:color w:val="auto"/>
        </w:rPr>
        <w:t>The Loan Agreement contains customary representations and warranties and customary affirmative and negative covenants. As of December 31, 2019, the Company was in compliance with all of the covenants set forth in the Loan Agreement.</w:t>
      </w:r>
    </w:p>
    <w:p>
      <w:pPr>
        <w:spacing w:after="0" w:line="184" w:lineRule="exact"/>
        <w:rPr>
          <w:sz w:val="20"/>
          <w:szCs w:val="20"/>
          <w:color w:val="auto"/>
        </w:rPr>
      </w:pPr>
    </w:p>
    <w:p>
      <w:pPr>
        <w:ind w:left="40" w:right="399" w:firstLine="648"/>
        <w:spacing w:after="0" w:line="273" w:lineRule="auto"/>
        <w:rPr>
          <w:sz w:val="20"/>
          <w:szCs w:val="20"/>
          <w:color w:val="auto"/>
        </w:rPr>
      </w:pPr>
      <w:r>
        <w:rPr>
          <w:rFonts w:ascii="Arial" w:cs="Arial" w:eastAsia="Arial" w:hAnsi="Arial"/>
          <w:sz w:val="17"/>
          <w:szCs w:val="17"/>
          <w:color w:val="auto"/>
        </w:rPr>
        <w:t>In addition, the Loan Agreement contains customary events of default that entitle the Lender to cause the Company’s indebtedness under the Loan Agreement to become immediately due and payable, and to exercise remedies against the Company and the collateral securing the Term Loan, including its cash. Upon the occurrence and for the duration of an event of default, an additional default interest rate equal to 4.0% per annum will apply to all obligations owed under the Loan Agreement. As of December 31, 2019, to the Company’s knowledge, there were no facts or circumstances in existence that would give rise to an event of default.</w:t>
      </w:r>
    </w:p>
    <w:p>
      <w:pPr>
        <w:spacing w:after="0" w:line="178" w:lineRule="exact"/>
        <w:rPr>
          <w:sz w:val="20"/>
          <w:szCs w:val="20"/>
          <w:color w:val="auto"/>
        </w:rPr>
      </w:pPr>
    </w:p>
    <w:p>
      <w:pPr>
        <w:ind w:left="40" w:right="399" w:firstLine="648"/>
        <w:spacing w:after="0" w:line="277" w:lineRule="auto"/>
        <w:rPr>
          <w:sz w:val="20"/>
          <w:szCs w:val="20"/>
          <w:color w:val="auto"/>
        </w:rPr>
      </w:pPr>
      <w:r>
        <w:rPr>
          <w:rFonts w:ascii="Arial" w:cs="Arial" w:eastAsia="Arial" w:hAnsi="Arial"/>
          <w:sz w:val="18"/>
          <w:szCs w:val="18"/>
          <w:color w:val="auto"/>
        </w:rPr>
        <w:t>As of December 31, 2019, the Company’s future debt payment obligations towards the principal and final fee, excluding interest payments and the Exit Fee are as follows (in thousands):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24,892</w:t>
            </w:r>
          </w:p>
        </w:tc>
      </w:tr>
      <w:tr>
        <w:trPr>
          <w:trHeight w:val="210"/>
        </w:trPr>
        <w:tc>
          <w:tcPr>
            <w:tcW w:w="6340" w:type="dxa"/>
            <w:vAlign w:val="bottom"/>
          </w:tcPr>
          <w:p>
            <w:pPr>
              <w:ind w:left="100"/>
              <w:spacing w:after="0"/>
              <w:rPr>
                <w:sz w:val="20"/>
                <w:szCs w:val="20"/>
                <w:color w:val="auto"/>
              </w:rPr>
            </w:pPr>
            <w:r>
              <w:rPr>
                <w:rFonts w:ascii="Arial" w:cs="Arial" w:eastAsia="Arial" w:hAnsi="Arial"/>
                <w:sz w:val="18"/>
                <w:szCs w:val="18"/>
                <w:color w:val="auto"/>
              </w:rPr>
              <w:t>Total principal and final fee payments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51,975</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16"/>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Unaccreted value of final fee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r>
      <w:tr>
        <w:trPr>
          <w:trHeight w:val="210"/>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Loan payable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50,014</w:t>
            </w:r>
          </w:p>
        </w:tc>
      </w:tr>
      <w:tr>
        <w:trPr>
          <w:trHeight w:val="216"/>
        </w:trPr>
        <w:tc>
          <w:tcPr>
            <w:tcW w:w="6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Loan payable, current portion</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r>
      <w:tr>
        <w:trPr>
          <w:trHeight w:val="216"/>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Loan payable, net of current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48,831</w:t>
            </w:r>
          </w:p>
        </w:tc>
      </w:tr>
    </w:tbl>
    <w:p>
      <w:pPr>
        <w:spacing w:after="0" w:line="200" w:lineRule="exact"/>
        <w:rPr>
          <w:sz w:val="20"/>
          <w:szCs w:val="20"/>
          <w:color w:val="auto"/>
        </w:rPr>
      </w:pPr>
    </w:p>
    <w:p>
      <w:pPr>
        <w:spacing w:after="0" w:line="227" w:lineRule="exact"/>
        <w:rPr>
          <w:sz w:val="20"/>
          <w:szCs w:val="20"/>
          <w:color w:val="auto"/>
        </w:rPr>
      </w:pPr>
    </w:p>
    <w:p>
      <w:pPr>
        <w:ind w:left="920" w:hanging="876"/>
        <w:spacing w:after="0"/>
        <w:tabs>
          <w:tab w:leader="none" w:pos="9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43" w:lineRule="exact"/>
        <w:rPr>
          <w:sz w:val="20"/>
          <w:szCs w:val="20"/>
          <w:color w:val="auto"/>
        </w:rPr>
      </w:pPr>
    </w:p>
    <w:p>
      <w:pPr>
        <w:ind w:left="40" w:right="79" w:firstLine="648"/>
        <w:spacing w:after="0" w:line="289" w:lineRule="auto"/>
        <w:rPr>
          <w:sz w:val="20"/>
          <w:szCs w:val="20"/>
          <w:color w:val="auto"/>
        </w:rPr>
      </w:pPr>
      <w:r>
        <w:rPr>
          <w:rFonts w:ascii="Arial" w:cs="Arial" w:eastAsia="Arial" w:hAnsi="Arial"/>
          <w:sz w:val="16"/>
          <w:szCs w:val="16"/>
          <w:color w:val="auto"/>
        </w:rPr>
        <w:t>On December 9, 2019, the Company completed an underwritten public offering of 20,000,000 shares of common stock at a price of $6.25 per share before underwriting discounts and commissions, or the 2019 Offering. In connection with the 2019 Offering, the Company entered into an underwriting agreement, or the 2019 Underwriting Agreement, with Citigroup Global Markets Inc., Cowen and Company LLC, SVB Leerink LLC and Piper Jaffray &amp; Co., or collectively the 2019 Underwriters, pursuant to which the Company granted to the 2019 Underwriters a 30-day option to purchase up to an additional 3,000,000 shares of the Company’s common stock, or the 2019 Overallotment. The Company completed the sale of 23,000,000 shares, inclusive of the 2019 Overallotment, to the 2019 Underwriters and that sale resulted in the receipt by the Company of aggregate gross proceeds of approximately $143.8 million, less underwriting discounts, commissions and offering expenses totaling approximately $8.9 million, which resulted in net proceeds of approximately $134.9 million.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0" w:name="page101"/>
    <w:bookmarkEnd w:id="10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199" w:firstLine="648"/>
        <w:spacing w:after="0" w:line="286" w:lineRule="auto"/>
        <w:rPr>
          <w:sz w:val="20"/>
          <w:szCs w:val="20"/>
          <w:color w:val="auto"/>
        </w:rPr>
      </w:pPr>
      <w:r>
        <w:rPr>
          <w:rFonts w:ascii="Arial" w:cs="Arial" w:eastAsia="Arial" w:hAnsi="Arial"/>
          <w:sz w:val="17"/>
          <w:szCs w:val="17"/>
          <w:color w:val="auto"/>
        </w:rPr>
        <w:t>On November 22, 2019, the Company and KKC entered into a stock purchase agreement, pursuant to which the Company sold an aggregate of 2,873,563 shares of its common stock at $6.96 per share for net proceeds of approximately $20.0 million, or the Private Placement. The Private Placement closed on November 25, 2019.</w:t>
      </w:r>
    </w:p>
    <w:p>
      <w:pPr>
        <w:spacing w:after="0" w:line="165" w:lineRule="exact"/>
        <w:rPr>
          <w:sz w:val="20"/>
          <w:szCs w:val="20"/>
          <w:color w:val="auto"/>
        </w:rPr>
      </w:pPr>
    </w:p>
    <w:p>
      <w:pPr>
        <w:ind w:left="40" w:right="79" w:firstLine="648"/>
        <w:spacing w:after="0" w:line="289" w:lineRule="auto"/>
        <w:rPr>
          <w:sz w:val="20"/>
          <w:szCs w:val="20"/>
          <w:color w:val="auto"/>
        </w:rPr>
      </w:pPr>
      <w:r>
        <w:rPr>
          <w:rFonts w:ascii="Arial" w:cs="Arial" w:eastAsia="Arial" w:hAnsi="Arial"/>
          <w:sz w:val="16"/>
          <w:szCs w:val="16"/>
          <w:color w:val="auto"/>
        </w:rPr>
        <w:t>On May 25, 2018, the Company completed an underwritten public offering of 12,500,000 shares of common stock at a price of $4.00 per share before underwriting discounts and commissions, or the 2018 Offering. In connection with the 2018 Offering, the Company entered into an underwriting agreement, or the 2018 Underwriting Agreement, with Jefferies LLC and SVB Leerink (formerly known as Leerink Partners LLC), or together the 2018 Underwriters, pursuant to which the Company granted to the 2018 Underwriters a 30-day option to purchase up to an additional 1,875,000 shares of the Company’s common stock, or the 2018 Overallotment. The Company completed the sale of 14,375,000 shares, inclusive of the 2018 Overallotment, to the 2018 Underwriters, and that sale resulted in the receipt by the Company of aggregate gross proceeds of approximately $57.5 million, less underwriting discounts, commissions and offering expenses totaling approximately $3.7 million, which resulted in net proceeds of approximately $53.8 million.</w:t>
      </w:r>
    </w:p>
    <w:p>
      <w:pPr>
        <w:spacing w:after="0" w:line="162" w:lineRule="exact"/>
        <w:rPr>
          <w:sz w:val="20"/>
          <w:szCs w:val="20"/>
          <w:color w:val="auto"/>
        </w:rPr>
      </w:pPr>
    </w:p>
    <w:p>
      <w:pPr>
        <w:ind w:left="680" w:hanging="636"/>
        <w:spacing w:after="0"/>
        <w:tabs>
          <w:tab w:leader="none" w:pos="6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2008 Plan</w:t>
      </w:r>
    </w:p>
    <w:p>
      <w:pPr>
        <w:spacing w:after="0" w:line="225"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The Company granted options under its 2008 Stock Incentive Plan (the “2008 Plan”) until June 2014 when it was terminated as to future awards, although it continues to govern the terms of options that remain outstanding under the 2008 Plan. The 2008 Plan provided for the granting of incentive and non-qualified stock options, and stock purchase rights to employees, directors and consultants at the discretion of the Board of Directors. Stock options granted generally vest over a period of four years from the date of grant. In connection with the Board of Directors and stockholders’ approval of the 2014 Plan, all remaining shares available for future award under the 2008 Plan were transferred to 2014 Plan, and the 2008 Plan was terminated.</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2014 Plan</w:t>
      </w:r>
    </w:p>
    <w:p>
      <w:pPr>
        <w:spacing w:after="0" w:line="225" w:lineRule="exact"/>
        <w:rPr>
          <w:sz w:val="20"/>
          <w:szCs w:val="20"/>
          <w:color w:val="auto"/>
        </w:rPr>
      </w:pPr>
    </w:p>
    <w:p>
      <w:pPr>
        <w:ind w:left="40" w:right="139" w:firstLine="648"/>
        <w:spacing w:after="0" w:line="284" w:lineRule="auto"/>
        <w:rPr>
          <w:sz w:val="20"/>
          <w:szCs w:val="20"/>
          <w:color w:val="auto"/>
        </w:rPr>
      </w:pPr>
      <w:r>
        <w:rPr>
          <w:rFonts w:ascii="Arial" w:cs="Arial" w:eastAsia="Arial" w:hAnsi="Arial"/>
          <w:sz w:val="16"/>
          <w:szCs w:val="16"/>
          <w:color w:val="auto"/>
        </w:rPr>
        <w:t>The 2014 Equity Incentive Award Plan (the “2014 Plan”) became effective on June 18, 2014. Under the 2014 Plan, 1,419,328 shares of common stock were initially reserved for issuance pursuant to a variety of stock-based compensation awards, including stock options, stock appreciation rights, or SARs, restricted stock awards, service-based restricted stock unit (“RSU”) awards, performance-based restricted stock unit (“PRSU”) awards, deferred stock awards, deferred stock unit awards, dividend equivalent awards, stock payment awards and performance awards. In addition, 35,221 shares that had been available for future awards under the 2008 Plan as of June 18, 2014, were added to the initial reserve available under the 2014 Plan, bringing the total reserve upon the effective date of the 2014 Plan to 1,454,549. The number of shares initially reserved for issuance or transfer pursuant to awards under the 2014 Plan will be increased by</w:t>
      </w:r>
    </w:p>
    <w:p>
      <w:pPr>
        <w:spacing w:after="0" w:line="1" w:lineRule="exact"/>
        <w:rPr>
          <w:sz w:val="20"/>
          <w:szCs w:val="20"/>
          <w:color w:val="auto"/>
        </w:rPr>
      </w:pPr>
    </w:p>
    <w:p>
      <w:pPr>
        <w:jc w:val="center"/>
        <w:ind w:left="40" w:right="79" w:firstLine="4"/>
        <w:spacing w:after="0" w:line="281" w:lineRule="auto"/>
        <w:tabs>
          <w:tab w:leader="none" w:pos="2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number of shares represented by awards outstanding under 2008 Plan on June 18, 2014, that are either forfeited or lapse unexercised or that are repurchased for the original purchase price thereof, up to a maximum of 1,153,279 shares, and</w:t>
      </w:r>
    </w:p>
    <w:p>
      <w:pPr>
        <w:spacing w:after="0" w:line="1" w:lineRule="exact"/>
        <w:rPr>
          <w:rFonts w:ascii="Arial" w:cs="Arial" w:eastAsia="Arial" w:hAnsi="Arial"/>
          <w:sz w:val="16"/>
          <w:szCs w:val="16"/>
          <w:color w:val="auto"/>
        </w:rPr>
      </w:pPr>
    </w:p>
    <w:p>
      <w:pPr>
        <w:ind w:left="40" w:right="79" w:firstLine="4"/>
        <w:spacing w:after="0" w:line="253" w:lineRule="auto"/>
        <w:tabs>
          <w:tab w:leader="none" w:pos="3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approved by the Administrator of the 2014 Plan, an annual increase on the first day of each fiscal year ending in 2024 equal to the lesser of (A) four percent (4.0%) of the shares of stock outstanding (on an as converted basis) on the last day of the immediately preceding fiscal year and (B) such smaller number of shares of stock as determined by our board of directors; provided, however, that no more than 10,683,053 shares of stock may be issued upon the exercise of incentive stock options.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2016 Plan</w:t>
      </w:r>
    </w:p>
    <w:p>
      <w:pPr>
        <w:spacing w:after="0" w:line="225" w:lineRule="exact"/>
        <w:rPr>
          <w:sz w:val="20"/>
          <w:szCs w:val="20"/>
          <w:color w:val="auto"/>
        </w:rPr>
      </w:pPr>
    </w:p>
    <w:p>
      <w:pPr>
        <w:ind w:left="40" w:right="179" w:firstLine="648"/>
        <w:spacing w:after="0" w:line="311" w:lineRule="auto"/>
        <w:rPr>
          <w:sz w:val="20"/>
          <w:szCs w:val="20"/>
          <w:color w:val="auto"/>
        </w:rPr>
      </w:pPr>
      <w:r>
        <w:rPr>
          <w:rFonts w:ascii="Arial" w:cs="Arial" w:eastAsia="Arial" w:hAnsi="Arial"/>
          <w:sz w:val="16"/>
          <w:szCs w:val="16"/>
          <w:color w:val="auto"/>
        </w:rPr>
        <w:t>In November 2016, the Company’s board of directors approved the 2016 Employment Commencement Incentive Plan (the “Inducement Plan”) under which 1,000,000 shares were reserved. As of December 31, 2019, no shares of the Company’s common stock were subject to inducement grants that were issued pursuant to the Inducement Plan.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1" w:name="page102"/>
    <w:bookmarkEnd w:id="10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 Plan Activity</w:t>
      </w:r>
    </w:p>
    <w:p>
      <w:pPr>
        <w:spacing w:after="0" w:line="225" w:lineRule="exact"/>
        <w:rPr>
          <w:sz w:val="20"/>
          <w:szCs w:val="20"/>
          <w:color w:val="auto"/>
        </w:rPr>
      </w:pPr>
    </w:p>
    <w:p>
      <w:pPr>
        <w:ind w:left="40" w:right="659" w:firstLine="648"/>
        <w:spacing w:after="0" w:line="277" w:lineRule="auto"/>
        <w:rPr>
          <w:sz w:val="20"/>
          <w:szCs w:val="20"/>
          <w:color w:val="auto"/>
        </w:rPr>
      </w:pPr>
      <w:r>
        <w:rPr>
          <w:rFonts w:ascii="Arial" w:cs="Arial" w:eastAsia="Arial" w:hAnsi="Arial"/>
          <w:sz w:val="18"/>
          <w:szCs w:val="18"/>
          <w:color w:val="auto"/>
        </w:rPr>
        <w:t>The following table summarizes activity under the 2008 Plan and the 2014 Plan, including grants issued to nonemployees, in the year ended December 31, 2019:</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6"/>
          </w:tcPr>
          <w:p>
            <w:pPr>
              <w:ind w:left="220"/>
              <w:spacing w:after="0"/>
              <w:rPr>
                <w:sz w:val="20"/>
                <w:szCs w:val="20"/>
                <w:color w:val="auto"/>
              </w:rPr>
            </w:pPr>
            <w:r>
              <w:rPr>
                <w:rFonts w:ascii="Arial" w:cs="Arial" w:eastAsia="Arial" w:hAnsi="Arial"/>
                <w:sz w:val="14"/>
                <w:szCs w:val="14"/>
                <w:b w:val="1"/>
                <w:bCs w:val="1"/>
                <w:color w:val="auto"/>
              </w:rPr>
              <w:t>Options Issued and Outstanding</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Shares Available</w:t>
            </w:r>
          </w:p>
        </w:tc>
        <w:tc>
          <w:tcPr>
            <w:tcW w:w="1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160" w:type="dxa"/>
            <w:vAlign w:val="bottom"/>
          </w:tcPr>
          <w:p>
            <w:pPr>
              <w:spacing w:after="0"/>
              <w:rPr>
                <w:sz w:val="10"/>
                <w:szCs w:val="10"/>
                <w:color w:val="auto"/>
              </w:rPr>
            </w:pPr>
          </w:p>
        </w:tc>
        <w:tc>
          <w:tcPr>
            <w:tcW w:w="13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7"/>
              </w:rPr>
              <w:t>Average</w:t>
            </w:r>
          </w:p>
        </w:tc>
        <w:tc>
          <w:tcPr>
            <w:tcW w:w="120" w:type="dxa"/>
            <w:vAlign w:val="bottom"/>
          </w:tcPr>
          <w:p>
            <w:pPr>
              <w:spacing w:after="0"/>
              <w:rPr>
                <w:sz w:val="10"/>
                <w:szCs w:val="10"/>
                <w:color w:val="auto"/>
              </w:rPr>
            </w:pPr>
          </w:p>
        </w:tc>
        <w:tc>
          <w:tcPr>
            <w:tcW w:w="8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1"/>
              </w:rPr>
              <w:t>Number of Shares</w:t>
            </w:r>
          </w:p>
        </w:tc>
        <w:tc>
          <w:tcPr>
            <w:tcW w:w="80" w:type="dxa"/>
            <w:vAlign w:val="bottom"/>
          </w:tcPr>
          <w:p>
            <w:pPr>
              <w:spacing w:after="0"/>
              <w:rPr>
                <w:sz w:val="12"/>
                <w:szCs w:val="12"/>
                <w:color w:val="auto"/>
              </w:rPr>
            </w:pPr>
          </w:p>
        </w:tc>
        <w:tc>
          <w:tcPr>
            <w:tcW w:w="13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Exercise Price per</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for Grant</w:t>
            </w: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420"/>
              <w:spacing w:after="0"/>
              <w:rPr>
                <w:sz w:val="20"/>
                <w:szCs w:val="20"/>
                <w:color w:val="auto"/>
              </w:rPr>
            </w:pPr>
            <w:r>
              <w:rPr>
                <w:rFonts w:ascii="Arial" w:cs="Arial" w:eastAsia="Arial" w:hAnsi="Arial"/>
                <w:sz w:val="14"/>
                <w:szCs w:val="14"/>
                <w:b w:val="1"/>
                <w:bCs w:val="1"/>
                <w:color w:val="auto"/>
                <w:w w:val="87"/>
              </w:rPr>
              <w:t>Share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Contractual Term</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 Years)</w:t>
            </w:r>
          </w:p>
        </w:tc>
        <w:tc>
          <w:tcPr>
            <w:tcW w:w="160" w:type="dxa"/>
            <w:vAlign w:val="bottom"/>
          </w:tcPr>
          <w:p>
            <w:pPr>
              <w:spacing w:after="0"/>
              <w:rPr>
                <w:sz w:val="12"/>
                <w:szCs w:val="12"/>
                <w:color w:val="auto"/>
              </w:rPr>
            </w:pPr>
          </w:p>
        </w:tc>
        <w:tc>
          <w:tcPr>
            <w:tcW w:w="9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Balance at December 31, 2018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608,528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5,506,760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8.32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8"/>
                <w:szCs w:val="18"/>
                <w:color w:val="auto"/>
              </w:rPr>
              <w:t>Options authorized</w:t>
            </w:r>
          </w:p>
        </w:tc>
        <w:tc>
          <w:tcPr>
            <w:tcW w:w="1040" w:type="dxa"/>
            <w:vAlign w:val="bottom"/>
          </w:tcPr>
          <w:p>
            <w:pPr>
              <w:jc w:val="right"/>
              <w:spacing w:after="0"/>
              <w:rPr>
                <w:sz w:val="20"/>
                <w:szCs w:val="20"/>
                <w:color w:val="auto"/>
              </w:rPr>
            </w:pPr>
            <w:r>
              <w:rPr>
                <w:rFonts w:ascii="Arial" w:cs="Arial" w:eastAsia="Arial" w:hAnsi="Arial"/>
                <w:sz w:val="18"/>
                <w:szCs w:val="18"/>
                <w:color w:val="auto"/>
              </w:rPr>
              <w:t>2,490,417</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granted</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(2,362,685)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2,362,685</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8"/>
                <w:szCs w:val="18"/>
                <w:color w:val="auto"/>
              </w:rPr>
              <w:t>Options exercised</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(68,062)</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2.59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canceled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528,615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(528,615)</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7.69</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80" w:type="dxa"/>
            <w:vAlign w:val="bottom"/>
          </w:tcPr>
          <w:p>
            <w:pPr>
              <w:ind w:left="220"/>
              <w:spacing w:after="0" w:line="201" w:lineRule="exact"/>
              <w:rPr>
                <w:sz w:val="20"/>
                <w:szCs w:val="20"/>
                <w:color w:val="auto"/>
              </w:rPr>
            </w:pPr>
            <w:r>
              <w:rPr>
                <w:rFonts w:ascii="Arial" w:cs="Arial" w:eastAsia="Arial" w:hAnsi="Arial"/>
                <w:sz w:val="18"/>
                <w:szCs w:val="18"/>
                <w:color w:val="auto"/>
              </w:rPr>
              <w:t>Issuance of common stock for</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20"/>
              <w:spacing w:after="0"/>
              <w:rPr>
                <w:sz w:val="20"/>
                <w:szCs w:val="20"/>
                <w:color w:val="auto"/>
              </w:rPr>
            </w:pPr>
            <w:r>
              <w:rPr>
                <w:rFonts w:ascii="Arial" w:cs="Arial" w:eastAsia="Arial" w:hAnsi="Arial"/>
                <w:sz w:val="18"/>
                <w:szCs w:val="18"/>
                <w:color w:val="auto"/>
              </w:rPr>
              <w:t>services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(113,136)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Forfeitures of PRSUs granted in</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years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45,007</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Balance at December 31, 2019</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1,196,746</w:t>
            </w:r>
          </w:p>
        </w:tc>
        <w:tc>
          <w:tcPr>
            <w:tcW w:w="16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7,272,768</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6.55</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188"/>
        </w:trPr>
        <w:tc>
          <w:tcPr>
            <w:tcW w:w="28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Vested and expected to vest at</w:t>
            </w: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6,754,711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0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6.74</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17,217</w:t>
            </w:r>
          </w:p>
        </w:tc>
        <w:tc>
          <w:tcPr>
            <w:tcW w:w="0" w:type="dxa"/>
            <w:vAlign w:val="bottom"/>
          </w:tcPr>
          <w:p>
            <w:pPr>
              <w:spacing w:after="0"/>
              <w:rPr>
                <w:sz w:val="1"/>
                <w:szCs w:val="1"/>
                <w:color w:val="auto"/>
              </w:rPr>
            </w:pPr>
          </w:p>
        </w:tc>
      </w:tr>
      <w:tr>
        <w:trPr>
          <w:trHeight w:val="210"/>
        </w:trPr>
        <w:tc>
          <w:tcPr>
            <w:tcW w:w="2880" w:type="dxa"/>
            <w:vAlign w:val="bottom"/>
          </w:tcPr>
          <w:p>
            <w:pPr>
              <w:spacing w:after="0" w:line="203" w:lineRule="exact"/>
              <w:rPr>
                <w:sz w:val="20"/>
                <w:szCs w:val="20"/>
                <w:color w:val="auto"/>
              </w:rPr>
            </w:pPr>
            <w:r>
              <w:rPr>
                <w:rFonts w:ascii="Arial" w:cs="Arial" w:eastAsia="Arial" w:hAnsi="Arial"/>
                <w:sz w:val="18"/>
                <w:szCs w:val="18"/>
                <w:color w:val="auto"/>
              </w:rPr>
              <w:t>Exercisable at December 31, 2019</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4,183,281</w:t>
            </w:r>
          </w:p>
        </w:tc>
        <w:tc>
          <w:tcPr>
            <w:tcW w:w="80" w:type="dxa"/>
            <w:vAlign w:val="bottom"/>
          </w:tcPr>
          <w:p>
            <w:pPr>
              <w:spacing w:after="0"/>
              <w:rPr>
                <w:sz w:val="18"/>
                <w:szCs w:val="18"/>
                <w:color w:val="auto"/>
              </w:rPr>
            </w:pPr>
          </w:p>
        </w:tc>
        <w:tc>
          <w:tcPr>
            <w:tcW w:w="86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3" w:lineRule="exact"/>
              <w:rPr>
                <w:sz w:val="20"/>
                <w:szCs w:val="20"/>
                <w:color w:val="auto"/>
              </w:rPr>
            </w:pPr>
            <w:r>
              <w:rPr>
                <w:rFonts w:ascii="Arial" w:cs="Arial" w:eastAsia="Arial" w:hAnsi="Arial"/>
                <w:sz w:val="18"/>
                <w:szCs w:val="18"/>
                <w:color w:val="auto"/>
                <w:w w:val="91"/>
              </w:rPr>
              <w:t>7.95</w:t>
            </w:r>
          </w:p>
        </w:tc>
        <w:tc>
          <w:tcPr>
            <w:tcW w:w="160" w:type="dxa"/>
            <w:vAlign w:val="bottom"/>
          </w:tcPr>
          <w:p>
            <w:pPr>
              <w:spacing w:after="0"/>
              <w:rPr>
                <w:sz w:val="18"/>
                <w:szCs w:val="18"/>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6.46</w:t>
            </w:r>
          </w:p>
        </w:tc>
        <w:tc>
          <w:tcPr>
            <w:tcW w:w="160" w:type="dxa"/>
            <w:vAlign w:val="bottom"/>
          </w:tcPr>
          <w:p>
            <w:pPr>
              <w:spacing w:after="0"/>
              <w:rPr>
                <w:sz w:val="18"/>
                <w:szCs w:val="18"/>
                <w:color w:val="auto"/>
              </w:rPr>
            </w:pPr>
          </w:p>
        </w:tc>
        <w:tc>
          <w:tcPr>
            <w:tcW w:w="120" w:type="dxa"/>
            <w:vAlign w:val="bottom"/>
          </w:tcPr>
          <w:p>
            <w:pPr>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8,753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The aggregate intrinsic value represents the difference between the total pre-tax value (i.e., the difference between the Company’s stock price and the exercise price) of stock options outstanding as of December 31, 2019, based on the Company’s common stock closing price of $7.51 per share, which would have been received by the option holders had all their in-the-money options been exercised as of that date.</w:t>
      </w:r>
    </w:p>
    <w:p>
      <w:pPr>
        <w:spacing w:after="0" w:line="187" w:lineRule="exact"/>
        <w:rPr>
          <w:sz w:val="20"/>
          <w:szCs w:val="20"/>
          <w:color w:val="auto"/>
        </w:rPr>
      </w:pPr>
    </w:p>
    <w:p>
      <w:pPr>
        <w:ind w:left="40" w:right="459" w:firstLine="648"/>
        <w:spacing w:after="0" w:line="277" w:lineRule="auto"/>
        <w:rPr>
          <w:sz w:val="20"/>
          <w:szCs w:val="20"/>
          <w:color w:val="auto"/>
        </w:rPr>
      </w:pPr>
      <w:r>
        <w:rPr>
          <w:rFonts w:ascii="Arial" w:cs="Arial" w:eastAsia="Arial" w:hAnsi="Arial"/>
          <w:sz w:val="18"/>
          <w:szCs w:val="18"/>
          <w:color w:val="auto"/>
        </w:rPr>
        <w:t>The intrinsic value of options exercised during the years ended December 31, 2019, 2018 and 2017, was $0.4 million, zero, and $0.3 million, respectively.</w:t>
      </w:r>
    </w:p>
    <w:p>
      <w:pPr>
        <w:spacing w:after="0" w:line="170" w:lineRule="exact"/>
        <w:rPr>
          <w:sz w:val="20"/>
          <w:szCs w:val="20"/>
          <w:color w:val="auto"/>
        </w:rPr>
      </w:pPr>
    </w:p>
    <w:p>
      <w:pPr>
        <w:ind w:left="40" w:right="199" w:firstLine="648"/>
        <w:spacing w:after="0" w:line="259" w:lineRule="auto"/>
        <w:rPr>
          <w:sz w:val="20"/>
          <w:szCs w:val="20"/>
          <w:color w:val="auto"/>
        </w:rPr>
      </w:pPr>
      <w:r>
        <w:rPr>
          <w:rFonts w:ascii="Arial" w:cs="Arial" w:eastAsia="Arial" w:hAnsi="Arial"/>
          <w:sz w:val="18"/>
          <w:szCs w:val="18"/>
          <w:color w:val="auto"/>
        </w:rPr>
        <w:t>The weighted-average grant-date estimated fair value of options granted during the years ended December 31, 2019, 2018 and 2017 was $1.79, $4.29 and $8.19 per share, respectively. The estimated grant date fair value of employee stock options was calculated using the Black-Scholes option-pricing model, based on the following weighted-average assumptions: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16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61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81 %</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2.42 %</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Dividend yield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Company has limited historical information to develop reasonable expectations about future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patterns and post-vesting employment termination behavior for its stock-option grants. As such, the expected term was estimated using the simplified method whereby the expected term equals the arithmetic average of the vesting term and the original contractual term of the option.</w:t>
      </w:r>
    </w:p>
    <w:p>
      <w:pPr>
        <w:spacing w:after="0" w:line="187" w:lineRule="exact"/>
        <w:rPr>
          <w:sz w:val="20"/>
          <w:szCs w:val="20"/>
          <w:color w:val="auto"/>
        </w:rPr>
      </w:pPr>
    </w:p>
    <w:p>
      <w:pPr>
        <w:ind w:left="40" w:right="119" w:firstLine="648"/>
        <w:spacing w:after="0" w:line="286"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—Since January 1, 2017, the Company has used the historic volatility of its own stock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retrospective period corresponding to the expected remaining term of the options, or the period since its shares were first quoted on The Nasdaq Global Market, if that is shorter, to compute its expected stock price volatility.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2" w:name="page103"/>
    <w:bookmarkEnd w:id="10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99" w:firstLine="648"/>
        <w:spacing w:after="0" w:line="263"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assumption is based on the zero-coupon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on the date of grant with a maturity date consistent with the expected term of the Company’s stock option grants.</w:t>
      </w:r>
    </w:p>
    <w:p>
      <w:pPr>
        <w:spacing w:after="0" w:line="184"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—To date, the Company has not declared or paid any cash dividends and does not have any plans to</w:t>
      </w:r>
      <w:r>
        <w:rPr>
          <w:rFonts w:ascii="Arial" w:cs="Arial" w:eastAsia="Arial" w:hAnsi="Arial"/>
          <w:sz w:val="18"/>
          <w:szCs w:val="18"/>
          <w:i w:val="1"/>
          <w:iCs w:val="1"/>
          <w:color w:val="auto"/>
        </w:rPr>
        <w:t xml:space="preserve"> </w:t>
      </w:r>
      <w:r>
        <w:rPr>
          <w:rFonts w:ascii="Arial" w:cs="Arial" w:eastAsia="Arial" w:hAnsi="Arial"/>
          <w:sz w:val="18"/>
          <w:szCs w:val="18"/>
          <w:color w:val="auto"/>
        </w:rPr>
        <w:t>do so in the future. Therefore, the Company used an expected dividend yield of zero.</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40" w:right="139" w:firstLine="648"/>
        <w:spacing w:after="0" w:line="263" w:lineRule="auto"/>
        <w:rPr>
          <w:sz w:val="20"/>
          <w:szCs w:val="20"/>
          <w:color w:val="auto"/>
        </w:rPr>
      </w:pPr>
      <w:r>
        <w:rPr>
          <w:rFonts w:ascii="Arial" w:cs="Arial" w:eastAsia="Arial" w:hAnsi="Arial"/>
          <w:sz w:val="18"/>
          <w:szCs w:val="18"/>
          <w:color w:val="auto"/>
        </w:rPr>
        <w:t>The following table summarizes restricted stock unit activity under the 2014 Plan in the year ended December 31, 2019, and includes restricted stock units with time or service-based vesting and those restricted stock units with performance-based vesting:</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Weighted-Average</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Grant Date Fair</w:t>
            </w:r>
          </w:p>
        </w:tc>
        <w:tc>
          <w:tcPr>
            <w:tcW w:w="840" w:type="dxa"/>
            <w:vAlign w:val="bottom"/>
            <w:gridSpan w:val="2"/>
            <w:vMerge w:val="continue"/>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RSUs</w:t>
            </w:r>
          </w:p>
        </w:tc>
        <w:tc>
          <w:tcPr>
            <w:tcW w:w="8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Value Per Share</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PRSUs</w:t>
            </w:r>
          </w:p>
        </w:tc>
        <w:tc>
          <w:tcPr>
            <w:tcW w:w="160" w:type="dxa"/>
            <w:vAlign w:val="bottom"/>
          </w:tcPr>
          <w:p>
            <w:pPr>
              <w:spacing w:after="0"/>
              <w:rPr>
                <w:sz w:val="14"/>
                <w:szCs w:val="14"/>
                <w:color w:val="auto"/>
              </w:rPr>
            </w:pPr>
          </w:p>
        </w:tc>
        <w:tc>
          <w:tcPr>
            <w:tcW w:w="90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December 31, 2018</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894,764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(85,609)</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(45,007)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December 31, 2019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849,757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59" w:firstLine="648"/>
        <w:spacing w:after="0" w:line="259" w:lineRule="auto"/>
        <w:rPr>
          <w:sz w:val="20"/>
          <w:szCs w:val="20"/>
          <w:color w:val="auto"/>
        </w:rPr>
      </w:pPr>
      <w:r>
        <w:rPr>
          <w:rFonts w:ascii="Arial" w:cs="Arial" w:eastAsia="Arial" w:hAnsi="Arial"/>
          <w:sz w:val="18"/>
          <w:szCs w:val="18"/>
          <w:color w:val="auto"/>
        </w:rPr>
        <w:t>RSUs and PRSUs are generally subject to forfeiture if employment terminates prior to the release of vesting restrictions. The related compensation expense, which is based on the grant date fair value of the Company’s common stock multiplied by the number of units granted, is recognized ratably over the period during which the vesting restrictions lapse.</w:t>
      </w:r>
    </w:p>
    <w:p>
      <w:pPr>
        <w:spacing w:after="0" w:line="187" w:lineRule="exact"/>
        <w:rPr>
          <w:sz w:val="20"/>
          <w:szCs w:val="20"/>
          <w:color w:val="auto"/>
        </w:rPr>
      </w:pPr>
    </w:p>
    <w:p>
      <w:pPr>
        <w:ind w:left="40" w:right="159" w:firstLine="648"/>
        <w:spacing w:after="0" w:line="271" w:lineRule="auto"/>
        <w:rPr>
          <w:sz w:val="20"/>
          <w:szCs w:val="20"/>
          <w:color w:val="auto"/>
        </w:rPr>
      </w:pPr>
      <w:r>
        <w:rPr>
          <w:rFonts w:ascii="Arial" w:cs="Arial" w:eastAsia="Arial" w:hAnsi="Arial"/>
          <w:sz w:val="17"/>
          <w:szCs w:val="17"/>
          <w:color w:val="auto"/>
        </w:rPr>
        <w:t>In January 2017, the Company granted 161,865 PRSUs to certain employees that vested upon the achievement of specified performance conditions, subject to the employees’ continued service relationship with the Company through the date of achievement, of which 125,895 PRSUs vested in November 2018. None of these PRSUs vested during the year ended December 31, 2017. The related compensation cost was recognized as an expense over the estimated vesting period ratably after achievement of the milestone was deemed probable. The expense recognized for these awards was based on the grant date fair value of the Company’s common stock multiplied by the number of units granted. The Company recognized zero, $0.6 million and $1.0 million of related expense during the year ended December 31, 2019, 2018 and 2017, respectively.</w:t>
      </w:r>
    </w:p>
    <w:p>
      <w:pPr>
        <w:spacing w:after="0" w:line="178"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8"/>
          <w:szCs w:val="18"/>
          <w:color w:val="auto"/>
        </w:rPr>
        <w:t>In July 2018, the Company granted 903,374 PRSUs to its employees that vest upon the achievement of certain performance conditions, subject to the employees’ continued service relationship with the Company through the achievement date. At December 31, 2019, 849,757 of these PRSUs were outstanding and none vested. Based on the evaluation of the performance conditions at December 31, 2019, the Company recorded stock-based compensation expense of $2.4 million for the year ended December 31, 2019. Stock-based compensation expense recorded related to these PRSUs were zero for the year ended December 31, 2018. The related compensation cost was recognized as an expense over the estimated vesting period ratably when achievement of the milestone was considered probable. The expense recognized for these awards is based on the grant date fair value of the Company’s common stock multiplied by the number of units granted.</w:t>
      </w:r>
    </w:p>
    <w:p>
      <w:pPr>
        <w:spacing w:after="0" w:line="196" w:lineRule="exact"/>
        <w:rPr>
          <w:sz w:val="20"/>
          <w:szCs w:val="20"/>
          <w:color w:val="auto"/>
        </w:rPr>
      </w:pPr>
    </w:p>
    <w:p>
      <w:pPr>
        <w:ind w:left="40" w:right="299" w:firstLine="648"/>
        <w:spacing w:after="0" w:line="301" w:lineRule="auto"/>
        <w:rPr>
          <w:sz w:val="20"/>
          <w:szCs w:val="20"/>
          <w:color w:val="auto"/>
        </w:rPr>
      </w:pPr>
      <w:r>
        <w:rPr>
          <w:rFonts w:ascii="Arial" w:cs="Arial" w:eastAsia="Arial" w:hAnsi="Arial"/>
          <w:sz w:val="16"/>
          <w:szCs w:val="16"/>
          <w:color w:val="auto"/>
        </w:rPr>
        <w:t>With respect to RSUs, we recognize expense over the estimated vesting period ratably, contingent on continued service. The Company recognized $0.3 million, $0.9 million and $0.9 million of related expense during the year ended December 31, 2019, 2018 and 2017, respectively. The total estimated fair value of RSUs vested during the years ended December 31, 2019, 2018 and 2017 was $0.2 million, $0.6 million and $0.4 million, respectively.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3" w:name="page104"/>
    <w:bookmarkEnd w:id="10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Issuance of Common Stock for Services</w:t>
      </w:r>
    </w:p>
    <w:p>
      <w:pPr>
        <w:spacing w:after="0" w:line="225" w:lineRule="exact"/>
        <w:rPr>
          <w:sz w:val="20"/>
          <w:szCs w:val="20"/>
          <w:color w:val="auto"/>
        </w:rPr>
      </w:pPr>
    </w:p>
    <w:p>
      <w:pPr>
        <w:ind w:left="40" w:right="159" w:firstLine="648"/>
        <w:spacing w:after="0" w:line="257" w:lineRule="auto"/>
        <w:rPr>
          <w:sz w:val="20"/>
          <w:szCs w:val="20"/>
          <w:color w:val="auto"/>
        </w:rPr>
      </w:pPr>
      <w:r>
        <w:rPr>
          <w:rFonts w:ascii="Arial" w:cs="Arial" w:eastAsia="Arial" w:hAnsi="Arial"/>
          <w:sz w:val="18"/>
          <w:szCs w:val="18"/>
          <w:color w:val="auto"/>
        </w:rPr>
        <w:t>During the years ended December 31, 2019, 2018 and 2017, the Company issued 113,136, 75,183 and 46,858 shares, respectively, of common stock to members of the board of directors who elected to receive stock in lieu of their cash fees under the Company’s Non-Employee Director Compensation Program. The shares issued during the years ended December 31, 2019, 2018 and 2017 were valued at $0.3 million, $0.3 million and $0.2 million, respectively, based on the fair value of the common stock on the date of grant.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left="40" w:right="119" w:firstLine="648"/>
        <w:spacing w:after="0" w:line="287" w:lineRule="auto"/>
        <w:rPr>
          <w:sz w:val="20"/>
          <w:szCs w:val="20"/>
          <w:color w:val="auto"/>
        </w:rPr>
      </w:pPr>
      <w:r>
        <w:rPr>
          <w:rFonts w:ascii="Arial" w:cs="Arial" w:eastAsia="Arial" w:hAnsi="Arial"/>
          <w:sz w:val="16"/>
          <w:szCs w:val="16"/>
          <w:color w:val="auto"/>
        </w:rPr>
        <w:t>The Company adopted the 2014 Employee Stock Purchase Plan (“ESPP”) and initially reserved 202,762 shares of common stock as of its effective date of June 18, 2014. If approved by the Administrator of the ESPP, on the first day of each calendar year, ending in 2024, the number of shares in the reserve will increase by an amount equal to the lesser of</w:t>
      </w:r>
    </w:p>
    <w:p>
      <w:pPr>
        <w:spacing w:after="0" w:line="2" w:lineRule="exact"/>
        <w:rPr>
          <w:sz w:val="20"/>
          <w:szCs w:val="20"/>
          <w:color w:val="auto"/>
        </w:rPr>
      </w:pPr>
    </w:p>
    <w:p>
      <w:pPr>
        <w:jc w:val="both"/>
        <w:ind w:left="40" w:right="159" w:firstLine="4"/>
        <w:spacing w:after="0" w:line="255"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one percent (1.0%) of the shares of common stock outstanding on the last day of the immediately preceding fiscal year and (ii) such number of shares of common stock as determined by the board of directors; provided, however, no more than 2,230,374 shares of our common stock may be issued under the ESPP.</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ESPP activity in the year ended December 31, 2019:</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Shares Available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1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0"/>
              </w:rPr>
              <w:t>Purchase Price</w:t>
            </w:r>
          </w:p>
        </w:tc>
        <w:tc>
          <w:tcPr>
            <w:tcW w:w="140" w:type="dxa"/>
            <w:vAlign w:val="bottom"/>
          </w:tcPr>
          <w:p>
            <w:pPr>
              <w:spacing w:after="0"/>
              <w:rPr>
                <w:sz w:val="14"/>
                <w:szCs w:val="14"/>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for Grant</w:t>
            </w: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rPr>
              <w:t>Purchased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4"/>
                <w:szCs w:val="14"/>
                <w:b w:val="1"/>
                <w:bCs w:val="1"/>
                <w:color w:val="auto"/>
                <w:w w:val="95"/>
              </w:rPr>
              <w:t>per Share</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680,322</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Shares purchased</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(160,744)</w:t>
            </w:r>
          </w:p>
        </w:tc>
        <w:tc>
          <w:tcPr>
            <w:tcW w:w="1160" w:type="dxa"/>
            <w:vAlign w:val="bottom"/>
          </w:tcPr>
          <w:p>
            <w:pPr>
              <w:jc w:val="right"/>
              <w:spacing w:after="0"/>
              <w:rPr>
                <w:sz w:val="20"/>
                <w:szCs w:val="20"/>
                <w:color w:val="auto"/>
              </w:rPr>
            </w:pPr>
            <w:r>
              <w:rPr>
                <w:rFonts w:ascii="Arial" w:cs="Arial" w:eastAsia="Arial" w:hAnsi="Arial"/>
                <w:sz w:val="18"/>
                <w:szCs w:val="18"/>
                <w:color w:val="auto"/>
              </w:rPr>
              <w:t>160,744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2.48</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7"/>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99" w:firstLine="648"/>
        <w:spacing w:after="0" w:line="277" w:lineRule="auto"/>
        <w:rPr>
          <w:sz w:val="20"/>
          <w:szCs w:val="20"/>
          <w:color w:val="auto"/>
        </w:rPr>
      </w:pPr>
      <w:r>
        <w:rPr>
          <w:rFonts w:ascii="Arial" w:cs="Arial" w:eastAsia="Arial" w:hAnsi="Arial"/>
          <w:sz w:val="18"/>
          <w:szCs w:val="18"/>
          <w:color w:val="auto"/>
        </w:rPr>
        <w:t>The following table illustrates the weighted-average assumptions for the Black-Scholes option-pricing model used in determining the fair value of ESPP purchase rights granted to employees: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16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61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69 %</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2.20 %</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Dividend yield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Total stock-based compensation recognized was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780" w:type="dxa"/>
            <w:vAlign w:val="bottom"/>
          </w:tcPr>
          <w:p>
            <w:pPr>
              <w:spacing w:after="0"/>
              <w:rPr>
                <w:sz w:val="14"/>
                <w:szCs w:val="14"/>
                <w:color w:val="auto"/>
              </w:rPr>
            </w:pPr>
          </w:p>
        </w:tc>
      </w:tr>
      <w:tr>
        <w:trPr>
          <w:trHeight w:val="142"/>
        </w:trPr>
        <w:tc>
          <w:tcPr>
            <w:tcW w:w="8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2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gridSpan w:val="2"/>
          </w:tcPr>
          <w:p>
            <w:pPr>
              <w:jc w:val="center"/>
              <w:ind w:left="39"/>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78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6"/>
        </w:trPr>
        <w:tc>
          <w:tcPr>
            <w:tcW w:w="80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$ 4,104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$ 3,666</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$ 4,585</w:t>
            </w:r>
          </w:p>
        </w:tc>
        <w:tc>
          <w:tcPr>
            <w:tcW w:w="7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5,832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5,560</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5,005</w:t>
            </w:r>
          </w:p>
        </w:tc>
        <w:tc>
          <w:tcPr>
            <w:tcW w:w="780" w:type="dxa"/>
            <w:vAlign w:val="bottom"/>
          </w:tcPr>
          <w:p>
            <w:pPr>
              <w:spacing w:after="0"/>
              <w:rPr>
                <w:sz w:val="18"/>
                <w:szCs w:val="18"/>
                <w:color w:val="auto"/>
              </w:rPr>
            </w:pPr>
          </w:p>
        </w:tc>
      </w:tr>
      <w:tr>
        <w:trPr>
          <w:trHeight w:val="230"/>
        </w:trPr>
        <w:tc>
          <w:tcPr>
            <w:tcW w:w="800" w:type="dxa"/>
            <w:vAlign w:val="bottom"/>
          </w:tcPr>
          <w:p>
            <w:pPr>
              <w:spacing w:after="0"/>
              <w:rPr>
                <w:sz w:val="19"/>
                <w:szCs w:val="19"/>
                <w:color w:val="auto"/>
              </w:rPr>
            </w:pPr>
          </w:p>
        </w:tc>
        <w:tc>
          <w:tcPr>
            <w:tcW w:w="27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4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$ 9,936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$ 9,226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$ 9,590</w:t>
            </w:r>
          </w:p>
        </w:tc>
        <w:tc>
          <w:tcPr>
            <w:tcW w:w="780" w:type="dxa"/>
            <w:vAlign w:val="bottom"/>
          </w:tcPr>
          <w:p>
            <w:pPr>
              <w:spacing w:after="0"/>
              <w:rPr>
                <w:sz w:val="19"/>
                <w:szCs w:val="19"/>
                <w:color w:val="auto"/>
              </w:rPr>
            </w:pPr>
          </w:p>
        </w:tc>
      </w:tr>
      <w:tr>
        <w:trPr>
          <w:trHeight w:val="851"/>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80" w:type="dxa"/>
            <w:vAlign w:val="bottom"/>
          </w:tcPr>
          <w:p>
            <w:pPr>
              <w:jc w:val="right"/>
              <w:ind w:right="1330"/>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60"/>
        </w:trPr>
        <w:tc>
          <w:tcPr>
            <w:tcW w:w="8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04" w:name="page105"/>
    <w:bookmarkEnd w:id="10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firstLine="648"/>
        <w:spacing w:after="0" w:line="277" w:lineRule="auto"/>
        <w:rPr>
          <w:sz w:val="20"/>
          <w:szCs w:val="20"/>
          <w:color w:val="auto"/>
        </w:rPr>
      </w:pPr>
      <w:r>
        <w:rPr>
          <w:rFonts w:ascii="Arial" w:cs="Arial" w:eastAsia="Arial" w:hAnsi="Arial"/>
          <w:sz w:val="18"/>
          <w:szCs w:val="18"/>
          <w:color w:val="auto"/>
        </w:rPr>
        <w:t>At December 31, 2019, the Company had total unrecognized stock-based compensation expense, net of estimated forfeitures, of the following:</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At December 31, 2019</w:t>
            </w:r>
          </w:p>
        </w:tc>
      </w:tr>
      <w:tr>
        <w:trPr>
          <w:trHeight w:val="119"/>
        </w:trPr>
        <w:tc>
          <w:tcPr>
            <w:tcW w:w="35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w w:val="97"/>
              </w:rPr>
              <w:t>Unrecognized</w:t>
            </w:r>
          </w:p>
        </w:tc>
        <w:tc>
          <w:tcPr>
            <w:tcW w:w="13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Average Vesting</w:t>
            </w:r>
          </w:p>
        </w:tc>
      </w:tr>
      <w:tr>
        <w:trPr>
          <w:trHeight w:val="148"/>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Compensation Expense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r>
      <w:tr>
        <w:trPr>
          <w:trHeight w:val="171"/>
        </w:trPr>
        <w:tc>
          <w:tcPr>
            <w:tcW w:w="3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(in thousands)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09"/>
        </w:trPr>
        <w:tc>
          <w:tcPr>
            <w:tcW w:w="35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 options grants</w:t>
            </w:r>
          </w:p>
        </w:tc>
        <w:tc>
          <w:tcPr>
            <w:tcW w:w="1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center"/>
              <w:ind w:left="41"/>
              <w:spacing w:after="0"/>
              <w:rPr>
                <w:sz w:val="20"/>
                <w:szCs w:val="20"/>
                <w:color w:val="auto"/>
              </w:rPr>
            </w:pPr>
            <w:r>
              <w:rPr>
                <w:rFonts w:ascii="Arial" w:cs="Arial" w:eastAsia="Arial" w:hAnsi="Arial"/>
                <w:sz w:val="18"/>
                <w:szCs w:val="18"/>
                <w:color w:val="auto"/>
                <w:w w:val="93"/>
              </w:rPr>
              <w:t>8,277</w:t>
            </w:r>
          </w:p>
        </w:tc>
        <w:tc>
          <w:tcPr>
            <w:tcW w:w="5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2.5</w:t>
            </w:r>
          </w:p>
        </w:tc>
      </w:tr>
      <w:tr>
        <w:trPr>
          <w:trHeight w:val="216"/>
        </w:trPr>
        <w:tc>
          <w:tcPr>
            <w:tcW w:w="3560" w:type="dxa"/>
            <w:vAlign w:val="bottom"/>
          </w:tcPr>
          <w:p>
            <w:pPr>
              <w:ind w:left="220"/>
              <w:spacing w:after="0"/>
              <w:rPr>
                <w:sz w:val="20"/>
                <w:szCs w:val="20"/>
                <w:color w:val="auto"/>
              </w:rPr>
            </w:pPr>
            <w:r>
              <w:rPr>
                <w:rFonts w:ascii="Arial" w:cs="Arial" w:eastAsia="Arial" w:hAnsi="Arial"/>
                <w:sz w:val="18"/>
                <w:szCs w:val="18"/>
                <w:color w:val="auto"/>
              </w:rPr>
              <w:t>PRSU grants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center"/>
              <w:ind w:left="41"/>
              <w:spacing w:after="0"/>
              <w:rPr>
                <w:sz w:val="20"/>
                <w:szCs w:val="20"/>
                <w:color w:val="auto"/>
              </w:rPr>
            </w:pPr>
            <w:r>
              <w:rPr>
                <w:rFonts w:ascii="Arial" w:cs="Arial" w:eastAsia="Arial" w:hAnsi="Arial"/>
                <w:sz w:val="18"/>
                <w:szCs w:val="18"/>
                <w:color w:val="auto"/>
                <w:w w:val="86"/>
              </w:rPr>
              <w:t>965</w:t>
            </w:r>
          </w:p>
        </w:tc>
        <w:tc>
          <w:tcPr>
            <w:tcW w:w="5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0.7</w:t>
            </w:r>
          </w:p>
        </w:tc>
      </w:tr>
      <w:tr>
        <w:trPr>
          <w:trHeight w:val="216"/>
        </w:trPr>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ESPP</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center"/>
              <w:ind w:left="41"/>
              <w:spacing w:after="0"/>
              <w:rPr>
                <w:sz w:val="20"/>
                <w:szCs w:val="20"/>
                <w:color w:val="auto"/>
              </w:rPr>
            </w:pPr>
            <w:r>
              <w:rPr>
                <w:rFonts w:ascii="Arial" w:cs="Arial" w:eastAsia="Arial" w:hAnsi="Arial"/>
                <w:sz w:val="18"/>
                <w:szCs w:val="18"/>
                <w:color w:val="auto"/>
                <w:w w:val="89"/>
              </w:rPr>
              <w:t>53</w:t>
            </w: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r>
    </w:tbl>
    <w:p>
      <w:pPr>
        <w:spacing w:after="0" w:line="198" w:lineRule="exact"/>
        <w:rPr>
          <w:sz w:val="20"/>
          <w:szCs w:val="20"/>
          <w:color w:val="auto"/>
        </w:rPr>
      </w:pPr>
    </w:p>
    <w:p>
      <w:pPr>
        <w:ind w:left="680" w:hanging="636"/>
        <w:spacing w:after="0"/>
        <w:tabs>
          <w:tab w:leader="none" w:pos="6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Offering of Common Stock and Warrants</w:t>
      </w:r>
    </w:p>
    <w:p>
      <w:pPr>
        <w:spacing w:after="0" w:line="225" w:lineRule="exact"/>
        <w:rPr>
          <w:sz w:val="20"/>
          <w:szCs w:val="20"/>
          <w:color w:val="auto"/>
        </w:rPr>
      </w:pPr>
    </w:p>
    <w:p>
      <w:pPr>
        <w:ind w:left="40" w:right="119" w:firstLine="648"/>
        <w:spacing w:after="0" w:line="291" w:lineRule="auto"/>
        <w:rPr>
          <w:sz w:val="20"/>
          <w:szCs w:val="20"/>
          <w:color w:val="auto"/>
        </w:rPr>
      </w:pPr>
      <w:r>
        <w:rPr>
          <w:rFonts w:ascii="Arial" w:cs="Arial" w:eastAsia="Arial" w:hAnsi="Arial"/>
          <w:sz w:val="16"/>
          <w:szCs w:val="16"/>
          <w:color w:val="auto"/>
        </w:rPr>
        <w:t>In June 2015, the Company sold and issued an aggregate of 7,242,992 shares of its common stock and warrants to purchase 2,172,899 shares of common stock for aggregate gross proceeds of approximately $77.8 million or net proceeds, after deducting issuance costs, of approximately $74.3 million. The purchase price for the common stock was $10.70 per share and the purchase price for the warrants was $0.125 per warrant. The warrants are exercisable for an exercise price of $13.91 per share at any time prior to the earlier of (i) 5 years from the date of issuance or (ii) certain changes in control of the Company. The Company had determined that the warrants should be classified as equity. In July 2015, the Company filed a registration statement with the SEC with respect to the common stock and warrants.</w:t>
      </w:r>
    </w:p>
    <w:p>
      <w:pPr>
        <w:spacing w:after="0" w:line="166"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Other than with respect to warrants issued to holders affiliated with New Enterprise Associates, the warrants contain limitations that prevent each holder of warrants from acquiring shares upon exercise of the warrants that would cause the number of shares beneficially owned by it and its affiliates to exceed 9.99% of the total number of shares of the Company’s common stock then issued and outstanding. In addition, upon certain changes in control of the Company, each holder of a warrant can elect to receive, subject to certain limitations and assumptions, securities in a successor entity. None of the warrants issued in June 2015 have been exercised including during each of the years ended December 31, 2019, 2018 and 2017.</w:t>
      </w:r>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10.</w:t>
            </w:r>
          </w:p>
        </w:tc>
        <w:tc>
          <w:tcPr>
            <w:tcW w:w="5880" w:type="dxa"/>
            <w:vAlign w:val="bottom"/>
            <w:gridSpan w:val="2"/>
          </w:tcPr>
          <w:p>
            <w:pPr>
              <w:ind w:left="280"/>
              <w:spacing w:after="0"/>
              <w:rPr>
                <w:sz w:val="20"/>
                <w:szCs w:val="20"/>
                <w:color w:val="auto"/>
              </w:rPr>
            </w:pPr>
            <w:r>
              <w:rPr>
                <w:rFonts w:ascii="Arial" w:cs="Arial" w:eastAsia="Arial" w:hAnsi="Arial"/>
                <w:sz w:val="18"/>
                <w:szCs w:val="18"/>
                <w:b w:val="1"/>
                <w:bCs w:val="1"/>
                <w:color w:val="auto"/>
              </w:rPr>
              <w:t>PROPERTY AND EQUIPMENT</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consist of the following:</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right"/>
              <w:ind w:right="313"/>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889</w:t>
            </w: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7,949</w:t>
            </w:r>
          </w:p>
        </w:tc>
        <w:tc>
          <w:tcPr>
            <w:tcW w:w="20" w:type="dxa"/>
            <w:vAlign w:val="bottom"/>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8"/>
                <w:szCs w:val="18"/>
                <w:color w:val="auto"/>
              </w:rPr>
              <w:t>Property and equipment, gross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15,803</w:t>
            </w: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(12,626)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(10,192)</w:t>
            </w:r>
          </w:p>
        </w:tc>
        <w:tc>
          <w:tcPr>
            <w:tcW w:w="20" w:type="dxa"/>
            <w:vAlign w:val="bottom"/>
          </w:tcPr>
          <w:p>
            <w:pPr>
              <w:spacing w:after="0"/>
              <w:rPr>
                <w:sz w:val="18"/>
                <w:szCs w:val="18"/>
                <w:color w:val="auto"/>
              </w:rPr>
            </w:pPr>
          </w:p>
        </w:tc>
      </w:tr>
      <w:tr>
        <w:trPr>
          <w:trHeight w:val="217"/>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5,611</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Depreciation expense totaled $2.5 million, $2.7 million and $2.6 million for the years ended December 31, 2019, 2018 and 2017,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5" w:name="page106"/>
    <w:bookmarkEnd w:id="10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960" w:hanging="916"/>
        <w:spacing w:after="0"/>
        <w:tabs>
          <w:tab w:leader="none" w:pos="9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9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and non-clinical expenses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Accrued contract manufacturing expenses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1,971</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for exit fee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Accrued regulatory expenses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and consulting services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Foreign currency derivative contract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CEEFF"/>
          </w:tcPr>
          <w:p>
            <w:pPr>
              <w:spacing w:after="0"/>
              <w:rPr>
                <w:sz w:val="18"/>
                <w:szCs w:val="18"/>
                <w:color w:val="auto"/>
              </w:rPr>
            </w:pPr>
          </w:p>
        </w:tc>
      </w:tr>
      <w:tr>
        <w:trPr>
          <w:trHeight w:val="217"/>
        </w:trPr>
        <w:tc>
          <w:tcPr>
            <w:tcW w:w="3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7,248</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12,857</w:t>
            </w:r>
          </w:p>
        </w:tc>
        <w:tc>
          <w:tcPr>
            <w:tcW w:w="160" w:type="dxa"/>
            <w:vAlign w:val="bottom"/>
          </w:tcPr>
          <w:p>
            <w:pPr>
              <w:spacing w:after="0"/>
              <w:rPr>
                <w:sz w:val="18"/>
                <w:szCs w:val="18"/>
                <w:color w:val="auto"/>
              </w:rPr>
            </w:pPr>
          </w:p>
        </w:tc>
      </w:tr>
    </w:tbl>
    <w:p>
      <w:pPr>
        <w:spacing w:after="0" w:line="200" w:lineRule="exact"/>
        <w:rPr>
          <w:sz w:val="20"/>
          <w:szCs w:val="20"/>
          <w:color w:val="auto"/>
        </w:rPr>
      </w:pPr>
    </w:p>
    <w:p>
      <w:pPr>
        <w:spacing w:after="0" w:line="227" w:lineRule="exact"/>
        <w:rPr>
          <w:sz w:val="20"/>
          <w:szCs w:val="20"/>
          <w:color w:val="auto"/>
        </w:rPr>
      </w:pPr>
    </w:p>
    <w:p>
      <w:pPr>
        <w:ind w:left="1000" w:hanging="956"/>
        <w:spacing w:after="0"/>
        <w:tabs>
          <w:tab w:leader="none" w:pos="10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The Company has obtained the right of use for office space assets under two operating lease agreements. The Company has evaluated its facility leases and determined that, effective upon the adoption of Topic 842, the leases evaluated are all operating leases. The Company has performed an evaluation of its other contracts with suppliers and collaborators in accordance with Topic 842 and has determined that, except for the facility leases described below, none of the Company’s contracts contain a lease.</w:t>
      </w:r>
    </w:p>
    <w:p>
      <w:pPr>
        <w:spacing w:after="0" w:line="80"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The Company obtained the right of use of office space located in Fremont, California, under a lease agreement entered into in September 2008 that was amended in December 2012 to extend the lease agreement to September 2016. In September 2014, the Company signed the second amendment to its facility lease agreement to add space and to extend the lease term through September 2019. In May 2016, the Company signed a third amendment to its facility lease agreement in Fremont, California to add space and to extend the lease term through September 2021 (the “Third Amendment”). The office space consists of 72,500 square feet, that includes an additional 10,716 square feet added in September 2019, with the entire lease terminating on September 10, 2021. The Company has an option to extend the term by five years as to the entire premises at the higher of (i) a 3% annual escalation of the then-current base rent and (ii) the then-current fair market value for comparable premises, by giving written notice of its election to exercise such option at least 12 months but not more than 18 months prior to the end of the expiration of the lease term. This option to extend the lease term by five years has not been included in the calculation since currently the exercise of the option is uncertain and therefore deemed not probable. The Company also obtained the right of use of 3,520 square feet of office space located in Waltham, Massachusetts, in October 2018 that terminates on September 30, 2021.</w:t>
      </w:r>
    </w:p>
    <w:p>
      <w:pPr>
        <w:spacing w:after="0" w:line="66" w:lineRule="exact"/>
        <w:rPr>
          <w:sz w:val="20"/>
          <w:szCs w:val="20"/>
          <w:color w:val="auto"/>
        </w:rPr>
      </w:pPr>
    </w:p>
    <w:p>
      <w:pPr>
        <w:jc w:val="both"/>
        <w:ind w:left="40" w:right="59" w:firstLine="324"/>
        <w:spacing w:after="0" w:line="301" w:lineRule="auto"/>
        <w:rPr>
          <w:sz w:val="20"/>
          <w:szCs w:val="20"/>
          <w:color w:val="auto"/>
        </w:rPr>
      </w:pPr>
      <w:r>
        <w:rPr>
          <w:rFonts w:ascii="Arial" w:cs="Arial" w:eastAsia="Arial" w:hAnsi="Arial"/>
          <w:sz w:val="16"/>
          <w:szCs w:val="16"/>
          <w:color w:val="auto"/>
        </w:rPr>
        <w:t>All of the Company’s leases are operating leases. Certain of the leases have both lease and non-lease components. The Company has elected to account for each separate lease component and the non-lease components associated with that lease component as a single lease component for all classes of underlying assets. As of December 31, 2019, the weighted average discount rate used for the calculations was 12.99% and the weighted average remaining lease term was 1.8 years.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6" w:name="page107"/>
    <w:bookmarkEnd w:id="10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The following table provides additional details of the leases presented in the balance sheets (in thousands except remaining life and discount rate):</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Facilities</w:t>
            </w:r>
          </w:p>
        </w:tc>
        <w:tc>
          <w:tcPr>
            <w:tcW w:w="1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Right of use assets</w:t>
            </w:r>
          </w:p>
        </w:tc>
        <w:tc>
          <w:tcPr>
            <w:tcW w:w="1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780" w:type="dxa"/>
            <w:vAlign w:val="bottom"/>
          </w:tcPr>
          <w:p>
            <w:pPr>
              <w:ind w:left="1320"/>
              <w:spacing w:after="0"/>
              <w:rPr>
                <w:sz w:val="20"/>
                <w:szCs w:val="20"/>
                <w:color w:val="auto"/>
              </w:rPr>
            </w:pPr>
            <w:r>
              <w:rPr>
                <w:rFonts w:ascii="Arial" w:cs="Arial" w:eastAsia="Arial" w:hAnsi="Arial"/>
                <w:sz w:val="18"/>
                <w:szCs w:val="18"/>
                <w:color w:val="auto"/>
                <w:w w:val="97"/>
              </w:rPr>
              <w:t>3,970</w:t>
            </w:r>
          </w:p>
        </w:tc>
        <w:tc>
          <w:tcPr>
            <w:tcW w:w="720" w:type="dxa"/>
            <w:vAlign w:val="bottom"/>
          </w:tcPr>
          <w:p>
            <w:pPr>
              <w:spacing w:after="0"/>
              <w:rPr>
                <w:sz w:val="19"/>
                <w:szCs w:val="19"/>
                <w:color w:val="auto"/>
              </w:rPr>
            </w:pPr>
          </w:p>
        </w:tc>
      </w:tr>
      <w:tr>
        <w:trPr>
          <w:trHeight w:val="216"/>
        </w:trPr>
        <w:tc>
          <w:tcPr>
            <w:tcW w:w="48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ind w:left="220"/>
              <w:spacing w:after="0"/>
              <w:rPr>
                <w:sz w:val="20"/>
                <w:szCs w:val="20"/>
                <w:color w:val="auto"/>
              </w:rPr>
            </w:pPr>
            <w:r>
              <w:rPr>
                <w:rFonts w:ascii="Arial" w:cs="Arial" w:eastAsia="Arial" w:hAnsi="Arial"/>
                <w:sz w:val="18"/>
                <w:szCs w:val="18"/>
                <w:color w:val="auto"/>
              </w:rPr>
              <w:t>Current portion of lease liabilities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ind w:left="1320"/>
              <w:spacing w:after="0"/>
              <w:rPr>
                <w:sz w:val="20"/>
                <w:szCs w:val="20"/>
                <w:color w:val="auto"/>
              </w:rPr>
            </w:pPr>
            <w:r>
              <w:rPr>
                <w:rFonts w:ascii="Arial" w:cs="Arial" w:eastAsia="Arial" w:hAnsi="Arial"/>
                <w:sz w:val="18"/>
                <w:szCs w:val="18"/>
                <w:color w:val="auto"/>
                <w:w w:val="97"/>
              </w:rPr>
              <w:t>2,608</w:t>
            </w:r>
          </w:p>
        </w:tc>
        <w:tc>
          <w:tcPr>
            <w:tcW w:w="720" w:type="dxa"/>
            <w:vAlign w:val="bottom"/>
          </w:tcPr>
          <w:p>
            <w:pPr>
              <w:spacing w:after="0"/>
              <w:rPr>
                <w:sz w:val="18"/>
                <w:szCs w:val="18"/>
                <w:color w:val="auto"/>
              </w:rPr>
            </w:pPr>
          </w:p>
        </w:tc>
      </w:tr>
      <w:tr>
        <w:trPr>
          <w:trHeight w:val="216"/>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liability, net of current portion</w:t>
            </w:r>
          </w:p>
        </w:tc>
        <w:tc>
          <w:tcPr>
            <w:tcW w:w="1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w w:val="97"/>
              </w:rPr>
              <w:t>2,076</w:t>
            </w:r>
          </w:p>
        </w:tc>
        <w:tc>
          <w:tcPr>
            <w:tcW w:w="720" w:type="dxa"/>
            <w:vAlign w:val="bottom"/>
            <w:shd w:val="clear" w:color="auto" w:fill="CCEEFF"/>
          </w:tcPr>
          <w:p>
            <w:pPr>
              <w:spacing w:after="0"/>
              <w:rPr>
                <w:sz w:val="18"/>
                <w:szCs w:val="18"/>
                <w:color w:val="auto"/>
              </w:rPr>
            </w:pPr>
          </w:p>
        </w:tc>
      </w:tr>
      <w:tr>
        <w:trPr>
          <w:trHeight w:val="217"/>
        </w:trPr>
        <w:tc>
          <w:tcPr>
            <w:tcW w:w="4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97"/>
              </w:rPr>
              <w:t>4,684</w:t>
            </w:r>
          </w:p>
        </w:tc>
        <w:tc>
          <w:tcPr>
            <w:tcW w:w="720" w:type="dxa"/>
            <w:vAlign w:val="bottom"/>
            <w:tcBorders>
              <w:bottom w:val="single" w:sz="8" w:color="CCEEFF"/>
            </w:tcBorders>
          </w:tcPr>
          <w:p>
            <w:pPr>
              <w:spacing w:after="0"/>
              <w:rPr>
                <w:sz w:val="18"/>
                <w:szCs w:val="18"/>
                <w:color w:val="auto"/>
              </w:rPr>
            </w:pPr>
          </w:p>
        </w:tc>
      </w:tr>
      <w:tr>
        <w:trPr>
          <w:trHeight w:val="216"/>
        </w:trPr>
        <w:tc>
          <w:tcPr>
            <w:tcW w:w="4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Weighted-average remaining life</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2"/>
          </w:tcPr>
          <w:p>
            <w:pPr>
              <w:ind w:left="1500"/>
              <w:spacing w:after="0"/>
              <w:rPr>
                <w:sz w:val="20"/>
                <w:szCs w:val="20"/>
                <w:color w:val="auto"/>
              </w:rPr>
            </w:pPr>
            <w:r>
              <w:rPr>
                <w:rFonts w:ascii="Arial" w:cs="Arial" w:eastAsia="Arial" w:hAnsi="Arial"/>
                <w:sz w:val="18"/>
                <w:szCs w:val="18"/>
                <w:color w:val="auto"/>
              </w:rPr>
              <w:t>1.8 years</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12.99 %</w:t>
            </w:r>
          </w:p>
        </w:tc>
      </w:tr>
    </w:tbl>
    <w:p>
      <w:pPr>
        <w:spacing w:after="0" w:line="202" w:lineRule="exact"/>
        <w:rPr>
          <w:sz w:val="20"/>
          <w:szCs w:val="20"/>
          <w:color w:val="auto"/>
        </w:rPr>
      </w:pPr>
    </w:p>
    <w:p>
      <w:pPr>
        <w:ind w:left="40" w:right="779" w:firstLine="324"/>
        <w:spacing w:after="0" w:line="277" w:lineRule="auto"/>
        <w:rPr>
          <w:sz w:val="20"/>
          <w:szCs w:val="20"/>
          <w:color w:val="auto"/>
        </w:rPr>
      </w:pPr>
      <w:r>
        <w:rPr>
          <w:rFonts w:ascii="Arial" w:cs="Arial" w:eastAsia="Arial" w:hAnsi="Arial"/>
          <w:sz w:val="18"/>
          <w:szCs w:val="18"/>
          <w:color w:val="auto"/>
        </w:rPr>
        <w:t>The lease costs, which are included in operating expenses in our statements of operations, were as follows (in thousands):</w:t>
      </w:r>
    </w:p>
    <w:p>
      <w:pPr>
        <w:spacing w:after="0" w:line="243"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ind w:right="479"/>
              <w:spacing w:after="0"/>
              <w:rPr>
                <w:sz w:val="20"/>
                <w:szCs w:val="20"/>
                <w:color w:val="auto"/>
              </w:rPr>
            </w:pPr>
            <w:r>
              <w:rPr>
                <w:rFonts w:ascii="Arial" w:cs="Arial" w:eastAsia="Arial" w:hAnsi="Arial"/>
                <w:sz w:val="14"/>
                <w:szCs w:val="14"/>
                <w:b w:val="1"/>
                <w:bCs w:val="1"/>
                <w:color w:val="auto"/>
              </w:rPr>
              <w:t>Year Ended</w:t>
            </w:r>
          </w:p>
        </w:tc>
      </w:tr>
      <w:tr>
        <w:trPr>
          <w:trHeight w:val="201"/>
        </w:trPr>
        <w:tc>
          <w:tcPr>
            <w:tcW w:w="38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99"/>
              </w:rPr>
              <w:t>December 31, 2019</w:t>
            </w:r>
          </w:p>
        </w:tc>
      </w:tr>
      <w:tr>
        <w:trPr>
          <w:trHeight w:val="209"/>
        </w:trPr>
        <w:tc>
          <w:tcPr>
            <w:tcW w:w="3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Facilities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Operating lease cost</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2,592</w:t>
            </w: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operating lease</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r>
    </w:tbl>
    <w:p>
      <w:pPr>
        <w:spacing w:after="0" w:line="202"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The following table summarizes the Company’s undiscounted cash payment obligations for its operating lease liabilities as of December 30, 2019 (in thousands):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3"/>
        </w:trPr>
        <w:tc>
          <w:tcPr>
            <w:tcW w:w="534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3"/>
        </w:trPr>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r>
      <w:tr>
        <w:trPr>
          <w:trHeight w:val="216"/>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r>
      <w:tr>
        <w:trPr>
          <w:trHeight w:val="210"/>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undiscounted operating lease payments</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w:t>
            </w:r>
          </w:p>
        </w:tc>
      </w:tr>
      <w:tr>
        <w:trPr>
          <w:trHeight w:val="216"/>
        </w:trPr>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Imputed interest expenses</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r>
      <w:tr>
        <w:trPr>
          <w:trHeight w:val="210"/>
        </w:trPr>
        <w:tc>
          <w:tcPr>
            <w:tcW w:w="5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operating lease liabilities</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r>
      <w:tr>
        <w:trPr>
          <w:trHeight w:val="216"/>
        </w:trPr>
        <w:tc>
          <w:tcPr>
            <w:tcW w:w="53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Less: Current portion of operating lease liability</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w:t>
            </w:r>
          </w:p>
        </w:tc>
      </w:tr>
      <w:tr>
        <w:trPr>
          <w:trHeight w:val="217"/>
        </w:trPr>
        <w:tc>
          <w:tcPr>
            <w:tcW w:w="53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Operating lease liability, net of current portion</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r>
    </w:tbl>
    <w:p>
      <w:pPr>
        <w:spacing w:after="0" w:line="202" w:lineRule="exact"/>
        <w:rPr>
          <w:sz w:val="20"/>
          <w:szCs w:val="20"/>
          <w:color w:val="auto"/>
        </w:rPr>
      </w:pPr>
    </w:p>
    <w:p>
      <w:pPr>
        <w:ind w:left="40" w:right="839" w:firstLine="648"/>
        <w:spacing w:after="0" w:line="277" w:lineRule="auto"/>
        <w:rPr>
          <w:sz w:val="20"/>
          <w:szCs w:val="20"/>
          <w:color w:val="auto"/>
        </w:rPr>
      </w:pPr>
      <w:r>
        <w:rPr>
          <w:rFonts w:ascii="Arial" w:cs="Arial" w:eastAsia="Arial" w:hAnsi="Arial"/>
          <w:sz w:val="18"/>
          <w:szCs w:val="18"/>
          <w:color w:val="auto"/>
        </w:rPr>
        <w:t>Rent expense under operating leases was $2.6 million, $1.8 million and $1.7 million for the years ended December 31, 2019, 2018 and 2017, respectively.</w:t>
      </w:r>
    </w:p>
    <w:p>
      <w:pPr>
        <w:spacing w:after="0" w:line="342" w:lineRule="exact"/>
        <w:rPr>
          <w:sz w:val="20"/>
          <w:szCs w:val="20"/>
          <w:color w:val="auto"/>
        </w:rPr>
      </w:pPr>
    </w:p>
    <w:p>
      <w:pPr>
        <w:ind w:left="760" w:hanging="716"/>
        <w:spacing w:after="0"/>
        <w:tabs>
          <w:tab w:leader="none" w:pos="7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AND LICENSING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Kyowa Kirin Co., Ltd. (2019 KKC Agreement)</w:t>
      </w:r>
    </w:p>
    <w:p>
      <w:pPr>
        <w:spacing w:after="0" w:line="225" w:lineRule="exact"/>
        <w:rPr>
          <w:sz w:val="20"/>
          <w:szCs w:val="20"/>
          <w:color w:val="auto"/>
        </w:rPr>
      </w:pPr>
    </w:p>
    <w:p>
      <w:pPr>
        <w:ind w:left="40" w:right="159" w:firstLine="324"/>
        <w:spacing w:after="0" w:line="272" w:lineRule="auto"/>
        <w:rPr>
          <w:sz w:val="20"/>
          <w:szCs w:val="20"/>
          <w:color w:val="auto"/>
        </w:rPr>
      </w:pPr>
      <w:r>
        <w:rPr>
          <w:rFonts w:ascii="Arial" w:cs="Arial" w:eastAsia="Arial" w:hAnsi="Arial"/>
          <w:sz w:val="17"/>
          <w:szCs w:val="17"/>
          <w:color w:val="auto"/>
        </w:rPr>
        <w:t>In November 2019, the Company entered into a research collaboration and option agreement with KKC, or the 2019 KKC Agreement, for the research to identify two pre-clinical study-ready compounds that are ready for designation as development compounds, with one compound inhibiting the first undisclosed target, or Program 1, and a second inhibiting the second undisclosed target, or Program 2. Pursuant to the 2019 KKC Agreement, upon completion of the research and designation by the research steering committee of one or more development candidates, or DCs, KKC, has the right to execute one or more separate collaborative agreements relating to the development and commercialization of one or both DCs in certain specified territories.</w:t>
      </w:r>
    </w:p>
    <w:p>
      <w:pPr>
        <w:spacing w:after="0" w:line="177" w:lineRule="exact"/>
        <w:rPr>
          <w:sz w:val="20"/>
          <w:szCs w:val="20"/>
          <w:color w:val="auto"/>
        </w:rPr>
      </w:pPr>
    </w:p>
    <w:p>
      <w:pPr>
        <w:ind w:left="40" w:right="459" w:firstLine="324"/>
        <w:spacing w:after="0" w:line="342" w:lineRule="auto"/>
        <w:rPr>
          <w:sz w:val="20"/>
          <w:szCs w:val="20"/>
          <w:color w:val="auto"/>
        </w:rPr>
      </w:pPr>
      <w:r>
        <w:rPr>
          <w:rFonts w:ascii="Arial" w:cs="Arial" w:eastAsia="Arial" w:hAnsi="Arial"/>
          <w:sz w:val="16"/>
          <w:szCs w:val="16"/>
          <w:color w:val="auto"/>
        </w:rPr>
        <w:t>Under the terms of the 2019 KKC Agreement, KKC agreed to pay the Company a non-refundable, non-creditable upfront fee of $10.0 million, which is payable as follows: the first installment of $5.0 million within 30 days of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7" w:name="page108"/>
    <w:bookmarkEnd w:id="10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70" w:lineRule="auto"/>
        <w:rPr>
          <w:sz w:val="20"/>
          <w:szCs w:val="20"/>
          <w:color w:val="auto"/>
        </w:rPr>
      </w:pPr>
      <w:r>
        <w:rPr>
          <w:rFonts w:ascii="Arial" w:cs="Arial" w:eastAsia="Arial" w:hAnsi="Arial"/>
          <w:sz w:val="17"/>
          <w:szCs w:val="17"/>
          <w:color w:val="auto"/>
        </w:rPr>
        <w:t>Effective Date, and the second installment of $5.0 million on the first anniversary of the Effective Date, unless the 2019 KKC Agreement is earlier terminated by KKC due to material breach by the Company. The term of the 2019 KKC Agreement commenced on November 11, 2019, or the Effective Date, and ends on the earliest of: (a) two years following the Effective Date, or (b) the nomination of a program DC for both programs, (c) or the nomination of one program DC and the decision by the parties to cease research for the other program, (d) or the decision by the parties to cease research for both programs. The Company assessed the 2019 KKC Agreement in accordance with ASC 606 and concluded that the contract’s counterparty, KKC, is a customer. Management also considered the modification guidance prescribed in ASC 606 and concluded that the 2019 KKC Agreement should be accounted for as a separate contract from the 2017 KKC Agreement, as defined and discussed below.</w:t>
      </w:r>
    </w:p>
    <w:p>
      <w:pPr>
        <w:spacing w:after="0" w:line="181" w:lineRule="exact"/>
        <w:rPr>
          <w:sz w:val="20"/>
          <w:szCs w:val="20"/>
          <w:color w:val="auto"/>
        </w:rPr>
      </w:pPr>
    </w:p>
    <w:p>
      <w:pPr>
        <w:ind w:left="40" w:right="99" w:firstLine="324"/>
        <w:spacing w:after="0" w:line="288" w:lineRule="auto"/>
        <w:rPr>
          <w:sz w:val="20"/>
          <w:szCs w:val="20"/>
          <w:color w:val="auto"/>
        </w:rPr>
      </w:pPr>
      <w:r>
        <w:rPr>
          <w:rFonts w:ascii="Arial" w:cs="Arial" w:eastAsia="Arial" w:hAnsi="Arial"/>
          <w:sz w:val="16"/>
          <w:szCs w:val="16"/>
          <w:color w:val="auto"/>
        </w:rPr>
        <w:t>The Company identified various promises in the 2019 KKC Agreement, including the grant of an initial research license, the Program 1 research, the Program 2 research, the right to obtain certain development and commercialization rights with Program 1 in certain territories and the right to obtain development and commercialization rights with Program 2 in certain territories, and participation in a joint steering committee, or JSC, and determined that KKC could not benefit from either of the research programs without the research license and participation in the JSC. As such, the combined license, research programs and participation in the JSC were deemed to be the highest level of goods and services that can be deemed distinct for each of the Program 1 research and Program 2 research. The Company concluded that the options to obtain additional development and commercialization rights that are exercisable by KKC under certain circumstances are not performance obligations of the contract at inception because the option fees reflect the standalone selling price of the options, and therefore, the options are not considered to be material rights.</w:t>
      </w:r>
    </w:p>
    <w:p>
      <w:pPr>
        <w:spacing w:after="0" w:line="168" w:lineRule="exact"/>
        <w:rPr>
          <w:sz w:val="20"/>
          <w:szCs w:val="20"/>
          <w:color w:val="auto"/>
        </w:rPr>
      </w:pPr>
    </w:p>
    <w:p>
      <w:pPr>
        <w:ind w:left="40" w:right="119" w:firstLine="324"/>
        <w:spacing w:after="0" w:line="271" w:lineRule="auto"/>
        <w:rPr>
          <w:sz w:val="20"/>
          <w:szCs w:val="20"/>
          <w:color w:val="auto"/>
        </w:rPr>
      </w:pPr>
      <w:r>
        <w:rPr>
          <w:rFonts w:ascii="Arial" w:cs="Arial" w:eastAsia="Arial" w:hAnsi="Arial"/>
          <w:sz w:val="17"/>
          <w:szCs w:val="17"/>
          <w:color w:val="auto"/>
        </w:rPr>
        <w:t>At the outset of the 2019 KKC Agreement, the Company determined that the initial transaction price is $10.0 million and that revenue associated with the combined performance obligations will be recognized as services are provided using a input method. Since transfer of control occurs over time, in management’s judgment this input method is the best measure of progress towards satisfying the performance obligations and reflects a faithful depiction of the transfer of goods and services. Revenue will be recognized over the Program 1 and Program 2 research periods, which are currently expected to extend through the end of 2021. Management will re-evaluate the estimates related to the transaction price at the end of each reporting period and as uncertain events are resolved or other changes in circumstances occur and adjust the timing of revenue recognition as necessary.</w:t>
      </w:r>
    </w:p>
    <w:p>
      <w:pPr>
        <w:spacing w:after="0" w:line="178" w:lineRule="exact"/>
        <w:rPr>
          <w:sz w:val="20"/>
          <w:szCs w:val="20"/>
          <w:color w:val="auto"/>
        </w:rPr>
      </w:pPr>
    </w:p>
    <w:p>
      <w:pPr>
        <w:ind w:left="40" w:right="59" w:firstLine="324"/>
        <w:spacing w:after="0" w:line="293" w:lineRule="auto"/>
        <w:rPr>
          <w:sz w:val="20"/>
          <w:szCs w:val="20"/>
          <w:color w:val="auto"/>
        </w:rPr>
      </w:pPr>
      <w:r>
        <w:rPr>
          <w:rFonts w:ascii="Arial" w:cs="Arial" w:eastAsia="Arial" w:hAnsi="Arial"/>
          <w:sz w:val="16"/>
          <w:szCs w:val="16"/>
          <w:color w:val="auto"/>
        </w:rPr>
        <w:t>During the year ended December 31, 2019, the Company recognized $0.5 million as revenue under the 2019 KKC Agreement in the statement of operations and comprehensive loss. The aggregate amount of the transaction price allocated to the Company’s partially unsatisfied performance obligations as of December 31, 2019 was $9.5 million, of which $4.5 million is presented in the balance sheet as deferred revenue. As of December 31, 2019, the Company expects to recognize the remaining transaction price allocated to the Company’s partially unsatisfied performance obligations over the remaining research terms, which, as noted above, are currently expected to extend through the end of 2021.</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Xuanzhu (HK) Biopharmaceutical Limited, or XuanZhu</w:t>
      </w:r>
    </w:p>
    <w:p>
      <w:pPr>
        <w:spacing w:after="0" w:line="225"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In November 2019, the Company entered into a license agreement with XuanZhu, or the XuanZhu Agreement, for a license to certain specific patent and patent applications. The Company assessed these arrangements in accordance with ASC 606 and concluded that the contract counterparty, XuanZhu, is a customer. Under the terms of the XuanZhu Agreement, the Company recognized $1.5 million in license fees when the agreement was executed, of which, $750,000 was received upfront in November 2019 and achievement for the second $750,000 payment was determined to be not materially at risk and probable of achievement and it was included in the transaction price and the amount was not probable of revenue reversal. Based on the Company’s assessment, it identified that it has one combined performance obligation, which is the license and the specific patent grant.</w:t>
      </w:r>
    </w:p>
    <w:p>
      <w:pPr>
        <w:spacing w:after="0" w:line="178"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In addition to the license fee of $1.5 million, the Company may be entitled to receive milestone payments. The variable consideration related to the remaining milestone payments has not been included in the transaction price as these were fully constrained at December 31, 2019.</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8" w:name="page109"/>
    <w:bookmarkEnd w:id="10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324"/>
        <w:spacing w:after="0" w:line="277" w:lineRule="auto"/>
        <w:rPr>
          <w:sz w:val="20"/>
          <w:szCs w:val="20"/>
          <w:color w:val="auto"/>
        </w:rPr>
      </w:pPr>
      <w:r>
        <w:rPr>
          <w:rFonts w:ascii="Arial" w:cs="Arial" w:eastAsia="Arial" w:hAnsi="Arial"/>
          <w:sz w:val="18"/>
          <w:szCs w:val="18"/>
          <w:color w:val="auto"/>
        </w:rPr>
        <w:t>For the year ended December 31, 2019, $1.5 million of license revenue was recorded with no cost of revenue related to the XuanZhu Agreement.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2017 KKC Agreement</w:t>
      </w:r>
    </w:p>
    <w:p>
      <w:pPr>
        <w:spacing w:after="0" w:line="225"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In November 2017, the Company entered into an exclusive license agreement with KKC, or the 2017 KKC Agreement, for the development, commercialization and distribution of tenapanor in Japan for cardiorenal indications. The Company granted KKC an exclusive license to develop and commercialize certain NHE3 inhibitors including tenapanor in Japan for the treatment of cardiorenal diseases and conditions, excluding cancer. The Company retained the rights to tenapanor outside of Japan, and also retained the rights to tenapanor in Japan for indications other than those stated above. Pursuant to the License Agreement, KKC is responsible for all of the development and commercialization costs for tenapanor in treatment of cardiorenal diseases and conditions, excluding cancer in Japan. Under the 2017 KKC Agreement, the Company is responsible for supplying the tenapanor drug product for KKC’s use in development and during commercialization until KKC has assumed such responsibility. Additionally, the Company is responsible for supplying the tenapanor drug substance for KKC’s use in development and commercialization throughout the term of the 2017 KKC Agreement, provided that KKC may exercise an option to manufacture the tenapanor drug substance under certain conditions</w:t>
      </w:r>
    </w:p>
    <w:p>
      <w:pPr>
        <w:spacing w:after="0" w:line="71"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The Company assessed these arrangements in accordance with ASC 606 and concluded that the contract counterparty, KKC, is a customer. Under the terms of the 2017 KKC Agreement, the Company received $30.0 million in up-front license fees which was recognized as revenue when the agreement was executed. Based on the Company’s assessment, it identified that the license and the manufacturing supply services were its material performance obligations at the inception of the agreement, and as such each of the performance obligations are distinct. Additionally, on January 1, 2018, the Company recorded unbilled revenue under current assets of $5.0 million and an increase in uncharged license fees under current liabilities of $1.0 million related to the first milestone under the 2017 KKC Agreement that KKC achieved in February 2019, reflecting revenues and cost of revenue, respectively, that would have been recognized in the fourth quarter 2017 if the Company had adopted ASC 606 prior to January 1, 2018. On KKC’s achievement of the milestone in February 2019, the balance related to unbilled revenue was adjusted to zero. Correspondingly, the $1.0 million balance related to uncharged license fees that the Company owed to AstraZeneca was reclassified to accounts payable during the first quarter of 2019, and subsequently paid to AstraZeneca during the second quarter of 2019.</w:t>
      </w:r>
    </w:p>
    <w:p>
      <w:pPr>
        <w:spacing w:after="0" w:line="168"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In addition to the up-front license fee received of $30.0 million, the Company may be entitled to receive up to $55.0 million in total development milestones, of which $5.0 million has been received to date and 8.5 billion yen in commercialization milestones, or $78.3 million at the currency exchange rate on December 31, 2019, as well as reimbursement of cost, plus a reasonable overhead for the supply of product and high-teen royalties on net sales throughout the term of the agreement. The variable consideration related to the remaining development milestone payments has not been included in the transaction price as these were fully constrained at December 31, 2019.</w:t>
      </w:r>
    </w:p>
    <w:p>
      <w:pPr>
        <w:spacing w:after="0" w:line="178"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For the years ended December 31, 2019 and 2018, $0.3 million each of other revenue was recorded for manufacturing supply of tenapanor and other materials to KKC for its product development and clinical trials in Japan, in accordance with the Company’s agreement with KKC, and for each period, negligible cost of revenue was recorded pursuant to the AstraZeneca Termination Agreement.</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Shanghai Fosun Pharmaceutical Industrial Development Co. Ltd., or Fosun Pharma</w:t>
      </w:r>
    </w:p>
    <w:p>
      <w:pPr>
        <w:spacing w:after="0" w:line="225" w:lineRule="exact"/>
        <w:rPr>
          <w:sz w:val="20"/>
          <w:szCs w:val="20"/>
          <w:color w:val="auto"/>
        </w:rPr>
      </w:pPr>
    </w:p>
    <w:p>
      <w:pPr>
        <w:ind w:left="40" w:right="219" w:firstLine="324"/>
        <w:spacing w:after="0" w:line="254" w:lineRule="auto"/>
        <w:rPr>
          <w:sz w:val="20"/>
          <w:szCs w:val="20"/>
          <w:color w:val="auto"/>
        </w:rPr>
      </w:pPr>
      <w:r>
        <w:rPr>
          <w:rFonts w:ascii="Arial" w:cs="Arial" w:eastAsia="Arial" w:hAnsi="Arial"/>
          <w:sz w:val="18"/>
          <w:szCs w:val="18"/>
          <w:color w:val="auto"/>
        </w:rPr>
        <w:t>In December 2017, the Company entered into an exclusive license agreement with Fosun Pharma, or the Fosun Agreement, for the development, commercialization and distribution of tenapanor in China for both hyperphosphatemia and irritable bowel syndrome with constipation, or IBS-C. The Company assessed these arrangements in accordance with ASC 606 and concluded that the contract counterparty, Fosun Pharma, is a customer. Under the terms of the Fosun Agreement, the Company received $12.0 million in up-front license fees which was recognized as revenue when the agreement was executed. Based on the Company’s assessment, it identified that the license and the manufacturing supply services were its material performance obligations at the inception of the agreement, and as such each of the performance obligations are distinct.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9" w:name="page110"/>
    <w:bookmarkEnd w:id="10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In addition, the Company may be entitled to additional development and commercialization milestones of up to $110.0 million, as well as reimbursement of cost plus a reasonable overhead for the supply of product and tiered royalties on net sales ranging from the mid-teens to 20%. The variable consideration related to the remaining development milestone payments has not been included in the transaction price as these were fully constrained at December 31, 2019.</w:t>
      </w:r>
    </w:p>
    <w:p>
      <w:pPr>
        <w:spacing w:after="0" w:line="157" w:lineRule="exact"/>
        <w:rPr>
          <w:sz w:val="20"/>
          <w:szCs w:val="20"/>
          <w:color w:val="auto"/>
        </w:rPr>
      </w:pPr>
    </w:p>
    <w:p>
      <w:pPr>
        <w:ind w:left="40" w:right="99" w:firstLine="324"/>
        <w:spacing w:after="0" w:line="308" w:lineRule="auto"/>
        <w:rPr>
          <w:sz w:val="20"/>
          <w:szCs w:val="20"/>
          <w:color w:val="auto"/>
        </w:rPr>
      </w:pPr>
      <w:r>
        <w:rPr>
          <w:rFonts w:ascii="Arial" w:cs="Arial" w:eastAsia="Arial" w:hAnsi="Arial"/>
          <w:sz w:val="17"/>
          <w:szCs w:val="17"/>
          <w:color w:val="auto"/>
        </w:rPr>
        <w:t>For the year ended December 31, 2019, $3.0 million revenue was recorded towards achievement of a milestone related to the Fosun Agreement, and for the year ended December 31, 2018, there was no revenue recorded.</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Knight Therapeutics, Inc., or Knight</w:t>
      </w:r>
    </w:p>
    <w:p>
      <w:pPr>
        <w:spacing w:after="0" w:line="225" w:lineRule="exact"/>
        <w:rPr>
          <w:sz w:val="20"/>
          <w:szCs w:val="20"/>
          <w:color w:val="auto"/>
        </w:rPr>
      </w:pPr>
    </w:p>
    <w:p>
      <w:pPr>
        <w:ind w:left="40" w:right="59" w:firstLine="324"/>
        <w:spacing w:after="0" w:line="255" w:lineRule="auto"/>
        <w:rPr>
          <w:sz w:val="20"/>
          <w:szCs w:val="20"/>
          <w:color w:val="auto"/>
        </w:rPr>
      </w:pPr>
      <w:r>
        <w:rPr>
          <w:rFonts w:ascii="Arial" w:cs="Arial" w:eastAsia="Arial" w:hAnsi="Arial"/>
          <w:sz w:val="18"/>
          <w:szCs w:val="18"/>
          <w:color w:val="auto"/>
        </w:rPr>
        <w:t>In March 2018, the Company entered into an exclusive license agreement with Knight Therapeutics, Inc., or the Knight Agreement, for the development, commercialization and distribution of tenapanor in Canada for hyperphosphatemia and IBS-C. The Company assessed these arrangements in accordance with ASC 606 and concluded that the contract counterparty, Knight, is a customer. Based on the Company’s assessment, it identified that the license and the manufacturing supply services were its material performance obligations at the inception of the agreement, and as such each of the performance obligations are distinct.</w:t>
      </w:r>
    </w:p>
    <w:p>
      <w:pPr>
        <w:spacing w:after="0" w:line="192"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Under the terms of the agreement, the Company is eligible to receive up to CAD 25 million in total payments, or $19.2 million at the currency exchange rate on December 31, 2019, including an up-front payment and development and sales milestones, reimbursement of supply costs on a schedule specifying cost per tablet, with a reasonable mark up for overhead, as well as tiered royalty rates on net sales ranging from the mid-single digits to the low twenties. The variable consideration related to the remaining development milestone payments has not been included in the transaction price as these were fully constrained at December 31, 2019.</w:t>
      </w:r>
    </w:p>
    <w:p>
      <w:pPr>
        <w:spacing w:after="0" w:line="192"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color w:val="auto"/>
        </w:rPr>
        <w:t>For the years ended December 31, 2019 and 2018, zero and $2.3 million of revenue was recorded, respectively, related to the Knight Agreement, and zero and $0.5 million of cost of revenue was recorded, respectively, pursuant to the AstraZeneca Termination Agreement.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AstraZeneca</w:t>
      </w:r>
    </w:p>
    <w:p>
      <w:pPr>
        <w:spacing w:after="0" w:line="225" w:lineRule="exact"/>
        <w:rPr>
          <w:sz w:val="20"/>
          <w:szCs w:val="20"/>
          <w:color w:val="auto"/>
        </w:rPr>
      </w:pPr>
    </w:p>
    <w:p>
      <w:pPr>
        <w:ind w:left="40" w:right="99" w:firstLine="324"/>
        <w:spacing w:after="0" w:line="254" w:lineRule="auto"/>
        <w:rPr>
          <w:sz w:val="20"/>
          <w:szCs w:val="20"/>
          <w:color w:val="auto"/>
        </w:rPr>
      </w:pPr>
      <w:r>
        <w:rPr>
          <w:rFonts w:ascii="Arial" w:cs="Arial" w:eastAsia="Arial" w:hAnsi="Arial"/>
          <w:sz w:val="18"/>
          <w:szCs w:val="18"/>
          <w:color w:val="auto"/>
        </w:rPr>
        <w:t>In June 2015, the Company entered into a termination agreement with AstraZeneca, or the AstraZeneca Termination Agreement, pursuant to which the Company remains liable to pay AstraZeneca license fees for (i) future royalties at a royalty rate of 10% of net sales of tenapanor or other NHE3 products by the Company or its licensees, and (ii) 20% of non-royalty revenue received from a new collaboration partner should the Company elect to license, or otherwise provide rights to develop and commercialize tenapanor or certain other NHE3 inhibitors, up to a maximum of $75.0 million in aggregate for (i) and (ii). To date in aggregate, the Company has recognized $10.5 million of the $75.0 million, recorded as cost of revenue, as follows: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Cost of Revenue</w:t>
            </w:r>
          </w:p>
        </w:tc>
        <w:tc>
          <w:tcPr>
            <w:tcW w:w="560" w:type="dxa"/>
            <w:vAlign w:val="bottom"/>
            <w:tcBorders>
              <w:bottom w:val="single" w:sz="8" w:color="auto"/>
            </w:tcBorders>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Recognized</w:t>
            </w: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Amount Paid</w:t>
            </w:r>
          </w:p>
        </w:tc>
      </w:tr>
      <w:tr>
        <w:trPr>
          <w:trHeight w:val="142"/>
        </w:trPr>
        <w:tc>
          <w:tcPr>
            <w:tcW w:w="50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Year 2017</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xml:space="preserve">9,400 </w:t>
            </w: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Year 2018</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2,864</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Year 2019</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17"/>
        </w:trPr>
        <w:tc>
          <w:tcPr>
            <w:tcW w:w="50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ind w:right="1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9,866</w:t>
            </w: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Maximum payment per termination agreement</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75,000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Remaining potential commitment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65,134</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r>
    </w:tbl>
    <w:p>
      <w:pPr>
        <w:spacing w:after="0" w:line="3" w:lineRule="exact"/>
        <w:rPr>
          <w:sz w:val="20"/>
          <w:szCs w:val="20"/>
          <w:color w:val="auto"/>
        </w:rPr>
      </w:pPr>
    </w:p>
    <w:p>
      <w:pPr>
        <w:ind w:left="220" w:hanging="176"/>
        <w:spacing w:after="0"/>
        <w:tabs>
          <w:tab w:leader="none" w:pos="220" w:val="left"/>
        </w:tabs>
        <w:numPr>
          <w:ilvl w:val="0"/>
          <w:numId w:val="62"/>
        </w:numPr>
        <w:rPr>
          <w:rFonts w:ascii="Arial" w:cs="Arial" w:eastAsia="Arial" w:hAnsi="Arial"/>
          <w:sz w:val="18"/>
          <w:szCs w:val="18"/>
          <w:b w:val="1"/>
          <w:bCs w:val="1"/>
          <w:color w:val="auto"/>
        </w:rPr>
      </w:pPr>
      <w:r>
        <w:rPr>
          <w:rFonts w:ascii="Arial" w:cs="Arial" w:eastAsia="Arial" w:hAnsi="Arial"/>
          <w:sz w:val="16"/>
          <w:szCs w:val="16"/>
          <w:color w:val="auto"/>
        </w:rPr>
        <w:t>Includes the $1,000 adjustment recorded pursuant to the adoption of ASC 606, as discussed in Note 2.</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39" w:lineRule="exact"/>
        <w:rPr>
          <w:rFonts w:ascii="Arial" w:cs="Arial" w:eastAsia="Arial" w:hAnsi="Arial"/>
          <w:sz w:val="18"/>
          <w:szCs w:val="18"/>
          <w:b w:val="1"/>
          <w:bCs w:val="1"/>
          <w:color w:val="auto"/>
        </w:rPr>
      </w:pPr>
    </w:p>
    <w:p>
      <w:pPr>
        <w:ind w:left="4360"/>
        <w:spacing w:after="0"/>
        <w:rPr>
          <w:rFonts w:ascii="Arial" w:cs="Arial" w:eastAsia="Arial" w:hAnsi="Arial"/>
          <w:sz w:val="18"/>
          <w:szCs w:val="18"/>
          <w:b w:val="1"/>
          <w:bCs w:val="1"/>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0" w:name="page111"/>
    <w:bookmarkEnd w:id="1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80" w:hanging="636"/>
        <w:spacing w:after="0"/>
        <w:tabs>
          <w:tab w:leader="none" w:pos="6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40" w:right="239" w:firstLine="648"/>
        <w:spacing w:after="0" w:line="277" w:lineRule="auto"/>
        <w:rPr>
          <w:sz w:val="20"/>
          <w:szCs w:val="20"/>
          <w:color w:val="auto"/>
        </w:rPr>
      </w:pPr>
      <w:r>
        <w:rPr>
          <w:rFonts w:ascii="Arial" w:cs="Arial" w:eastAsia="Arial" w:hAnsi="Arial"/>
          <w:sz w:val="18"/>
          <w:szCs w:val="18"/>
          <w:color w:val="auto"/>
        </w:rPr>
        <w:t>The components of the provision for income taxes for the year ended December 31, 2019, 2018 and 2017, are as follows (in thousands):</w:t>
      </w:r>
    </w:p>
    <w:p>
      <w:pPr>
        <w:spacing w:after="0" w:line="243"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7"/>
          </w:tcPr>
          <w:p>
            <w:pPr>
              <w:jc w:val="right"/>
              <w:ind w:right="53"/>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209"/>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Current:</w:t>
            </w:r>
          </w:p>
        </w:tc>
        <w:tc>
          <w:tcPr>
            <w:tcW w:w="206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rPr>
              <w:t>2019</w:t>
            </w: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10"/>
        </w:trPr>
        <w:tc>
          <w:tcPr>
            <w:tcW w:w="386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w:t>
            </w:r>
          </w:p>
        </w:tc>
        <w:tc>
          <w:tcPr>
            <w:tcW w:w="16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Deferred:</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w:t>
            </w:r>
          </w:p>
        </w:tc>
        <w:tc>
          <w:tcPr>
            <w:tcW w:w="16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Provision for income taxes</w:t>
            </w:r>
          </w:p>
        </w:tc>
        <w:tc>
          <w:tcPr>
            <w:tcW w:w="1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is a reconciliation of the statutory federal income tax rate to the Company’s effective tax rate:</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260" w:type="dxa"/>
            <w:vAlign w:val="bottom"/>
            <w:gridSpan w:val="6"/>
          </w:tcPr>
          <w:p>
            <w:pPr>
              <w:jc w:val="right"/>
              <w:ind w:right="33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8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Income tax at the federal statutory rate</w:t>
            </w:r>
          </w:p>
        </w:tc>
        <w:tc>
          <w:tcPr>
            <w:tcW w:w="52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benefit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impact related to foreign subsidiary</w:t>
            </w:r>
          </w:p>
        </w:tc>
        <w:tc>
          <w:tcPr>
            <w:tcW w:w="7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Impact of tax reform rate change</w:t>
            </w:r>
          </w:p>
        </w:tc>
        <w:tc>
          <w:tcPr>
            <w:tcW w:w="7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(56.4)</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Tax credits</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7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(0.9)</w:t>
            </w:r>
          </w:p>
        </w:tc>
        <w:tc>
          <w:tcPr>
            <w:tcW w:w="8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gridSpan w:val="2"/>
          </w:tcPr>
          <w:p>
            <w:pPr>
              <w:jc w:val="right"/>
              <w:ind w:right="150"/>
              <w:spacing w:after="0"/>
              <w:rPr>
                <w:sz w:val="20"/>
                <w:szCs w:val="20"/>
                <w:color w:val="auto"/>
              </w:rPr>
            </w:pPr>
            <w:r>
              <w:rPr>
                <w:rFonts w:ascii="Arial" w:cs="Arial" w:eastAsia="Arial" w:hAnsi="Arial"/>
                <w:sz w:val="18"/>
                <w:szCs w:val="18"/>
                <w:color w:val="auto"/>
              </w:rPr>
              <w:t>(0.4)</w:t>
            </w: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r>
      <w:tr>
        <w:trPr>
          <w:trHeight w:val="217"/>
        </w:trPr>
        <w:tc>
          <w:tcPr>
            <w:tcW w:w="48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provision</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left="40" w:right="159" w:firstLine="648"/>
        <w:spacing w:after="0" w:line="286" w:lineRule="auto"/>
        <w:rPr>
          <w:sz w:val="20"/>
          <w:szCs w:val="20"/>
          <w:color w:val="auto"/>
        </w:rPr>
      </w:pPr>
      <w:r>
        <w:rPr>
          <w:rFonts w:ascii="Arial" w:cs="Arial" w:eastAsia="Arial" w:hAnsi="Arial"/>
          <w:sz w:val="17"/>
          <w:szCs w:val="17"/>
          <w:color w:val="auto"/>
        </w:rPr>
        <w:t>Deferred income taxes reflect the tax effects of temporary differences between the carrying amounts of assets and liabilities for financial reporting purposes and the amounts used for income tax purposes. Significant components of the Company’s deferred tax assets are as follows as of December 31, 2019 and 2018:</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5"/>
          </w:tcPr>
          <w:p>
            <w:pPr>
              <w:ind w:left="320"/>
              <w:spacing w:after="0" w:line="142"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2"/>
                <w:szCs w:val="12"/>
                <w:color w:val="auto"/>
              </w:rPr>
            </w:pPr>
          </w:p>
        </w:tc>
      </w:tr>
      <w:tr>
        <w:trPr>
          <w:trHeight w:val="216"/>
        </w:trPr>
        <w:tc>
          <w:tcPr>
            <w:tcW w:w="9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Amortization and depreciation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45,555</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38,376</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31,621</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Tax credits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8,200</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Lease obligation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9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Gross deferred tax assets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103,364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82,848</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(102,344)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(81,645)</w:t>
            </w:r>
          </w:p>
        </w:tc>
        <w:tc>
          <w:tcPr>
            <w:tcW w:w="90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Deferred tax assets net of valuation allowance</w:t>
            </w: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Right of use asset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recognition</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w:t>
            </w:r>
          </w:p>
        </w:tc>
        <w:tc>
          <w:tcPr>
            <w:tcW w:w="900" w:type="dxa"/>
            <w:vAlign w:val="bottom"/>
          </w:tcPr>
          <w:p>
            <w:pPr>
              <w:spacing w:after="0"/>
              <w:rPr>
                <w:sz w:val="18"/>
                <w:szCs w:val="18"/>
                <w:color w:val="auto"/>
              </w:rPr>
            </w:pPr>
          </w:p>
        </w:tc>
      </w:tr>
      <w:tr>
        <w:trPr>
          <w:trHeight w:val="229"/>
        </w:trPr>
        <w:tc>
          <w:tcPr>
            <w:tcW w:w="900" w:type="dxa"/>
            <w:vAlign w:val="bottom"/>
          </w:tcPr>
          <w:p>
            <w:pPr>
              <w:spacing w:after="0"/>
              <w:rPr>
                <w:sz w:val="19"/>
                <w:szCs w:val="19"/>
                <w:color w:val="auto"/>
              </w:rPr>
            </w:pPr>
          </w:p>
        </w:tc>
        <w:tc>
          <w:tcPr>
            <w:tcW w:w="45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deferred tax assets</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r>
      <w:tr>
        <w:trPr>
          <w:trHeight w:val="851"/>
        </w:trPr>
        <w:tc>
          <w:tcPr>
            <w:tcW w:w="900" w:type="dxa"/>
            <w:vAlign w:val="bottom"/>
          </w:tcPr>
          <w:p>
            <w:pPr>
              <w:spacing w:after="0"/>
              <w:rPr>
                <w:sz w:val="24"/>
                <w:szCs w:val="24"/>
                <w:color w:val="auto"/>
              </w:rPr>
            </w:pPr>
          </w:p>
        </w:tc>
        <w:tc>
          <w:tcPr>
            <w:tcW w:w="4560" w:type="dxa"/>
            <w:vAlign w:val="bottom"/>
          </w:tcPr>
          <w:p>
            <w:pPr>
              <w:ind w:left="3420"/>
              <w:spacing w:after="0"/>
              <w:rPr>
                <w:sz w:val="20"/>
                <w:szCs w:val="20"/>
                <w:color w:val="auto"/>
              </w:rPr>
            </w:pPr>
            <w:r>
              <w:rPr>
                <w:rFonts w:ascii="Arial" w:cs="Arial" w:eastAsia="Arial" w:hAnsi="Arial"/>
                <w:sz w:val="18"/>
                <w:szCs w:val="18"/>
                <w:color w:val="auto"/>
              </w:rPr>
              <w:t>109</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1"/>
        </w:trPr>
        <w:tc>
          <w:tcPr>
            <w:tcW w:w="9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11" w:name="page112"/>
    <w:bookmarkEnd w:id="1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648"/>
        <w:spacing w:after="0" w:line="288" w:lineRule="auto"/>
        <w:rPr>
          <w:sz w:val="20"/>
          <w:szCs w:val="20"/>
          <w:color w:val="auto"/>
        </w:rPr>
      </w:pPr>
      <w:r>
        <w:rPr>
          <w:rFonts w:ascii="Arial" w:cs="Arial" w:eastAsia="Arial" w:hAnsi="Arial"/>
          <w:sz w:val="16"/>
          <w:szCs w:val="16"/>
          <w:color w:val="auto"/>
        </w:rPr>
        <w:t>Realization of deferred tax assets is dependent on future taxable income, if any, the timing and the amount of which are uncertain. The Company assesses the available positive and negative evidence to estimate whether sufficient future taxable income will be generated to permit use of the existing deferred tax assets. A significant component of objective negative evidence evaluated was the Company’s cumulative loss incurred over the three-year period ended December 31, 2019. Such objective evidence limits the ability to consider other subjective evidence, such as our projections for future growth. On the basis of this evaluation, as of December 31, 2019, December 31, 2018 and December 31, 2017, a full valuation allowance has been recorded against Company’s net deferred tax asset.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68"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As of December 31, 2019, the Company had net operating loss carryforwards for federal income tax purposes of approximately $232.1 million, of which approximately $91.4 million can be carried forward indefinitely and the remaining net operating losses expire beginning in 2030, if not utilized. Federal research and development tax credit carryforwards of approximately $11.4 million that expire beginning in 2027, if not utilized, and foreign tax credit carryforwards of approximately $1.2 million that expire in 2027, if not utilized.</w:t>
      </w:r>
    </w:p>
    <w:p>
      <w:pPr>
        <w:spacing w:after="0" w:line="188" w:lineRule="exact"/>
        <w:rPr>
          <w:sz w:val="20"/>
          <w:szCs w:val="20"/>
          <w:color w:val="auto"/>
        </w:rPr>
      </w:pPr>
    </w:p>
    <w:p>
      <w:pPr>
        <w:ind w:left="40" w:right="239" w:firstLine="648"/>
        <w:spacing w:after="0" w:line="255" w:lineRule="auto"/>
        <w:rPr>
          <w:sz w:val="20"/>
          <w:szCs w:val="20"/>
          <w:color w:val="auto"/>
        </w:rPr>
      </w:pPr>
      <w:r>
        <w:rPr>
          <w:rFonts w:ascii="Arial" w:cs="Arial" w:eastAsia="Arial" w:hAnsi="Arial"/>
          <w:sz w:val="18"/>
          <w:szCs w:val="18"/>
          <w:color w:val="auto"/>
        </w:rPr>
        <w:t>In addition, the Company had net operating loss carryforwards for California income tax purposes of approximately $88.3 million that expire beginning of 2030, if not utilized, and state research and development tax credit carryforwards of approximately $7.8 million which can be carried forward indefinitely. The Company had approximately $0.1 million of minimum tax credit carryovers for California income tax purposes. The minimum tax credits have no expiration date. The Company had other state net operating losses of approximately $1.8 million that begin to expire in 2025.</w:t>
      </w:r>
    </w:p>
    <w:p>
      <w:pPr>
        <w:spacing w:after="0" w:line="192" w:lineRule="exact"/>
        <w:rPr>
          <w:sz w:val="20"/>
          <w:szCs w:val="20"/>
          <w:color w:val="auto"/>
        </w:rPr>
      </w:pPr>
    </w:p>
    <w:p>
      <w:pPr>
        <w:ind w:left="40" w:right="339" w:firstLine="648"/>
        <w:spacing w:after="0" w:line="259" w:lineRule="auto"/>
        <w:rPr>
          <w:sz w:val="20"/>
          <w:szCs w:val="20"/>
          <w:color w:val="auto"/>
        </w:rPr>
      </w:pPr>
      <w:r>
        <w:rPr>
          <w:rFonts w:ascii="Arial" w:cs="Arial" w:eastAsia="Arial" w:hAnsi="Arial"/>
          <w:sz w:val="18"/>
          <w:szCs w:val="18"/>
          <w:color w:val="auto"/>
        </w:rPr>
        <w:t>The future utilization of net operating loss and tax credit carryforwards and credits may be subject to an annual limitation, pursuant to Internal Revenue Code Sections 382 and 383, as a result of ownership changes that may have occurred previously or that could occur in the future. Due to the existence of the valuation allowance, limitations under Section 382 and 383 will not impact the Company’s effective tax rate.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30"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9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2017</w:t>
            </w: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w w:val="92"/>
              </w:rPr>
              <w:t>Additions based on tax positions related to</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prior year</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16,103</w:t>
            </w: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Additions based on tax positions related to</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year</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16"/>
        </w:trPr>
        <w:tc>
          <w:tcPr>
            <w:tcW w:w="2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Balance at end of year</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24,538</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20,734</w:t>
            </w:r>
          </w:p>
        </w:tc>
      </w:tr>
    </w:tbl>
    <w:p>
      <w:pPr>
        <w:spacing w:after="0" w:line="202" w:lineRule="exact"/>
        <w:rPr>
          <w:sz w:val="20"/>
          <w:szCs w:val="20"/>
          <w:color w:val="auto"/>
        </w:rPr>
      </w:pPr>
    </w:p>
    <w:p>
      <w:pPr>
        <w:jc w:val="both"/>
        <w:ind w:left="40" w:right="119" w:firstLine="648"/>
        <w:spacing w:after="0" w:line="342" w:lineRule="auto"/>
        <w:rPr>
          <w:sz w:val="20"/>
          <w:szCs w:val="20"/>
          <w:color w:val="auto"/>
        </w:rPr>
      </w:pPr>
      <w:r>
        <w:rPr>
          <w:rFonts w:ascii="Arial" w:cs="Arial" w:eastAsia="Arial" w:hAnsi="Arial"/>
          <w:sz w:val="16"/>
          <w:szCs w:val="16"/>
          <w:color w:val="auto"/>
        </w:rPr>
        <w:t>The unrecognized tax benefits, if recognized and in absence of full valuation allowance, would impact the income tax provision by $13.2 million, $9.8 million, and $8.6 million as of December 31, 2019, 2018, and 2017, respectively.</w:t>
      </w:r>
    </w:p>
    <w:p>
      <w:pPr>
        <w:spacing w:after="0" w:line="124" w:lineRule="exact"/>
        <w:rPr>
          <w:sz w:val="20"/>
          <w:szCs w:val="20"/>
          <w:color w:val="auto"/>
        </w:rPr>
      </w:pPr>
    </w:p>
    <w:p>
      <w:pPr>
        <w:jc w:val="both"/>
        <w:ind w:left="40" w:right="119" w:firstLine="648"/>
        <w:spacing w:after="0" w:line="301" w:lineRule="auto"/>
        <w:rPr>
          <w:sz w:val="20"/>
          <w:szCs w:val="20"/>
          <w:color w:val="auto"/>
        </w:rPr>
      </w:pPr>
      <w:r>
        <w:rPr>
          <w:rFonts w:ascii="Arial" w:cs="Arial" w:eastAsia="Arial" w:hAnsi="Arial"/>
          <w:sz w:val="16"/>
          <w:szCs w:val="16"/>
          <w:color w:val="auto"/>
        </w:rPr>
        <w:t>The Company has elected to include interest and penalties as a component of tax expense. During the years ended December 31, 2019, 2018 and 2017, the Company did not recognize accrued interest and penalties related to unrecognized tax benefits. Although the timing and outcome of an income tax audit is highly uncertain, the Company does not anticipate that the amount of existing unrecognized tax benefits will significantly change during the next 12 months.</w:t>
      </w:r>
    </w:p>
    <w:p>
      <w:pPr>
        <w:spacing w:after="0" w:line="157" w:lineRule="exact"/>
        <w:rPr>
          <w:sz w:val="20"/>
          <w:szCs w:val="20"/>
          <w:color w:val="auto"/>
        </w:rPr>
      </w:pPr>
    </w:p>
    <w:p>
      <w:pPr>
        <w:ind w:left="40" w:right="419" w:firstLine="648"/>
        <w:spacing w:after="0" w:line="342" w:lineRule="auto"/>
        <w:rPr>
          <w:sz w:val="20"/>
          <w:szCs w:val="20"/>
          <w:color w:val="auto"/>
        </w:rPr>
      </w:pPr>
      <w:r>
        <w:rPr>
          <w:rFonts w:ascii="Arial" w:cs="Arial" w:eastAsia="Arial" w:hAnsi="Arial"/>
          <w:sz w:val="16"/>
          <w:szCs w:val="16"/>
          <w:color w:val="auto"/>
        </w:rPr>
        <w:t>The Company files a federal income tax return in the U.S. and state income tax returns in California, Georgia, Maryland, Massachusetts, Michigan, New Hampshire, Oregon and Wisconsin. Because carryforward attributes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2" w:name="page113"/>
    <w:bookmarkEnd w:id="1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9"/>
        <w:spacing w:after="0" w:line="342" w:lineRule="auto"/>
        <w:rPr>
          <w:sz w:val="20"/>
          <w:szCs w:val="20"/>
          <w:color w:val="auto"/>
        </w:rPr>
      </w:pPr>
      <w:r>
        <w:rPr>
          <w:rFonts w:ascii="Arial" w:cs="Arial" w:eastAsia="Arial" w:hAnsi="Arial"/>
          <w:sz w:val="16"/>
          <w:szCs w:val="16"/>
          <w:color w:val="auto"/>
        </w:rPr>
        <w:t>generated in past years may be adjusted in a future period, the income tax returns remain open to U.S. federal and California state tax examinations. The Company is not currently under examination in any tax jurisdiction.</w:t>
      </w:r>
    </w:p>
    <w:p>
      <w:pPr>
        <w:spacing w:after="0" w:line="120" w:lineRule="exact"/>
        <w:rPr>
          <w:sz w:val="20"/>
          <w:szCs w:val="20"/>
          <w:color w:val="auto"/>
        </w:rPr>
      </w:pPr>
    </w:p>
    <w:p>
      <w:pPr>
        <w:ind w:left="680" w:hanging="636"/>
        <w:spacing w:after="0"/>
        <w:tabs>
          <w:tab w:leader="none" w:pos="6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INFORMATION AND CONCENTRATIONS</w:t>
      </w:r>
    </w:p>
    <w:p>
      <w:pPr>
        <w:spacing w:after="0" w:line="229" w:lineRule="exact"/>
        <w:rPr>
          <w:sz w:val="20"/>
          <w:szCs w:val="20"/>
          <w:color w:val="auto"/>
        </w:rPr>
      </w:pPr>
    </w:p>
    <w:p>
      <w:pPr>
        <w:ind w:left="40" w:right="839" w:firstLine="648"/>
        <w:spacing w:after="0" w:line="277" w:lineRule="auto"/>
        <w:rPr>
          <w:sz w:val="20"/>
          <w:szCs w:val="20"/>
          <w:color w:val="auto"/>
        </w:rPr>
      </w:pPr>
      <w:r>
        <w:rPr>
          <w:rFonts w:ascii="Arial" w:cs="Arial" w:eastAsia="Arial" w:hAnsi="Arial"/>
          <w:sz w:val="18"/>
          <w:szCs w:val="18"/>
          <w:color w:val="auto"/>
        </w:rPr>
        <w:t>Revenue by geographic areas for the years ended December 31, 2019, 2018 and 2017, are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ind w:right="234"/>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60" w:type="dxa"/>
            <w:vAlign w:val="bottom"/>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r>
      <w:tr>
        <w:trPr>
          <w:trHeight w:val="209"/>
        </w:trPr>
        <w:tc>
          <w:tcPr>
            <w:tcW w:w="86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North America (1)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18"/>
                <w:szCs w:val="18"/>
                <w:color w:val="auto"/>
              </w:rPr>
            </w:pPr>
          </w:p>
        </w:tc>
        <w:tc>
          <w:tcPr>
            <w:tcW w:w="49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Asia Pacific (2) (3) (4)</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5,281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42,000</w:t>
            </w:r>
          </w:p>
        </w:tc>
      </w:tr>
      <w:tr>
        <w:trPr>
          <w:trHeight w:val="217"/>
        </w:trPr>
        <w:tc>
          <w:tcPr>
            <w:tcW w:w="860" w:type="dxa"/>
            <w:vAlign w:val="bottom"/>
          </w:tcPr>
          <w:p>
            <w:pPr>
              <w:spacing w:after="0"/>
              <w:rPr>
                <w:sz w:val="18"/>
                <w:szCs w:val="18"/>
                <w:color w:val="auto"/>
              </w:rPr>
            </w:pPr>
          </w:p>
        </w:tc>
        <w:tc>
          <w:tcPr>
            <w:tcW w:w="4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5,281</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2,607</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42,000</w:t>
            </w:r>
          </w:p>
        </w:tc>
      </w:tr>
      <w:tr>
        <w:trPr>
          <w:trHeight w:val="108"/>
        </w:trPr>
        <w:tc>
          <w:tcPr>
            <w:tcW w:w="8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r>
    </w:tbl>
    <w:p>
      <w:pPr>
        <w:spacing w:after="0" w:line="94" w:lineRule="exact"/>
        <w:rPr>
          <w:sz w:val="20"/>
          <w:szCs w:val="20"/>
          <w:color w:val="auto"/>
        </w:rPr>
      </w:pPr>
    </w:p>
    <w:p>
      <w:pPr>
        <w:ind w:left="360" w:right="679" w:hanging="316"/>
        <w:spacing w:after="0" w:line="277" w:lineRule="auto"/>
        <w:tabs>
          <w:tab w:leader="none" w:pos="4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Revenues from North America in 2018 comprised of $2.3 million from Canada in accordance with the Knight Agreement.</w:t>
      </w:r>
    </w:p>
    <w:p>
      <w:pPr>
        <w:spacing w:after="0" w:line="170" w:lineRule="exact"/>
        <w:rPr>
          <w:rFonts w:ascii="Arial" w:cs="Arial" w:eastAsia="Arial" w:hAnsi="Arial"/>
          <w:sz w:val="18"/>
          <w:szCs w:val="18"/>
          <w:color w:val="auto"/>
        </w:rPr>
      </w:pPr>
    </w:p>
    <w:p>
      <w:pPr>
        <w:ind w:left="360" w:right="119" w:hanging="316"/>
        <w:spacing w:after="0" w:line="286" w:lineRule="auto"/>
        <w:tabs>
          <w:tab w:leader="none" w:pos="408"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Revenues from Asia Pacific in 2019 comprised $0.3 million and $0.5 million from Japan in accordance with the 2017 KKC Agreement and 2019 KKC Agreement, respectively, $1.5 million from Hong Kong in accordance with the XuanZhu Agreement and $3.0 million from China in accordance with the Fosun Agreement.</w:t>
      </w:r>
    </w:p>
    <w:p>
      <w:pPr>
        <w:spacing w:after="0" w:line="165" w:lineRule="exact"/>
        <w:rPr>
          <w:rFonts w:ascii="Arial" w:cs="Arial" w:eastAsia="Arial" w:hAnsi="Arial"/>
          <w:sz w:val="17"/>
          <w:szCs w:val="17"/>
          <w:color w:val="auto"/>
        </w:rPr>
      </w:pPr>
    </w:p>
    <w:p>
      <w:pPr>
        <w:ind w:left="380" w:hanging="336"/>
        <w:spacing w:after="0"/>
        <w:tabs>
          <w:tab w:leader="none" w:pos="3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Revenues from Asia Pacific in 2018 comprised $0.3 million from Japan in accordance with the 2017 KKC Agreement.</w:t>
      </w:r>
    </w:p>
    <w:p>
      <w:pPr>
        <w:spacing w:after="0" w:line="248" w:lineRule="exact"/>
        <w:rPr>
          <w:rFonts w:ascii="Arial" w:cs="Arial" w:eastAsia="Arial" w:hAnsi="Arial"/>
          <w:sz w:val="16"/>
          <w:szCs w:val="16"/>
          <w:color w:val="auto"/>
        </w:rPr>
      </w:pPr>
    </w:p>
    <w:p>
      <w:pPr>
        <w:ind w:left="360" w:right="199" w:hanging="316"/>
        <w:spacing w:after="0" w:line="277" w:lineRule="auto"/>
        <w:tabs>
          <w:tab w:leader="none" w:pos="336"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Revenues from Asia Pacific in 2017 included $30.0 million from Japan in accordance with the 2017 KKC Agreement and $12.0 million from China in accordance with the Fosun Agreement.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Revenues are attributed to geographical areas based on the domicile of the Company’s collaboration partners.</w:t>
      </w:r>
    </w:p>
    <w:p>
      <w:pPr>
        <w:spacing w:after="0" w:line="248" w:lineRule="exact"/>
        <w:rPr>
          <w:sz w:val="20"/>
          <w:szCs w:val="20"/>
          <w:color w:val="auto"/>
        </w:rPr>
      </w:pPr>
    </w:p>
    <w:p>
      <w:pPr>
        <w:ind w:left="40" w:right="159" w:firstLine="648"/>
        <w:spacing w:after="0" w:line="263" w:lineRule="auto"/>
        <w:rPr>
          <w:sz w:val="20"/>
          <w:szCs w:val="20"/>
          <w:color w:val="auto"/>
        </w:rPr>
      </w:pPr>
      <w:r>
        <w:rPr>
          <w:rFonts w:ascii="Arial" w:cs="Arial" w:eastAsia="Arial" w:hAnsi="Arial"/>
          <w:sz w:val="18"/>
          <w:szCs w:val="18"/>
          <w:color w:val="auto"/>
        </w:rPr>
        <w:t>Revenues recorded in the years ended December 31, 2019, 2018 and 2017, were wholly from collaboration partnerships. Collaboration partnerships accounting for more than 10% of total revenues during the years ended December 31, 2019, 2018 and 2017, are as follows:</w:t>
      </w:r>
    </w:p>
    <w:p>
      <w:pPr>
        <w:spacing w:after="0" w:line="189"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8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2"/>
                <w:szCs w:val="12"/>
                <w:color w:val="auto"/>
              </w:rPr>
            </w:pPr>
          </w:p>
        </w:tc>
      </w:tr>
      <w:tr>
        <w:trPr>
          <w:trHeight w:val="237"/>
        </w:trPr>
        <w:tc>
          <w:tcPr>
            <w:tcW w:w="20" w:type="dxa"/>
            <w:vAlign w:val="bottom"/>
          </w:tcPr>
          <w:p>
            <w:pPr>
              <w:spacing w:after="0"/>
              <w:rPr>
                <w:sz w:val="20"/>
                <w:szCs w:val="20"/>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Fosun Pharma</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57 %</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XuanZhu</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28 %</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KKC</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15 %</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11 %</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71 %</w:t>
            </w: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Knight</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89 %</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r>
    </w:tbl>
    <w:p>
      <w:pPr>
        <w:spacing w:after="0" w:line="197" w:lineRule="exact"/>
        <w:rPr>
          <w:sz w:val="20"/>
          <w:szCs w:val="20"/>
          <w:color w:val="auto"/>
        </w:rPr>
      </w:pPr>
    </w:p>
    <w:p>
      <w:pPr>
        <w:ind w:left="680" w:hanging="636"/>
        <w:spacing w:after="0"/>
        <w:tabs>
          <w:tab w:leader="none" w:pos="6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left="40" w:right="79" w:firstLine="648"/>
        <w:spacing w:after="0" w:line="296" w:lineRule="auto"/>
        <w:rPr>
          <w:sz w:val="20"/>
          <w:szCs w:val="20"/>
          <w:color w:val="auto"/>
        </w:rPr>
      </w:pPr>
      <w:r>
        <w:rPr>
          <w:rFonts w:ascii="Arial" w:cs="Arial" w:eastAsia="Arial" w:hAnsi="Arial"/>
          <w:sz w:val="16"/>
          <w:szCs w:val="16"/>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the Company had net losses for the years ended December 31, 2019, 2018 and 2017, all potential common shares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3" w:name="page114"/>
    <w:bookmarkEnd w:id="1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color w:val="auto"/>
        </w:rPr>
        <w:t>were determined to be anti-dilutive. The following table sets forth the computation of net loss per common share (in thousands, except share and per share amounts):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7"/>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2017</w:t>
            </w: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3"/>
        </w:trPr>
        <w:tc>
          <w:tcPr>
            <w:tcW w:w="5160" w:type="dxa"/>
            <w:vAlign w:val="bottom"/>
          </w:tcPr>
          <w:p>
            <w:pPr>
              <w:ind w:left="1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(94,940)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(91,298)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(64,339)</w:t>
            </w:r>
          </w:p>
        </w:tc>
      </w:tr>
      <w:tr>
        <w:trPr>
          <w:trHeight w:val="216"/>
        </w:trPr>
        <w:tc>
          <w:tcPr>
            <w:tcW w:w="51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3"/>
              </w:rPr>
              <w:t>Weighted average common shares outstanding - basic and diluted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64,478,066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56,219,919</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47,435,331</w:t>
            </w:r>
          </w:p>
        </w:tc>
      </w:tr>
      <w:tr>
        <w:trPr>
          <w:trHeight w:val="21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per share - 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bl>
    <w:p>
      <w:pPr>
        <w:spacing w:after="0" w:line="202" w:lineRule="exact"/>
        <w:rPr>
          <w:sz w:val="20"/>
          <w:szCs w:val="20"/>
          <w:color w:val="auto"/>
        </w:rPr>
      </w:pPr>
    </w:p>
    <w:p>
      <w:pPr>
        <w:ind w:left="40" w:right="219" w:firstLine="648"/>
        <w:spacing w:after="0" w:line="263" w:lineRule="auto"/>
        <w:rPr>
          <w:sz w:val="20"/>
          <w:szCs w:val="20"/>
          <w:color w:val="auto"/>
        </w:rPr>
      </w:pPr>
      <w:r>
        <w:rPr>
          <w:rFonts w:ascii="Arial" w:cs="Arial" w:eastAsia="Arial" w:hAnsi="Arial"/>
          <w:sz w:val="18"/>
          <w:szCs w:val="18"/>
          <w:color w:val="auto"/>
        </w:rPr>
        <w:t>For the years ended December 31, 2019, 2018 and 2017, the total numbers of securities that could potentially dilute net income per share in the future that were not considered in the diluted net loss per share calculations because the effect would have been anti-dilutive were as follows:</w:t>
      </w:r>
    </w:p>
    <w:p>
      <w:pPr>
        <w:spacing w:after="0" w:line="189"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900" w:type="dxa"/>
            <w:vAlign w:val="bottom"/>
            <w:tcBorders>
              <w:bottom w:val="single" w:sz="8" w:color="auto"/>
            </w:tcBorders>
            <w:gridSpan w:val="5"/>
          </w:tcPr>
          <w:p>
            <w:pPr>
              <w:jc w:val="right"/>
              <w:ind w:right="593"/>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4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7,128,247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5,378,008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3,977,160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960" w:type="dxa"/>
            <w:vAlign w:val="bottom"/>
          </w:tcPr>
          <w:p>
            <w:pPr>
              <w:jc w:val="right"/>
              <w:spacing w:after="0"/>
              <w:rPr>
                <w:sz w:val="20"/>
                <w:szCs w:val="20"/>
                <w:color w:val="auto"/>
              </w:rPr>
            </w:pPr>
            <w:r>
              <w:rPr>
                <w:rFonts w:ascii="Arial" w:cs="Arial" w:eastAsia="Arial" w:hAnsi="Arial"/>
                <w:sz w:val="18"/>
                <w:szCs w:val="18"/>
                <w:color w:val="auto"/>
              </w:rPr>
              <w:t>2,172,899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2,172,899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2,172,899</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199,135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323,819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Performance-based restricted stock units</w:t>
            </w:r>
          </w:p>
        </w:tc>
        <w:tc>
          <w:tcPr>
            <w:tcW w:w="960" w:type="dxa"/>
            <w:vAlign w:val="bottom"/>
          </w:tcPr>
          <w:p>
            <w:pPr>
              <w:jc w:val="right"/>
              <w:spacing w:after="0"/>
              <w:rPr>
                <w:sz w:val="20"/>
                <w:szCs w:val="20"/>
                <w:color w:val="auto"/>
              </w:rPr>
            </w:pPr>
            <w:r>
              <w:rPr>
                <w:rFonts w:ascii="Arial" w:cs="Arial" w:eastAsia="Arial" w:hAnsi="Arial"/>
                <w:sz w:val="18"/>
                <w:szCs w:val="18"/>
                <w:color w:val="auto"/>
              </w:rPr>
              <w:t>867,506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395,791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148,216</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ESPP shares issuable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78,761</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63,413</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60,524</w:t>
            </w:r>
          </w:p>
        </w:tc>
      </w:tr>
      <w:tr>
        <w:trPr>
          <w:trHeight w:val="217"/>
        </w:trPr>
        <w:tc>
          <w:tcPr>
            <w:tcW w:w="444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10,247,413</w:t>
            </w:r>
          </w:p>
        </w:tc>
        <w:tc>
          <w:tcPr>
            <w:tcW w:w="1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8,209,246</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6,682,618</w:t>
            </w:r>
          </w:p>
        </w:tc>
      </w:tr>
    </w:tbl>
    <w:p>
      <w:pPr>
        <w:spacing w:after="0" w:line="202"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The number of potential common shares that would have been included in diluted income per share had it not been for the anti-dilutive effect caused by the net loss, computed by converting these securities using the treasury stock method during the years ended December 31, 2019, 2018 and 2017, was approximately 1.1 million, 1.0 million and 1.0 million, respectively.</w:t>
      </w:r>
    </w:p>
    <w:p>
      <w:pPr>
        <w:spacing w:after="0" w:line="183" w:lineRule="exact"/>
        <w:rPr>
          <w:sz w:val="20"/>
          <w:szCs w:val="20"/>
          <w:color w:val="auto"/>
        </w:rPr>
      </w:pPr>
    </w:p>
    <w:p>
      <w:pPr>
        <w:ind w:left="680" w:hanging="636"/>
        <w:spacing w:after="0"/>
        <w:tabs>
          <w:tab w:leader="none" w:pos="6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left="40" w:right="139" w:firstLine="648"/>
        <w:spacing w:after="0" w:line="308" w:lineRule="auto"/>
        <w:rPr>
          <w:sz w:val="20"/>
          <w:szCs w:val="20"/>
          <w:color w:val="auto"/>
        </w:rPr>
      </w:pPr>
      <w:r>
        <w:rPr>
          <w:rFonts w:ascii="Arial" w:cs="Arial" w:eastAsia="Arial" w:hAnsi="Arial"/>
          <w:sz w:val="17"/>
          <w:szCs w:val="17"/>
          <w:color w:val="auto"/>
        </w:rPr>
        <w:t>The Company has facility leases (see Note 12), as well as operating equipment leases. Future minimum payments on the Company’s noncancelable operating leases as of December 31, 2019 are as follows (in thousands):</w:t>
      </w:r>
    </w:p>
    <w:p>
      <w:pPr>
        <w:spacing w:after="0" w:line="151"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700" w:type="dxa"/>
            <w:vAlign w:val="bottom"/>
          </w:tcPr>
          <w:p>
            <w:pPr>
              <w:jc w:val="right"/>
              <w:ind w:right="35"/>
              <w:spacing w:after="0"/>
              <w:rPr>
                <w:sz w:val="20"/>
                <w:szCs w:val="20"/>
                <w:color w:val="auto"/>
              </w:rPr>
            </w:pPr>
            <w:r>
              <w:rPr>
                <w:rFonts w:ascii="Arial" w:cs="Arial" w:eastAsia="Arial" w:hAnsi="Arial"/>
                <w:sz w:val="14"/>
                <w:szCs w:val="14"/>
                <w:b w:val="1"/>
                <w:bCs w:val="1"/>
                <w:color w:val="auto"/>
                <w:w w:val="92"/>
              </w:rPr>
              <w:t>Amounts</w:t>
            </w:r>
          </w:p>
        </w:tc>
      </w:tr>
      <w:tr>
        <w:trPr>
          <w:trHeight w:val="210"/>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w:t>
            </w:r>
          </w:p>
        </w:tc>
      </w:tr>
      <w:tr>
        <w:trPr>
          <w:trHeight w:val="217"/>
        </w:trPr>
        <w:tc>
          <w:tcPr>
            <w:tcW w:w="63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w:t>
            </w:r>
          </w:p>
        </w:tc>
      </w:tr>
    </w:tbl>
    <w:p>
      <w:pPr>
        <w:spacing w:after="0" w:line="3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98"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The Company indemnifies each of its officers and directors for certain events or occurrences, subject to certain limits, while the officer or director is or was serving at our request in such capacity, as permitted under Delaware law and in accordance with our certificate of incorporation and bylaws. The term of the indemnification period lasts as long as an officer or director may be subject to any proceeding arising out of acts or omissions of such officer or director in such capacity.</w:t>
      </w:r>
    </w:p>
    <w:p>
      <w:pPr>
        <w:spacing w:after="0" w:line="147" w:lineRule="exact"/>
        <w:rPr>
          <w:sz w:val="20"/>
          <w:szCs w:val="20"/>
          <w:color w:val="auto"/>
        </w:rPr>
      </w:pPr>
    </w:p>
    <w:p>
      <w:pPr>
        <w:ind w:left="40" w:right="279" w:firstLine="648"/>
        <w:spacing w:after="0" w:line="311" w:lineRule="auto"/>
        <w:rPr>
          <w:sz w:val="20"/>
          <w:szCs w:val="20"/>
          <w:color w:val="auto"/>
        </w:rPr>
      </w:pPr>
      <w:r>
        <w:rPr>
          <w:rFonts w:ascii="Arial" w:cs="Arial" w:eastAsia="Arial" w:hAnsi="Arial"/>
          <w:sz w:val="16"/>
          <w:szCs w:val="16"/>
          <w:color w:val="auto"/>
        </w:rPr>
        <w:t>The maximum amount of potential future indemnification is unlimited; however, the Company currently holds director and officer liability insurance, which allows the transfer of risk associated with our exposure and may enable the Company to recover a portion of any future amounts paid. The Company believes that the fair value of these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4" w:name="page115"/>
    <w:bookmarkEnd w:id="1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color w:val="auto"/>
        </w:rPr>
        <w:t>indemnification obligations is minimal. Accordingly, the Company has not recognized any liabilities relating to these obligations for any period presented.</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Legal Proceedings and Claims</w:t>
      </w:r>
    </w:p>
    <w:p>
      <w:pPr>
        <w:spacing w:after="0" w:line="198" w:lineRule="exact"/>
        <w:rPr>
          <w:sz w:val="20"/>
          <w:szCs w:val="20"/>
          <w:color w:val="auto"/>
        </w:rPr>
      </w:pPr>
    </w:p>
    <w:p>
      <w:pPr>
        <w:ind w:left="40" w:right="419" w:firstLine="648"/>
        <w:spacing w:after="0" w:line="279" w:lineRule="auto"/>
        <w:rPr>
          <w:sz w:val="20"/>
          <w:szCs w:val="20"/>
          <w:color w:val="auto"/>
        </w:rPr>
      </w:pPr>
      <w:r>
        <w:rPr>
          <w:rFonts w:ascii="Arial" w:cs="Arial" w:eastAsia="Arial" w:hAnsi="Arial"/>
          <w:sz w:val="17"/>
          <w:szCs w:val="17"/>
          <w:color w:val="auto"/>
        </w:rPr>
        <w:t>From time to time the Company may be involved in claims arising in connection with its business. Based on information currently available, management believes that the amount, or range, of reasonably possible losses in connection with any pending actions against the Company will not be material to the Company’s financial condition or cash flows, and no contingent liabilities were accrued as of December 31, 2019 or 2018.</w:t>
      </w:r>
    </w:p>
    <w:p>
      <w:pPr>
        <w:spacing w:after="0" w:line="127" w:lineRule="exact"/>
        <w:rPr>
          <w:sz w:val="20"/>
          <w:szCs w:val="20"/>
          <w:color w:val="auto"/>
        </w:rPr>
      </w:pPr>
    </w:p>
    <w:p>
      <w:pPr>
        <w:ind w:left="680" w:hanging="636"/>
        <w:spacing w:after="0"/>
        <w:tabs>
          <w:tab w:leader="none" w:pos="6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189" w:lineRule="exact"/>
        <w:rPr>
          <w:sz w:val="20"/>
          <w:szCs w:val="20"/>
          <w:color w:val="auto"/>
        </w:rPr>
      </w:pPr>
    </w:p>
    <w:p>
      <w:pPr>
        <w:ind w:left="40" w:right="599" w:firstLine="648"/>
        <w:spacing w:after="0" w:line="277" w:lineRule="auto"/>
        <w:rPr>
          <w:sz w:val="20"/>
          <w:szCs w:val="20"/>
          <w:color w:val="auto"/>
        </w:rPr>
      </w:pPr>
      <w:r>
        <w:rPr>
          <w:rFonts w:ascii="Arial" w:cs="Arial" w:eastAsia="Arial" w:hAnsi="Arial"/>
          <w:sz w:val="18"/>
          <w:szCs w:val="18"/>
          <w:color w:val="auto"/>
        </w:rPr>
        <w:t>Selected quarterly financial results from operations for the years ended December 31, 2019 and 2018 are as follows (in thousands, except per share amounts):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rPr>
              <w:t>2019 Quarter Ended</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December 31</w:t>
            </w:r>
          </w:p>
        </w:tc>
        <w:tc>
          <w:tcPr>
            <w:tcW w:w="20" w:type="dxa"/>
            <w:vAlign w:val="bottom"/>
          </w:tcPr>
          <w:p>
            <w:pPr>
              <w:spacing w:after="0"/>
              <w:rPr>
                <w:sz w:val="12"/>
                <w:szCs w:val="12"/>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2,413</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2,250</w:t>
            </w:r>
          </w:p>
        </w:tc>
        <w:tc>
          <w:tcPr>
            <w:tcW w:w="2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25,498</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24,846</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21,098</w:t>
            </w:r>
          </w:p>
        </w:tc>
        <w:tc>
          <w:tcPr>
            <w:tcW w:w="2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(26,144)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(25,467)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(23,539)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(19,790)</w:t>
            </w:r>
          </w:p>
        </w:tc>
        <w:tc>
          <w:tcPr>
            <w:tcW w:w="2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8"/>
                <w:szCs w:val="18"/>
                <w:color w:val="auto"/>
              </w:rPr>
            </w:pPr>
          </w:p>
        </w:tc>
      </w:tr>
      <w:tr>
        <w:trPr>
          <w:trHeight w:val="378"/>
        </w:trPr>
        <w:tc>
          <w:tcPr>
            <w:tcW w:w="5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rPr>
              <w:t>2018 Quarter Ended</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December 31</w:t>
            </w:r>
          </w:p>
        </w:tc>
        <w:tc>
          <w:tcPr>
            <w:tcW w:w="20" w:type="dxa"/>
            <w:vAlign w:val="bottom"/>
          </w:tcPr>
          <w:p>
            <w:pPr>
              <w:spacing w:after="0"/>
              <w:rPr>
                <w:sz w:val="12"/>
                <w:szCs w:val="12"/>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1,856</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19,541</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22,184</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27,461</w:t>
            </w:r>
          </w:p>
        </w:tc>
        <w:tc>
          <w:tcPr>
            <w:tcW w:w="2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(17,019)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(22,291)</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(24,126)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(27,862)</w:t>
            </w:r>
          </w:p>
        </w:tc>
        <w:tc>
          <w:tcPr>
            <w:tcW w:w="2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18"/>
                <w:szCs w:val="18"/>
                <w:color w:val="auto"/>
              </w:rPr>
            </w:pPr>
          </w:p>
        </w:tc>
      </w:tr>
    </w:tbl>
    <w:p>
      <w:pPr>
        <w:spacing w:after="0" w:line="211" w:lineRule="exact"/>
        <w:rPr>
          <w:sz w:val="20"/>
          <w:szCs w:val="20"/>
          <w:color w:val="auto"/>
        </w:rPr>
      </w:pPr>
    </w:p>
    <w:p>
      <w:pPr>
        <w:ind w:left="40" w:right="105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Conclusions Regarding the Effectiveness of Disclosure Controls and Procedures</w:t>
      </w:r>
    </w:p>
    <w:p>
      <w:pPr>
        <w:spacing w:after="0" w:line="225" w:lineRule="exact"/>
        <w:rPr>
          <w:sz w:val="20"/>
          <w:szCs w:val="20"/>
          <w:color w:val="auto"/>
        </w:rPr>
      </w:pPr>
    </w:p>
    <w:p>
      <w:pPr>
        <w:ind w:left="40" w:right="119" w:firstLine="648"/>
        <w:spacing w:after="0" w:line="218" w:lineRule="exact"/>
        <w:rPr>
          <w:sz w:val="20"/>
          <w:szCs w:val="20"/>
          <w:color w:val="auto"/>
        </w:rPr>
      </w:pPr>
      <w:r>
        <w:rPr>
          <w:rFonts w:ascii="Arial" w:cs="Arial" w:eastAsia="Arial" w:hAnsi="Arial"/>
          <w:sz w:val="16"/>
          <w:szCs w:val="16"/>
          <w:color w:val="auto"/>
        </w:rPr>
        <w:t>As of December 31, 2019, management, with the participation of our Chief Executive Officer and Chief Financial Officer, performed an evaluation of the effectiveness of the design and operation of our disclosure controls and procedures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of the Exchange Act. 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w:t>
      </w:r>
    </w:p>
    <w:p>
      <w:pPr>
        <w:spacing w:after="0" w:line="204"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2019, the design and operation of our disclosure controls and procedures were effective at a reasonable assurance level.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5" w:name="page116"/>
    <w:bookmarkEnd w:id="1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ind w:left="40" w:right="59" w:firstLine="648"/>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6" w:lineRule="exact"/>
        <w:rPr>
          <w:sz w:val="20"/>
          <w:szCs w:val="20"/>
          <w:color w:val="auto"/>
        </w:rPr>
      </w:pPr>
    </w:p>
    <w:p>
      <w:pPr>
        <w:ind w:left="1340" w:right="939" w:hanging="324"/>
        <w:spacing w:after="0" w:line="277" w:lineRule="auto"/>
        <w:tabs>
          <w:tab w:leader="none" w:pos="1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Pertain to the maintenance of records that accurately and fairly reflect in reasonable detail the transactions and dispositions of the assets of our company;</w:t>
      </w:r>
    </w:p>
    <w:p>
      <w:pPr>
        <w:spacing w:after="0" w:line="170" w:lineRule="exact"/>
        <w:rPr>
          <w:rFonts w:ascii="Arial" w:cs="Arial" w:eastAsia="Arial" w:hAnsi="Arial"/>
          <w:sz w:val="18"/>
          <w:szCs w:val="18"/>
          <w:color w:val="auto"/>
        </w:rPr>
      </w:pPr>
    </w:p>
    <w:p>
      <w:pPr>
        <w:ind w:left="1340" w:right="319" w:hanging="324"/>
        <w:spacing w:after="0" w:line="259" w:lineRule="auto"/>
        <w:tabs>
          <w:tab w:leader="none" w:pos="1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86" w:lineRule="exact"/>
        <w:rPr>
          <w:rFonts w:ascii="Arial" w:cs="Arial" w:eastAsia="Arial" w:hAnsi="Arial"/>
          <w:sz w:val="18"/>
          <w:szCs w:val="18"/>
          <w:color w:val="auto"/>
        </w:rPr>
      </w:pPr>
    </w:p>
    <w:p>
      <w:pPr>
        <w:ind w:left="1340" w:right="199" w:hanging="324"/>
        <w:spacing w:after="0" w:line="342" w:lineRule="auto"/>
        <w:tabs>
          <w:tab w:leader="none" w:pos="1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Provide reasonable assurances regarding prevention or timely detection of unauthorized acquisition, use or disposition of our assets that could have a material adverse effect on our financial statements.</w:t>
      </w:r>
    </w:p>
    <w:p>
      <w:pPr>
        <w:spacing w:after="0" w:line="124" w:lineRule="exact"/>
        <w:rPr>
          <w:sz w:val="20"/>
          <w:szCs w:val="20"/>
          <w:color w:val="auto"/>
        </w:rPr>
      </w:pPr>
    </w:p>
    <w:p>
      <w:pPr>
        <w:ind w:left="40" w:right="159" w:firstLine="648"/>
        <w:spacing w:after="0" w:line="219" w:lineRule="exact"/>
        <w:rPr>
          <w:sz w:val="20"/>
          <w:szCs w:val="20"/>
          <w:color w:val="auto"/>
        </w:rPr>
      </w:pPr>
      <w:r>
        <w:rPr>
          <w:rFonts w:ascii="Arial" w:cs="Arial" w:eastAsia="Arial" w:hAnsi="Arial"/>
          <w:sz w:val="17"/>
          <w:szCs w:val="17"/>
          <w:color w:val="auto"/>
        </w:rPr>
        <w:t>Our management assessed our internal control over financial reporting as of December 31, 2019, the end the period covered by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Management based its assessment on criteria established in “Internal Control—Integrated Framework (2013)” issued by the Committee of Sponsoring Organizations of the Treadway Commission. Based on management’s assessment of our internal control over financial reporting, management concluded that, as of December 31, 2019, our internal control over financial reporting was effective.</w:t>
      </w:r>
    </w:p>
    <w:p>
      <w:pPr>
        <w:spacing w:after="0" w:line="205" w:lineRule="exact"/>
        <w:rPr>
          <w:sz w:val="20"/>
          <w:szCs w:val="20"/>
          <w:color w:val="auto"/>
        </w:rPr>
      </w:pPr>
    </w:p>
    <w:p>
      <w:pPr>
        <w:ind w:left="40" w:right="119" w:firstLine="648"/>
        <w:spacing w:after="0" w:line="263"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an independent registered public accounting firm, as stated in their report, which is included under “Item 8. Financial Statements and Supplementary Data” of this Annual Report on Form 10-K.</w:t>
      </w:r>
    </w:p>
    <w:p>
      <w:pPr>
        <w:spacing w:after="0" w:line="184" w:lineRule="exact"/>
        <w:rPr>
          <w:sz w:val="20"/>
          <w:szCs w:val="20"/>
          <w:color w:val="auto"/>
        </w:rPr>
      </w:pPr>
    </w:p>
    <w:p>
      <w:pPr>
        <w:ind w:left="40" w:right="159" w:firstLine="648"/>
        <w:spacing w:after="0" w:line="254" w:lineRule="auto"/>
        <w:rPr>
          <w:sz w:val="20"/>
          <w:szCs w:val="20"/>
          <w:color w:val="auto"/>
        </w:rPr>
      </w:pPr>
      <w:r>
        <w:rPr>
          <w:rFonts w:ascii="Arial" w:cs="Arial" w:eastAsia="Arial" w:hAnsi="Arial"/>
          <w:sz w:val="18"/>
          <w:szCs w:val="18"/>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40" w:right="199" w:firstLine="648"/>
        <w:spacing w:after="0" w:line="220" w:lineRule="exact"/>
        <w:rPr>
          <w:sz w:val="20"/>
          <w:szCs w:val="20"/>
          <w:color w:val="auto"/>
        </w:rPr>
      </w:pPr>
      <w:r>
        <w:rPr>
          <w:rFonts w:ascii="Arial" w:cs="Arial" w:eastAsia="Arial" w:hAnsi="Arial"/>
          <w:sz w:val="17"/>
          <w:szCs w:val="17"/>
          <w:color w:val="auto"/>
        </w:rPr>
        <w:t>There were no changes in our internal controls over financial reporting during the quarter ended December 31, 2019, identified in connection with the evaluation required by Rule 13a</w:t>
      </w:r>
      <w:r>
        <w:rPr>
          <w:rFonts w:ascii="MS PGothic" w:cs="MS PGothic" w:eastAsia="MS PGothic" w:hAnsi="MS PGothic"/>
          <w:sz w:val="17"/>
          <w:szCs w:val="17"/>
          <w:color w:val="auto"/>
        </w:rPr>
        <w:t>‑</w:t>
      </w:r>
      <w:r>
        <w:rPr>
          <w:rFonts w:ascii="Arial" w:cs="Arial" w:eastAsia="Arial" w:hAnsi="Arial"/>
          <w:sz w:val="17"/>
          <w:szCs w:val="17"/>
          <w:color w:val="auto"/>
        </w:rPr>
        <w:t>15(d) and 15d</w:t>
      </w:r>
      <w:r>
        <w:rPr>
          <w:rFonts w:ascii="MS PGothic" w:cs="MS PGothic" w:eastAsia="MS PGothic" w:hAnsi="MS PGothic"/>
          <w:sz w:val="17"/>
          <w:szCs w:val="17"/>
          <w:color w:val="auto"/>
        </w:rPr>
        <w:t>‑</w:t>
      </w:r>
      <w:r>
        <w:rPr>
          <w:rFonts w:ascii="Arial" w:cs="Arial" w:eastAsia="Arial" w:hAnsi="Arial"/>
          <w:sz w:val="17"/>
          <w:szCs w:val="17"/>
          <w:color w:val="auto"/>
        </w:rPr>
        <w:t>15(d) of the Exchange Act that has materially affected, or is reasonably likely to materially affect, our internal control over financial reporting other than completion of the actions taken to remediate the material weakness identified as of June 30, 2019.</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Remediation of Material Weakness</w:t>
      </w:r>
    </w:p>
    <w:p>
      <w:pPr>
        <w:spacing w:after="0" w:line="225" w:lineRule="exact"/>
        <w:rPr>
          <w:sz w:val="20"/>
          <w:szCs w:val="20"/>
          <w:color w:val="auto"/>
        </w:rPr>
      </w:pPr>
    </w:p>
    <w:p>
      <w:pPr>
        <w:ind w:left="40" w:right="59" w:firstLine="648"/>
        <w:spacing w:after="0" w:line="275" w:lineRule="auto"/>
        <w:rPr>
          <w:sz w:val="20"/>
          <w:szCs w:val="20"/>
          <w:color w:val="auto"/>
        </w:rPr>
      </w:pPr>
      <w:r>
        <w:rPr>
          <w:rFonts w:ascii="Arial" w:cs="Arial" w:eastAsia="Arial" w:hAnsi="Arial"/>
          <w:sz w:val="17"/>
          <w:szCs w:val="17"/>
          <w:color w:val="auto"/>
        </w:rPr>
        <w:t>As disclosed in Item 4 in our Quarterly Reports on Form 10-Q for the quarters ended June 30, 2019 and September 30, 2019, we identified a material weakness in our internal control over financial reporting due to a failure in the design and implementation of controls over the evaluation of the terms of our clinical trial contracts for inclusion into our clinical financial model which estimates clinical trial expenses. Specifically, we had failed to properly interpret an expense in our clinical trial contracts which resulted in the over accrual of our clinical trial expenses.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6" w:name="page117"/>
    <w:bookmarkEnd w:id="1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During 2019, we executed our remediation plan for this material weakness. Our remediation activities included:</w:t>
      </w:r>
    </w:p>
    <w:p>
      <w:pPr>
        <w:spacing w:after="0" w:line="248" w:lineRule="exact"/>
        <w:rPr>
          <w:sz w:val="20"/>
          <w:szCs w:val="20"/>
          <w:color w:val="auto"/>
        </w:rPr>
      </w:pPr>
    </w:p>
    <w:p>
      <w:pPr>
        <w:ind w:left="1020" w:right="179" w:hanging="328"/>
        <w:spacing w:after="0" w:line="259"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Designing and implementing an effective internal control related to internal communication and joint review between the clinical, legal and accounting groups in the establishment of new clinical financial models when clinical contracts are executed to ensure that clinical contracts are properly interpreted and that estimates of clinical expenses are based on appropriate drivers;</w:t>
      </w:r>
    </w:p>
    <w:p>
      <w:pPr>
        <w:spacing w:after="0" w:line="186" w:lineRule="exact"/>
        <w:rPr>
          <w:rFonts w:ascii="Arial" w:cs="Arial" w:eastAsia="Arial" w:hAnsi="Arial"/>
          <w:sz w:val="18"/>
          <w:szCs w:val="18"/>
          <w:color w:val="auto"/>
        </w:rPr>
      </w:pPr>
    </w:p>
    <w:p>
      <w:pPr>
        <w:ind w:left="1020" w:right="259" w:hanging="328"/>
        <w:spacing w:after="0" w:line="263"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Enhancing the precision of an internal control related to the tracking of invoices and comparison to the clinical financial model to assure that clinical expenses within the clinical financial model are appropriately included and estimated; and</w:t>
      </w:r>
    </w:p>
    <w:p>
      <w:pPr>
        <w:spacing w:after="0" w:line="183" w:lineRule="exact"/>
        <w:rPr>
          <w:rFonts w:ascii="Arial" w:cs="Arial" w:eastAsia="Arial" w:hAnsi="Arial"/>
          <w:sz w:val="18"/>
          <w:szCs w:val="18"/>
          <w:color w:val="auto"/>
        </w:rPr>
      </w:pPr>
    </w:p>
    <w:p>
      <w:pPr>
        <w:ind w:left="1020" w:right="179" w:hanging="328"/>
        <w:spacing w:after="0" w:line="263"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Implementing an ongoing review of the accrual models where assumptions and estimates built into the models are reassessed for reasonableness, considering any new information known as of that date that would challenge the initial considerations made when the model was set up.</w:t>
      </w:r>
    </w:p>
    <w:p>
      <w:pPr>
        <w:spacing w:after="0" w:line="184" w:lineRule="exact"/>
        <w:rPr>
          <w:sz w:val="20"/>
          <w:szCs w:val="20"/>
          <w:color w:val="auto"/>
        </w:rPr>
      </w:pPr>
    </w:p>
    <w:p>
      <w:pPr>
        <w:ind w:left="40" w:right="139" w:firstLine="648"/>
        <w:spacing w:after="0" w:line="342" w:lineRule="auto"/>
        <w:rPr>
          <w:sz w:val="20"/>
          <w:szCs w:val="20"/>
          <w:color w:val="auto"/>
        </w:rPr>
      </w:pPr>
      <w:r>
        <w:rPr>
          <w:rFonts w:ascii="Arial" w:cs="Arial" w:eastAsia="Arial" w:hAnsi="Arial"/>
          <w:sz w:val="16"/>
          <w:szCs w:val="16"/>
          <w:color w:val="auto"/>
        </w:rPr>
        <w:t>We tested such newly established policies, procedures, and control activities designed to address the above-described material weakness. As a result, we believe that this material weakness was remediated as of December 31, 2019.</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7" w:name="page118"/>
    <w:bookmarkEnd w:id="1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1939" w:firstLine="2531"/>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Ardelyx,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ind w:left="40" w:right="279" w:firstLine="648"/>
        <w:spacing w:after="0" w:line="257" w:lineRule="auto"/>
        <w:rPr>
          <w:sz w:val="20"/>
          <w:szCs w:val="20"/>
          <w:color w:val="auto"/>
        </w:rPr>
      </w:pPr>
      <w:r>
        <w:rPr>
          <w:rFonts w:ascii="Arial" w:cs="Arial" w:eastAsia="Arial" w:hAnsi="Arial"/>
          <w:sz w:val="18"/>
          <w:szCs w:val="18"/>
          <w:color w:val="auto"/>
        </w:rPr>
        <w:t>We have audited Ardelyx, Inc.’s internal control over financial reporting as of December 31, 2019, based on criteria established in Internal Control—Integrated Framework issued by the Committee of Sponsoring Organizations of the Treadway Commission (2013 framework) (“the COSO criteria”). In our opinion, Ardelyx, Inc. (“the Company”) maintained, in all material respects, effective internal control over financial reporting as of December 31, 2019, based on the COSO criteria.</w:t>
      </w:r>
    </w:p>
    <w:p>
      <w:pPr>
        <w:spacing w:after="0" w:line="134"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balance sheets of the Company as of December 31, 2019 and 2018, the related statements of operations and comprehensive loss, stockholders’ equity, and cash flows for each of the three years in the period ended December 31, 2019, and the related notes and our report dated March 6, 2020 expressed an unqualified opinion thereon.</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left="40" w:right="119" w:firstLine="648"/>
        <w:spacing w:after="0" w:line="29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0"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ind w:left="40" w:right="139" w:firstLine="64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8" w:name="page119"/>
    <w:bookmarkEnd w:id="1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9" w:name="page120"/>
    <w:bookmarkEnd w:id="1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40" w:right="79" w:firstLine="648"/>
        <w:spacing w:after="0" w:line="275" w:lineRule="auto"/>
        <w:rPr>
          <w:sz w:val="20"/>
          <w:szCs w:val="20"/>
          <w:color w:val="auto"/>
        </w:rPr>
      </w:pPr>
      <w:r>
        <w:rPr>
          <w:rFonts w:ascii="Arial" w:cs="Arial" w:eastAsia="Arial" w:hAnsi="Arial"/>
          <w:sz w:val="17"/>
          <w:szCs w:val="17"/>
          <w:color w:val="auto"/>
        </w:rPr>
        <w:t>Information required by this item will be contained in our definitive proxy statement to be filed with the Securities and Exchange Commission on Schedule 14A in connection with our 2020 Annual Meeting of Stockholders (the “Proxy Statement”), which will be filed not later than 120 days after the end of our fiscal year ended December 31, 2019, under the headings “Executive Officers,” “Election of Directors,” “Corporate Governance,” and “ Section 16(a) Beneficial Ownership Reporting Compliance,” and is incorporated herein by reference.</w:t>
      </w:r>
    </w:p>
    <w:p>
      <w:pPr>
        <w:spacing w:after="0" w:line="176" w:lineRule="exact"/>
        <w:rPr>
          <w:sz w:val="20"/>
          <w:szCs w:val="20"/>
          <w:color w:val="auto"/>
        </w:rPr>
      </w:pPr>
    </w:p>
    <w:p>
      <w:pPr>
        <w:ind w:left="40" w:right="79" w:firstLine="648"/>
        <w:spacing w:after="0" w:line="271"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which is available on our website at www.ardelyx.com. The Code of Business Conduct and Ethics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40" w:right="219" w:firstLine="648"/>
        <w:spacing w:after="0" w:line="277" w:lineRule="auto"/>
        <w:rPr>
          <w:sz w:val="20"/>
          <w:szCs w:val="20"/>
          <w:color w:val="auto"/>
        </w:rPr>
      </w:pPr>
      <w:r>
        <w:rPr>
          <w:rFonts w:ascii="Arial" w:cs="Arial" w:eastAsia="Arial" w:hAnsi="Arial"/>
          <w:sz w:val="18"/>
          <w:szCs w:val="18"/>
          <w:color w:val="auto"/>
        </w:rPr>
        <w:t>The information required by this item regarding executive compensation will be incorporated by reference to the information set forth in the sections titled “Executive Compensation” in our Proxy Statement.</w:t>
      </w:r>
    </w:p>
    <w:p>
      <w:pPr>
        <w:spacing w:after="0" w:line="166" w:lineRule="exact"/>
        <w:rPr>
          <w:sz w:val="20"/>
          <w:szCs w:val="20"/>
          <w:color w:val="auto"/>
        </w:rPr>
      </w:pPr>
    </w:p>
    <w:p>
      <w:pPr>
        <w:ind w:left="40" w:right="65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left="40" w:right="79" w:firstLine="648"/>
        <w:spacing w:after="0" w:line="286" w:lineRule="auto"/>
        <w:rPr>
          <w:sz w:val="20"/>
          <w:szCs w:val="20"/>
          <w:color w:val="auto"/>
        </w:rPr>
      </w:pPr>
      <w:r>
        <w:rPr>
          <w:rFonts w:ascii="Arial" w:cs="Arial" w:eastAsia="Arial" w:hAnsi="Arial"/>
          <w:sz w:val="17"/>
          <w:szCs w:val="17"/>
          <w:color w:val="auto"/>
        </w:rPr>
        <w:t>The information required by this item regarding security ownership of certain beneficial owners and management will be incorporated by reference to the information set forth in the section titled “Security Ownership of Certain Beneficial Owners and Management” and “Equity Compensation Plan Information” in our Proxy Statement.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0" w:right="99" w:firstLine="648"/>
        <w:spacing w:after="0" w:line="286" w:lineRule="auto"/>
        <w:rPr>
          <w:sz w:val="20"/>
          <w:szCs w:val="20"/>
          <w:color w:val="auto"/>
        </w:rPr>
      </w:pPr>
      <w:r>
        <w:rPr>
          <w:rFonts w:ascii="Arial" w:cs="Arial" w:eastAsia="Arial" w:hAnsi="Arial"/>
          <w:sz w:val="17"/>
          <w:szCs w:val="17"/>
          <w:color w:val="auto"/>
        </w:rPr>
        <w:t>The information required by this item regarding certain relationships and related transactions and director independence will be incorporated by reference to the information set forth in the sections titled “Certain Relationships and Related Party Transactions” and “Election of Directors”, respectively, in our Proxy Statement.</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40" w:right="79" w:firstLine="648"/>
        <w:spacing w:after="0" w:line="342" w:lineRule="auto"/>
        <w:rPr>
          <w:sz w:val="20"/>
          <w:szCs w:val="20"/>
          <w:color w:val="auto"/>
        </w:rPr>
      </w:pPr>
      <w:r>
        <w:rPr>
          <w:rFonts w:ascii="Arial" w:cs="Arial" w:eastAsia="Arial" w:hAnsi="Arial"/>
          <w:sz w:val="16"/>
          <w:szCs w:val="16"/>
          <w:color w:val="auto"/>
        </w:rPr>
        <w:t>The information required by this item regarding principal accountant fees and services will be incorporated by reference to the information set forth in the section titled “Principal Accountant Fees and Services” in our Proxy Statement.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0" w:name="page121"/>
    <w:bookmarkEnd w:id="1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25" w:lineRule="exact"/>
        <w:rPr>
          <w:sz w:val="20"/>
          <w:szCs w:val="20"/>
          <w:color w:val="auto"/>
        </w:rPr>
      </w:pPr>
    </w:p>
    <w:p>
      <w:pPr>
        <w:ind w:left="1020" w:hanging="328"/>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Index to Financial Statements at Item 8 herein.</w:t>
      </w:r>
    </w:p>
    <w:p>
      <w:pPr>
        <w:spacing w:after="0" w:line="225" w:lineRule="exact"/>
        <w:rPr>
          <w:sz w:val="20"/>
          <w:szCs w:val="20"/>
          <w:color w:val="auto"/>
        </w:rPr>
      </w:pPr>
    </w:p>
    <w:p>
      <w:pPr>
        <w:ind w:left="1020" w:hanging="328"/>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left="1340" w:right="419"/>
        <w:spacing w:after="0" w:line="277"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financial statements or notes thereto.</w:t>
      </w:r>
    </w:p>
    <w:p>
      <w:pPr>
        <w:spacing w:after="0" w:line="170" w:lineRule="exact"/>
        <w:rPr>
          <w:sz w:val="20"/>
          <w:szCs w:val="20"/>
          <w:color w:val="auto"/>
        </w:rPr>
      </w:pPr>
    </w:p>
    <w:p>
      <w:pPr>
        <w:ind w:left="1020" w:hanging="328"/>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the Exhibit Index immediately following this page.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1" w:name="page122"/>
    <w:bookmarkEnd w:id="1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5"/>
          </w:tcPr>
          <w:p>
            <w:pPr>
              <w:jc w:val="center"/>
              <w:ind w:right="48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355"/>
        </w:trPr>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80" w:type="dxa"/>
            <w:vAlign w:val="bottom"/>
            <w:gridSpan w:val="29"/>
            <w:vMerge w:val="restart"/>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80" w:type="dxa"/>
            <w:vAlign w:val="bottom"/>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4"/>
                <w:szCs w:val="14"/>
                <w:color w:val="auto"/>
              </w:rPr>
            </w:pPr>
          </w:p>
        </w:tc>
        <w:tc>
          <w:tcPr>
            <w:tcW w:w="3700" w:type="dxa"/>
            <w:vAlign w:val="bottom"/>
            <w:tcBorders>
              <w:top w:val="single" w:sz="8" w:color="auto"/>
              <w:bottom w:val="single" w:sz="8" w:color="0000EE"/>
            </w:tcBorders>
            <w:gridSpan w:val="11"/>
          </w:tcPr>
          <w:p>
            <w:pPr>
              <w:spacing w:after="0" w:line="169"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Amended and Restated Certificate of Incorporation</w:t>
              </w:r>
            </w:hyperlink>
          </w:p>
        </w:tc>
        <w:tc>
          <w:tcPr>
            <w:tcW w:w="940" w:type="dxa"/>
            <w:vAlign w:val="bottom"/>
            <w:tcBorders>
              <w:top w:val="single" w:sz="8" w:color="auto"/>
            </w:tcBorders>
            <w:gridSpan w:val="22"/>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1"/>
                <w:szCs w:val="21"/>
                <w:color w:val="auto"/>
              </w:rPr>
            </w:pPr>
          </w:p>
        </w:tc>
        <w:tc>
          <w:tcPr>
            <w:tcW w:w="2260" w:type="dxa"/>
            <w:vAlign w:val="bottom"/>
            <w:tcBorders>
              <w:bottom w:val="single" w:sz="8" w:color="0000EE"/>
            </w:tcBorders>
            <w:gridSpan w:val="6"/>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Amended and Restated Bylaws</w:t>
              </w:r>
            </w:hyperlink>
          </w:p>
        </w:tc>
        <w:tc>
          <w:tcPr>
            <w:tcW w:w="2380" w:type="dxa"/>
            <w:vAlign w:val="bottom"/>
            <w:gridSpan w:val="27"/>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4640" w:type="dxa"/>
            <w:vAlign w:val="bottom"/>
            <w:gridSpan w:val="33"/>
          </w:tcPr>
          <w:p>
            <w:pPr>
              <w:spacing w:after="0"/>
              <w:rPr>
                <w:sz w:val="20"/>
                <w:szCs w:val="20"/>
                <w:color w:val="auto"/>
              </w:rPr>
            </w:pPr>
            <w:r>
              <w:rPr>
                <w:rFonts w:ascii="Arial" w:cs="Arial" w:eastAsia="Arial" w:hAnsi="Arial"/>
                <w:sz w:val="18"/>
                <w:szCs w:val="18"/>
                <w:color w:val="auto"/>
              </w:rPr>
              <w:t>Reference is made to Exhibits 3.1 and 3.2</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4640" w:type="dxa"/>
            <w:vAlign w:val="bottom"/>
            <w:gridSpan w:val="33"/>
          </w:tcPr>
          <w:p>
            <w:pPr>
              <w:spacing w:after="0"/>
              <w:rPr>
                <w:rFonts w:ascii="Arial" w:cs="Arial" w:eastAsia="Arial" w:hAnsi="Arial"/>
                <w:sz w:val="18"/>
                <w:szCs w:val="18"/>
                <w:color w:val="0000EE"/>
              </w:rPr>
            </w:pPr>
            <w:hyperlink r:id="rId143">
              <w:r>
                <w:rPr>
                  <w:rFonts w:ascii="Arial" w:cs="Arial" w:eastAsia="Arial" w:hAnsi="Arial"/>
                  <w:sz w:val="18"/>
                  <w:szCs w:val="18"/>
                  <w:color w:val="0000EE"/>
                </w:rPr>
                <w:t>Form of Common Stock Certificate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1"/>
                <w:szCs w:val="21"/>
                <w:color w:val="auto"/>
              </w:rPr>
            </w:pPr>
          </w:p>
        </w:tc>
        <w:tc>
          <w:tcPr>
            <w:tcW w:w="4280" w:type="dxa"/>
            <w:vAlign w:val="bottom"/>
            <w:tcBorders>
              <w:bottom w:val="single" w:sz="8" w:color="0000EE"/>
            </w:tcBorders>
            <w:gridSpan w:val="22"/>
          </w:tcPr>
          <w:p>
            <w:pPr>
              <w:spacing w:after="0"/>
              <w:rPr>
                <w:rFonts w:ascii="Arial" w:cs="Arial" w:eastAsia="Arial" w:hAnsi="Arial"/>
                <w:sz w:val="18"/>
                <w:szCs w:val="18"/>
                <w:color w:val="0000EE"/>
                <w:w w:val="89"/>
              </w:rPr>
            </w:pPr>
            <w:hyperlink r:id="rId144">
              <w:r>
                <w:rPr>
                  <w:rFonts w:ascii="Arial" w:cs="Arial" w:eastAsia="Arial" w:hAnsi="Arial"/>
                  <w:sz w:val="18"/>
                  <w:szCs w:val="18"/>
                  <w:color w:val="0000EE"/>
                  <w:w w:val="89"/>
                </w:rPr>
                <w:t>Form of Warrant issued pursuant to the Securities Purchase</w:t>
              </w:r>
            </w:hyperlink>
          </w:p>
        </w:tc>
        <w:tc>
          <w:tcPr>
            <w:tcW w:w="36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Agreement by and among Ardelyx, Inc. and the purchasers</w:t>
              </w:r>
            </w:hyperlink>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144">
              <w:r>
                <w:rPr>
                  <w:rFonts w:ascii="Arial" w:cs="Arial" w:eastAsia="Arial" w:hAnsi="Arial"/>
                  <w:sz w:val="18"/>
                  <w:szCs w:val="18"/>
                  <w:color w:val="0000EE"/>
                  <w:w w:val="88"/>
                </w:rPr>
                <w:t>signatory thereto, dated June 2, 2015</w:t>
              </w:r>
            </w:hyperlink>
          </w:p>
        </w:tc>
        <w:tc>
          <w:tcPr>
            <w:tcW w:w="19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1"/>
                <w:szCs w:val="21"/>
                <w:color w:val="auto"/>
              </w:rPr>
            </w:pPr>
          </w:p>
        </w:tc>
        <w:tc>
          <w:tcPr>
            <w:tcW w:w="4640" w:type="dxa"/>
            <w:vAlign w:val="bottom"/>
            <w:gridSpan w:val="33"/>
          </w:tcPr>
          <w:p>
            <w:pPr>
              <w:spacing w:after="0"/>
              <w:rPr>
                <w:rFonts w:ascii="Arial" w:cs="Arial" w:eastAsia="Arial" w:hAnsi="Arial"/>
                <w:sz w:val="18"/>
                <w:szCs w:val="18"/>
                <w:color w:val="0000EE"/>
                <w:w w:val="93"/>
              </w:rPr>
            </w:pPr>
            <w:hyperlink w:anchor="page127">
              <w:r>
                <w:rPr>
                  <w:rFonts w:ascii="Arial" w:cs="Arial" w:eastAsia="Arial" w:hAnsi="Arial"/>
                  <w:sz w:val="18"/>
                  <w:szCs w:val="18"/>
                  <w:color w:val="0000EE"/>
                  <w:w w:val="93"/>
                </w:rPr>
                <w:t>Description of the Registrant’s Securities Registered Pursuant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to Section 12 of the Securities Exchange Act of 1934</w:t>
              </w:r>
            </w:hyperlink>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1"/>
                <w:szCs w:val="21"/>
                <w:color w:val="auto"/>
              </w:rPr>
            </w:pPr>
          </w:p>
        </w:tc>
        <w:tc>
          <w:tcPr>
            <w:tcW w:w="4640" w:type="dxa"/>
            <w:vAlign w:val="bottom"/>
            <w:gridSpan w:val="33"/>
          </w:tcPr>
          <w:p>
            <w:pPr>
              <w:spacing w:after="0"/>
              <w:rPr>
                <w:rFonts w:ascii="Arial" w:cs="Arial" w:eastAsia="Arial" w:hAnsi="Arial"/>
                <w:sz w:val="18"/>
                <w:szCs w:val="18"/>
                <w:color w:val="0000EE"/>
                <w:w w:val="94"/>
              </w:rPr>
            </w:pPr>
            <w:hyperlink r:id="rId145">
              <w:r>
                <w:rPr>
                  <w:rFonts w:ascii="Arial" w:cs="Arial" w:eastAsia="Arial" w:hAnsi="Arial"/>
                  <w:sz w:val="18"/>
                  <w:szCs w:val="18"/>
                  <w:color w:val="0000EE"/>
                  <w:w w:val="94"/>
                </w:rPr>
                <w:t>Termination Agreement, dated June 2, 2015, by and between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AstraZeneca AB and Ardelyx, Inc.</w:t>
              </w:r>
            </w:hyperlink>
          </w:p>
        </w:tc>
        <w:tc>
          <w:tcPr>
            <w:tcW w:w="1820" w:type="dxa"/>
            <w:vAlign w:val="bottom"/>
            <w:tcBorders>
              <w:top w:val="single" w:sz="8" w:color="0000EE"/>
            </w:tcBorders>
            <w:gridSpan w:val="19"/>
          </w:tcPr>
          <w:p>
            <w:pPr>
              <w:spacing w:after="0"/>
              <w:rPr>
                <w:sz w:val="17"/>
                <w:szCs w:val="17"/>
                <w:color w:val="auto"/>
              </w:rPr>
            </w:pP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1"/>
                <w:szCs w:val="21"/>
                <w:color w:val="auto"/>
              </w:rPr>
            </w:pPr>
          </w:p>
        </w:tc>
        <w:tc>
          <w:tcPr>
            <w:tcW w:w="3820" w:type="dxa"/>
            <w:vAlign w:val="bottom"/>
            <w:tcBorders>
              <w:bottom w:val="single" w:sz="8" w:color="0000EE"/>
            </w:tcBorders>
            <w:gridSpan w:val="13"/>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Amendment No. 1 to Termination Agreement and to</w:t>
              </w:r>
            </w:hyperlink>
          </w:p>
        </w:tc>
        <w:tc>
          <w:tcPr>
            <w:tcW w:w="82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Manufacturing and Supply Agreement, dated November 2,</w:t>
              </w:r>
            </w:hyperlink>
          </w:p>
        </w:tc>
        <w:tc>
          <w:tcPr>
            <w:tcW w:w="4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33"/>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2015 by and between AstraZeneca AB and Ardelyx, Inc.</w:t>
              </w:r>
            </w:hyperlink>
          </w:p>
        </w:tc>
        <w:tc>
          <w:tcPr>
            <w:tcW w:w="0" w:type="dxa"/>
            <w:vAlign w:val="bottom"/>
          </w:tcPr>
          <w:p>
            <w:pPr>
              <w:spacing w:after="0"/>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10.3(a)</w:t>
            </w:r>
          </w:p>
        </w:tc>
        <w:tc>
          <w:tcPr>
            <w:tcW w:w="4080" w:type="dxa"/>
            <w:vAlign w:val="bottom"/>
            <w:tcBorders>
              <w:top w:val="single" w:sz="8" w:color="0000EE"/>
            </w:tcBorders>
            <w:gridSpan w:val="18"/>
          </w:tcPr>
          <w:p>
            <w:pPr>
              <w:spacing w:after="0"/>
              <w:rPr>
                <w:rFonts w:ascii="Arial" w:cs="Arial" w:eastAsia="Arial" w:hAnsi="Arial"/>
                <w:sz w:val="18"/>
                <w:szCs w:val="18"/>
                <w:color w:val="0000EE"/>
                <w:w w:val="96"/>
              </w:rPr>
            </w:pPr>
            <w:hyperlink r:id="rId147">
              <w:r>
                <w:rPr>
                  <w:rFonts w:ascii="Arial" w:cs="Arial" w:eastAsia="Arial" w:hAnsi="Arial"/>
                  <w:sz w:val="18"/>
                  <w:szCs w:val="18"/>
                  <w:color w:val="0000EE"/>
                  <w:w w:val="96"/>
                </w:rPr>
                <w:t>Lease, dated August 8, 2008, by and between 34175</w:t>
              </w:r>
            </w:hyperlink>
          </w:p>
        </w:tc>
        <w:tc>
          <w:tcPr>
            <w:tcW w:w="56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Ardenwood Venture, LLC and Ardelyx, Inc.</w:t>
              </w:r>
            </w:hyperlink>
          </w:p>
        </w:tc>
        <w:tc>
          <w:tcPr>
            <w:tcW w:w="8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10.3(b)</w:t>
            </w:r>
          </w:p>
        </w:tc>
        <w:tc>
          <w:tcPr>
            <w:tcW w:w="4640" w:type="dxa"/>
            <w:vAlign w:val="bottom"/>
            <w:gridSpan w:val="33"/>
          </w:tcPr>
          <w:p>
            <w:pPr>
              <w:spacing w:after="0"/>
              <w:rPr>
                <w:rFonts w:ascii="Arial" w:cs="Arial" w:eastAsia="Arial" w:hAnsi="Arial"/>
                <w:sz w:val="18"/>
                <w:szCs w:val="18"/>
                <w:color w:val="0000EE"/>
                <w:w w:val="93"/>
              </w:rPr>
            </w:pPr>
            <w:hyperlink r:id="rId148">
              <w:r>
                <w:rPr>
                  <w:rFonts w:ascii="Arial" w:cs="Arial" w:eastAsia="Arial" w:hAnsi="Arial"/>
                  <w:sz w:val="18"/>
                  <w:szCs w:val="18"/>
                  <w:color w:val="0000EE"/>
                  <w:w w:val="93"/>
                </w:rPr>
                <w:t>First Amendment to Lease, dated December 20, 2012, by and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between 34175 Ardenwood Venture, LLC and Ardelyx, Inc.</w:t>
              </w:r>
            </w:hyperlink>
          </w:p>
        </w:tc>
        <w:tc>
          <w:tcPr>
            <w:tcW w:w="80" w:type="dxa"/>
            <w:vAlign w:val="bottom"/>
            <w:tcBorders>
              <w:top w:val="single" w:sz="8" w:color="0000EE"/>
            </w:tcBorders>
            <w:gridSpan w:val="3"/>
          </w:tcPr>
          <w:p>
            <w:pPr>
              <w:spacing w:after="0"/>
              <w:rPr>
                <w:sz w:val="17"/>
                <w:szCs w:val="17"/>
                <w:color w:val="auto"/>
              </w:rPr>
            </w:pPr>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10.3(c)</w:t>
            </w:r>
          </w:p>
        </w:tc>
        <w:tc>
          <w:tcPr>
            <w:tcW w:w="4640" w:type="dxa"/>
            <w:vAlign w:val="bottom"/>
            <w:gridSpan w:val="33"/>
          </w:tcPr>
          <w:p>
            <w:pPr>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Second Amendment to Lease, dated September 5, 2014, by and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60" w:type="dxa"/>
            <w:vAlign w:val="bottom"/>
            <w:tcBorders>
              <w:top w:val="single" w:sz="8" w:color="0000EE"/>
            </w:tcBorders>
            <w:gridSpan w:val="32"/>
          </w:tcPr>
          <w:p>
            <w:pPr>
              <w:spacing w:after="0" w:line="196" w:lineRule="exact"/>
              <w:rPr>
                <w:rFonts w:ascii="Arial" w:cs="Arial" w:eastAsia="Arial" w:hAnsi="Arial"/>
                <w:sz w:val="18"/>
                <w:szCs w:val="18"/>
                <w:color w:val="0000EE"/>
                <w:w w:val="96"/>
              </w:rPr>
            </w:pPr>
            <w:hyperlink r:id="rId149">
              <w:r>
                <w:rPr>
                  <w:rFonts w:ascii="Arial" w:cs="Arial" w:eastAsia="Arial" w:hAnsi="Arial"/>
                  <w:sz w:val="18"/>
                  <w:szCs w:val="18"/>
                  <w:color w:val="0000EE"/>
                  <w:w w:val="96"/>
                </w:rPr>
                <w:t>between Ardelyx, Inc. and 34175 Ardenwood Venture, LLC</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10.3(d)</w:t>
            </w:r>
          </w:p>
        </w:tc>
        <w:tc>
          <w:tcPr>
            <w:tcW w:w="414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Third Amendment to Lease, dated April 28, 2016, by and</w:t>
              </w:r>
            </w:hyperlink>
          </w:p>
        </w:tc>
        <w:tc>
          <w:tcPr>
            <w:tcW w:w="180" w:type="dxa"/>
            <w:vAlign w:val="bottom"/>
            <w:tcBorders>
              <w:top w:val="single" w:sz="8" w:color="0000EE"/>
            </w:tcBorders>
            <w:gridSpan w:val="5"/>
          </w:tcPr>
          <w:p>
            <w:pPr>
              <w:spacing w:after="0"/>
              <w:rPr>
                <w:sz w:val="21"/>
                <w:szCs w:val="21"/>
                <w:color w:val="auto"/>
              </w:rPr>
            </w:pPr>
          </w:p>
        </w:tc>
        <w:tc>
          <w:tcPr>
            <w:tcW w:w="32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33"/>
          </w:tcPr>
          <w:p>
            <w:pPr>
              <w:spacing w:after="0" w:line="196" w:lineRule="exact"/>
              <w:rPr>
                <w:rFonts w:ascii="Arial" w:cs="Arial" w:eastAsia="Arial" w:hAnsi="Arial"/>
                <w:sz w:val="18"/>
                <w:szCs w:val="18"/>
                <w:color w:val="0000EE"/>
                <w:w w:val="98"/>
              </w:rPr>
            </w:pPr>
            <w:hyperlink r:id="rId150">
              <w:r>
                <w:rPr>
                  <w:rFonts w:ascii="Arial" w:cs="Arial" w:eastAsia="Arial" w:hAnsi="Arial"/>
                  <w:sz w:val="18"/>
                  <w:szCs w:val="18"/>
                  <w:color w:val="0000EE"/>
                  <w:w w:val="98"/>
                </w:rPr>
                <w:t>between Ardelyx, Inc. and 34175 Ardenwood Venture, LLC</w:t>
              </w:r>
            </w:hyperlink>
          </w:p>
        </w:tc>
        <w:tc>
          <w:tcPr>
            <w:tcW w:w="0" w:type="dxa"/>
            <w:vAlign w:val="bottom"/>
          </w:tcPr>
          <w:p>
            <w:pPr>
              <w:spacing w:after="0"/>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10.4(a)#</w:t>
            </w:r>
          </w:p>
        </w:tc>
        <w:tc>
          <w:tcPr>
            <w:tcW w:w="38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Ardelyx, Inc. 2008 Stock Incentive Plan, as amended</w:t>
              </w:r>
            </w:hyperlink>
          </w:p>
        </w:tc>
        <w:tc>
          <w:tcPr>
            <w:tcW w:w="480" w:type="dxa"/>
            <w:vAlign w:val="bottom"/>
            <w:tcBorders>
              <w:top w:val="single" w:sz="8" w:color="0000EE"/>
            </w:tcBorders>
            <w:gridSpan w:val="10"/>
          </w:tcPr>
          <w:p>
            <w:pPr>
              <w:spacing w:after="0"/>
              <w:rPr>
                <w:sz w:val="21"/>
                <w:szCs w:val="21"/>
                <w:color w:val="auto"/>
              </w:rPr>
            </w:pPr>
          </w:p>
        </w:tc>
        <w:tc>
          <w:tcPr>
            <w:tcW w:w="32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10.4(b)#</w:t>
            </w:r>
          </w:p>
        </w:tc>
        <w:tc>
          <w:tcPr>
            <w:tcW w:w="3880" w:type="dxa"/>
            <w:vAlign w:val="bottom"/>
            <w:tcBorders>
              <w:bottom w:val="single" w:sz="8" w:color="0000EE"/>
            </w:tcBorders>
            <w:gridSpan w:val="15"/>
          </w:tcPr>
          <w:p>
            <w:pPr>
              <w:spacing w:after="0"/>
              <w:rPr>
                <w:rFonts w:ascii="Arial" w:cs="Arial" w:eastAsia="Arial" w:hAnsi="Arial"/>
                <w:sz w:val="18"/>
                <w:szCs w:val="18"/>
                <w:color w:val="0000EE"/>
                <w:w w:val="92"/>
              </w:rPr>
            </w:pPr>
            <w:hyperlink r:id="rId152">
              <w:r>
                <w:rPr>
                  <w:rFonts w:ascii="Arial" w:cs="Arial" w:eastAsia="Arial" w:hAnsi="Arial"/>
                  <w:sz w:val="18"/>
                  <w:szCs w:val="18"/>
                  <w:color w:val="0000EE"/>
                  <w:w w:val="92"/>
                </w:rPr>
                <w:t>Form of Stock Option Grant Notice and Stock Option</w:t>
              </w:r>
            </w:hyperlink>
          </w:p>
        </w:tc>
        <w:tc>
          <w:tcPr>
            <w:tcW w:w="76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152">
              <w:r>
                <w:rPr>
                  <w:rFonts w:ascii="Arial" w:cs="Arial" w:eastAsia="Arial" w:hAnsi="Arial"/>
                  <w:sz w:val="18"/>
                  <w:szCs w:val="18"/>
                  <w:color w:val="0000EE"/>
                  <w:w w:val="89"/>
                </w:rPr>
                <w:t>Agreement under the 2008 Stock Incentive Plan, as amended</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10.4(c)#</w:t>
            </w:r>
          </w:p>
        </w:tc>
        <w:tc>
          <w:tcPr>
            <w:tcW w:w="4640" w:type="dxa"/>
            <w:vAlign w:val="bottom"/>
            <w:gridSpan w:val="33"/>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Form of Restricted Stock Purchase Grant Notice and Restricted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60" w:type="dxa"/>
            <w:vAlign w:val="bottom"/>
            <w:tcBorders>
              <w:top w:val="single" w:sz="8" w:color="0000EE"/>
            </w:tcBorders>
            <w:gridSpan w:val="32"/>
          </w:tcPr>
          <w:p>
            <w:pPr>
              <w:spacing w:after="0" w:line="196" w:lineRule="exact"/>
              <w:rPr>
                <w:rFonts w:ascii="Arial" w:cs="Arial" w:eastAsia="Arial" w:hAnsi="Arial"/>
                <w:sz w:val="18"/>
                <w:szCs w:val="18"/>
                <w:color w:val="0000EE"/>
                <w:w w:val="96"/>
              </w:rPr>
            </w:pPr>
            <w:hyperlink r:id="rId153">
              <w:r>
                <w:rPr>
                  <w:rFonts w:ascii="Arial" w:cs="Arial" w:eastAsia="Arial" w:hAnsi="Arial"/>
                  <w:sz w:val="18"/>
                  <w:szCs w:val="18"/>
                  <w:color w:val="0000EE"/>
                  <w:w w:val="96"/>
                </w:rPr>
                <w:t>Stock Purchase Agreement under the 2008 Stock Incentive</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r:id="rId153">
              <w:r>
                <w:rPr>
                  <w:rFonts w:ascii="Arial" w:cs="Arial" w:eastAsia="Arial" w:hAnsi="Arial"/>
                  <w:sz w:val="18"/>
                  <w:szCs w:val="18"/>
                  <w:color w:val="0000EE"/>
                  <w:w w:val="85"/>
                </w:rPr>
                <w:t>Plan, as amended</w:t>
              </w:r>
            </w:hyperlink>
          </w:p>
        </w:tc>
        <w:tc>
          <w:tcPr>
            <w:tcW w:w="2980" w:type="dxa"/>
            <w:vAlign w:val="bottom"/>
            <w:tcBorders>
              <w:top w:val="single" w:sz="8" w:color="0000EE"/>
            </w:tcBorders>
            <w:gridSpan w:val="18"/>
          </w:tcPr>
          <w:p>
            <w:pPr>
              <w:spacing w:after="0"/>
              <w:rPr>
                <w:sz w:val="17"/>
                <w:szCs w:val="17"/>
                <w:color w:val="auto"/>
              </w:rPr>
            </w:pPr>
          </w:p>
        </w:tc>
        <w:tc>
          <w:tcPr>
            <w:tcW w:w="4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10.5(a)#</w:t>
            </w:r>
          </w:p>
        </w:tc>
        <w:tc>
          <w:tcPr>
            <w:tcW w:w="4640" w:type="dxa"/>
            <w:vAlign w:val="bottom"/>
            <w:gridSpan w:val="33"/>
          </w:tcPr>
          <w:p>
            <w:pPr>
              <w:spacing w:after="0"/>
              <w:rPr>
                <w:rFonts w:ascii="Arial" w:cs="Arial" w:eastAsia="Arial" w:hAnsi="Arial"/>
                <w:sz w:val="18"/>
                <w:szCs w:val="18"/>
                <w:color w:val="0000EE"/>
              </w:rPr>
            </w:pPr>
            <w:hyperlink r:id="rId154">
              <w:r>
                <w:rPr>
                  <w:rFonts w:ascii="Arial" w:cs="Arial" w:eastAsia="Arial" w:hAnsi="Arial"/>
                  <w:sz w:val="18"/>
                  <w:szCs w:val="18"/>
                  <w:color w:val="0000EE"/>
                </w:rPr>
                <w:t>Ardelyx, Inc. 2014 Equity Incentive Award Plan</w:t>
              </w:r>
            </w:hyperlink>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10.5(b)#</w:t>
            </w:r>
          </w:p>
        </w:tc>
        <w:tc>
          <w:tcPr>
            <w:tcW w:w="3880" w:type="dxa"/>
            <w:vAlign w:val="bottom"/>
            <w:tcBorders>
              <w:bottom w:val="single" w:sz="8" w:color="0000EE"/>
            </w:tcBorders>
            <w:gridSpan w:val="15"/>
          </w:tcPr>
          <w:p>
            <w:pPr>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Form of Stock Option Grant Notice and Stock Option</w:t>
              </w:r>
            </w:hyperlink>
          </w:p>
        </w:tc>
        <w:tc>
          <w:tcPr>
            <w:tcW w:w="76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33"/>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Agreement under the 2014 Equity Incentive Award Plan</w:t>
              </w:r>
            </w:hyperlink>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0" w:type="dxa"/>
            <w:vAlign w:val="bottom"/>
            <w:tcBorders>
              <w:right w:val="single" w:sz="8" w:color="0000EE"/>
            </w:tcBorders>
            <w:gridSpan w:val="8"/>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10.5(c)#</w:t>
            </w:r>
          </w:p>
        </w:tc>
        <w:tc>
          <w:tcPr>
            <w:tcW w:w="4260" w:type="dxa"/>
            <w:vAlign w:val="bottom"/>
            <w:tcBorders>
              <w:bottom w:val="single" w:sz="8" w:color="0000EE"/>
            </w:tcBorders>
            <w:gridSpan w:val="21"/>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Form of Restricted Stock Award Agreement and Restricted</w:t>
              </w:r>
            </w:hyperlink>
          </w:p>
        </w:tc>
        <w:tc>
          <w:tcPr>
            <w:tcW w:w="38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33"/>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Stock Unit Award Grant Notice under the 2014 Equity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Incentive Award Plan</w:t>
              </w:r>
            </w:hyperlink>
          </w:p>
        </w:tc>
        <w:tc>
          <w:tcPr>
            <w:tcW w:w="2360" w:type="dxa"/>
            <w:vAlign w:val="bottom"/>
            <w:tcBorders>
              <w:top w:val="single" w:sz="8" w:color="0000EE"/>
            </w:tcBorders>
            <w:gridSpan w:val="12"/>
          </w:tcPr>
          <w:p>
            <w:pPr>
              <w:spacing w:after="0"/>
              <w:rPr>
                <w:sz w:val="17"/>
                <w:szCs w:val="17"/>
                <w:color w:val="auto"/>
              </w:rPr>
            </w:pPr>
          </w:p>
        </w:tc>
        <w:tc>
          <w:tcPr>
            <w:tcW w:w="7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1"/>
                <w:szCs w:val="21"/>
                <w:color w:val="auto"/>
              </w:rPr>
            </w:pPr>
          </w:p>
        </w:tc>
        <w:tc>
          <w:tcPr>
            <w:tcW w:w="4460" w:type="dxa"/>
            <w:vAlign w:val="bottom"/>
            <w:tcBorders>
              <w:bottom w:val="single" w:sz="8" w:color="0000EE"/>
            </w:tcBorders>
            <w:gridSpan w:val="30"/>
          </w:tcPr>
          <w:p>
            <w:pPr>
              <w:spacing w:after="0"/>
              <w:rPr>
                <w:rFonts w:ascii="Arial" w:cs="Arial" w:eastAsia="Arial" w:hAnsi="Arial"/>
                <w:sz w:val="18"/>
                <w:szCs w:val="18"/>
                <w:color w:val="0000EE"/>
                <w:w w:val="92"/>
              </w:rPr>
            </w:pPr>
            <w:hyperlink r:id="rId157">
              <w:r>
                <w:rPr>
                  <w:rFonts w:ascii="Arial" w:cs="Arial" w:eastAsia="Arial" w:hAnsi="Arial"/>
                  <w:sz w:val="18"/>
                  <w:szCs w:val="18"/>
                  <w:color w:val="0000EE"/>
                  <w:w w:val="92"/>
                </w:rPr>
                <w:t>Form of Indemnification Agreement for directors and officers</w:t>
              </w:r>
            </w:hyperlink>
          </w:p>
        </w:tc>
        <w:tc>
          <w:tcPr>
            <w:tcW w:w="1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1"/>
                <w:szCs w:val="21"/>
                <w:color w:val="auto"/>
              </w:rPr>
            </w:pPr>
          </w:p>
        </w:tc>
        <w:tc>
          <w:tcPr>
            <w:tcW w:w="4300" w:type="dxa"/>
            <w:vAlign w:val="bottom"/>
            <w:tcBorders>
              <w:bottom w:val="single" w:sz="8" w:color="0000EE"/>
            </w:tcBorders>
            <w:gridSpan w:val="23"/>
          </w:tcPr>
          <w:p>
            <w:pPr>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Amended and Restated Executive Employment Agreement,</w:t>
              </w:r>
            </w:hyperlink>
          </w:p>
        </w:tc>
        <w:tc>
          <w:tcPr>
            <w:tcW w:w="34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33"/>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dated June 6, 2014, by and between Ardelyx, Inc. and Michael</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3"/>
              </w:rPr>
            </w:pPr>
            <w:hyperlink r:id="rId158">
              <w:r>
                <w:rPr>
                  <w:rFonts w:ascii="Arial" w:cs="Arial" w:eastAsia="Arial" w:hAnsi="Arial"/>
                  <w:sz w:val="18"/>
                  <w:szCs w:val="18"/>
                  <w:color w:val="0000EE"/>
                  <w:w w:val="83"/>
                </w:rPr>
                <w:t>Raab</w:t>
              </w:r>
            </w:hyperlink>
          </w:p>
        </w:tc>
        <w:tc>
          <w:tcPr>
            <w:tcW w:w="4120" w:type="dxa"/>
            <w:vAlign w:val="bottom"/>
            <w:tcBorders>
              <w:top w:val="single" w:sz="8" w:color="0000EE"/>
            </w:tcBorders>
            <w:gridSpan w:val="30"/>
          </w:tcPr>
          <w:p>
            <w:pPr>
              <w:spacing w:after="0"/>
              <w:rPr>
                <w:sz w:val="17"/>
                <w:szCs w:val="17"/>
                <w:color w:val="auto"/>
              </w:rPr>
            </w:pP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1"/>
                <w:szCs w:val="21"/>
                <w:color w:val="auto"/>
              </w:rPr>
            </w:pPr>
          </w:p>
        </w:tc>
        <w:tc>
          <w:tcPr>
            <w:tcW w:w="4640" w:type="dxa"/>
            <w:vAlign w:val="bottom"/>
            <w:gridSpan w:val="33"/>
          </w:tcPr>
          <w:p>
            <w:pPr>
              <w:spacing w:after="0"/>
              <w:rPr>
                <w:rFonts w:ascii="Arial" w:cs="Arial" w:eastAsia="Arial" w:hAnsi="Arial"/>
                <w:sz w:val="18"/>
                <w:szCs w:val="18"/>
                <w:color w:val="0000EE"/>
              </w:rPr>
            </w:pPr>
            <w:hyperlink r:id="rId159">
              <w:r>
                <w:rPr>
                  <w:rFonts w:ascii="Arial" w:cs="Arial" w:eastAsia="Arial" w:hAnsi="Arial"/>
                  <w:sz w:val="18"/>
                  <w:szCs w:val="18"/>
                  <w:color w:val="0000EE"/>
                </w:rPr>
                <w:t>Amended and Restated Change in Control Severance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0" w:type="dxa"/>
            <w:vAlign w:val="bottom"/>
            <w:tcBorders>
              <w:right w:val="single" w:sz="8" w:color="0000EE"/>
            </w:tcBorders>
            <w:gridSpan w:val="8"/>
            <w:shd w:val="clear" w:color="auto" w:fill="0000EE"/>
          </w:tcPr>
          <w:p>
            <w:pPr>
              <w:spacing w:after="0" w:line="20" w:lineRule="exact"/>
              <w:rPr>
                <w:sz w:val="1"/>
                <w:szCs w:val="1"/>
                <w:color w:val="auto"/>
              </w:rPr>
            </w:pPr>
          </w:p>
        </w:tc>
        <w:tc>
          <w:tcPr>
            <w:tcW w:w="640" w:type="dxa"/>
            <w:vAlign w:val="bottom"/>
            <w:gridSpan w:val="1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r:id="rId159">
              <w:r>
                <w:rPr>
                  <w:rFonts w:ascii="Arial" w:cs="Arial" w:eastAsia="Arial" w:hAnsi="Arial"/>
                  <w:sz w:val="18"/>
                  <w:szCs w:val="18"/>
                  <w:color w:val="0000EE"/>
                  <w:w w:val="89"/>
                </w:rPr>
                <w:t>Agreement, dated June 6, 2014, by and between Ardelyx, Inc.</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33"/>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and Mark Kaufmann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20" w:type="dxa"/>
            <w:vAlign w:val="bottom"/>
            <w:gridSpan w:val="2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1"/>
                <w:szCs w:val="21"/>
                <w:color w:val="auto"/>
              </w:rPr>
            </w:pPr>
          </w:p>
        </w:tc>
        <w:tc>
          <w:tcPr>
            <w:tcW w:w="4640" w:type="dxa"/>
            <w:vAlign w:val="bottom"/>
            <w:gridSpan w:val="33"/>
          </w:tcPr>
          <w:p>
            <w:pPr>
              <w:spacing w:after="0"/>
              <w:rPr>
                <w:rFonts w:ascii="Arial" w:cs="Arial" w:eastAsia="Arial" w:hAnsi="Arial"/>
                <w:sz w:val="18"/>
                <w:szCs w:val="18"/>
                <w:color w:val="0000EE"/>
              </w:rPr>
            </w:pPr>
            <w:hyperlink r:id="rId160">
              <w:r>
                <w:rPr>
                  <w:rFonts w:ascii="Arial" w:cs="Arial" w:eastAsia="Arial" w:hAnsi="Arial"/>
                  <w:sz w:val="18"/>
                  <w:szCs w:val="18"/>
                  <w:color w:val="0000EE"/>
                </w:rPr>
                <w:t>Amended and Restated Change in Control Severance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2000" w:type="dxa"/>
            <w:vAlign w:val="bottom"/>
            <w:tcBorders>
              <w:right w:val="single" w:sz="8" w:color="0000EE"/>
            </w:tcBorders>
            <w:gridSpan w:val="8"/>
            <w:shd w:val="clear" w:color="auto" w:fill="0000EE"/>
          </w:tcPr>
          <w:p>
            <w:pPr>
              <w:spacing w:after="0" w:line="20" w:lineRule="exact"/>
              <w:rPr>
                <w:sz w:val="1"/>
                <w:szCs w:val="1"/>
                <w:color w:val="auto"/>
              </w:rPr>
            </w:pPr>
          </w:p>
        </w:tc>
        <w:tc>
          <w:tcPr>
            <w:tcW w:w="82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r:id="rId160">
              <w:r>
                <w:rPr>
                  <w:rFonts w:ascii="Arial" w:cs="Arial" w:eastAsia="Arial" w:hAnsi="Arial"/>
                  <w:sz w:val="18"/>
                  <w:szCs w:val="18"/>
                  <w:color w:val="0000EE"/>
                  <w:w w:val="89"/>
                </w:rPr>
                <w:t>Agreement, dated June 6, 2014, by and between Ardelyx, Inc.</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33"/>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and Jeffrey Jacobs, Ph.D.</w:t>
              </w:r>
            </w:hyperlink>
          </w:p>
        </w:tc>
        <w:tc>
          <w:tcPr>
            <w:tcW w:w="0" w:type="dxa"/>
            <w:vAlign w:val="bottom"/>
          </w:tcPr>
          <w:p>
            <w:pPr>
              <w:spacing w:after="0"/>
              <w:rPr>
                <w:sz w:val="1"/>
                <w:szCs w:val="1"/>
                <w:color w:val="auto"/>
              </w:rPr>
            </w:pPr>
          </w:p>
        </w:tc>
      </w:tr>
      <w:tr>
        <w:trPr>
          <w:trHeight w:val="723"/>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Borders>
              <w:top w:val="single" w:sz="8" w:color="0000EE"/>
            </w:tcBorders>
            <w:gridSpan w:val="5"/>
          </w:tcPr>
          <w:p>
            <w:pPr>
              <w:spacing w:after="0"/>
              <w:rPr>
                <w:sz w:val="24"/>
                <w:szCs w:val="24"/>
                <w:color w:val="auto"/>
              </w:rPr>
            </w:pPr>
          </w:p>
        </w:tc>
        <w:tc>
          <w:tcPr>
            <w:tcW w:w="1880" w:type="dxa"/>
            <w:vAlign w:val="bottom"/>
            <w:gridSpan w:val="6"/>
          </w:tcPr>
          <w:p>
            <w:pPr>
              <w:jc w:val="right"/>
              <w:ind w:right="16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342900</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Incorporated by Reference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23"/>
        </w:trPr>
        <w:tc>
          <w:tcPr>
            <w:tcW w:w="7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42"/>
        </w:trPr>
        <w:tc>
          <w:tcPr>
            <w:tcW w:w="7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7"/>
              </w:rPr>
              <w:t>Form</w:t>
            </w:r>
          </w:p>
        </w:tc>
        <w:tc>
          <w:tcPr>
            <w:tcW w:w="9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Date</w:t>
            </w:r>
          </w:p>
        </w:tc>
        <w:tc>
          <w:tcPr>
            <w:tcW w:w="60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6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6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6/24/2014</w:t>
            </w:r>
          </w:p>
        </w:tc>
        <w:tc>
          <w:tcPr>
            <w:tcW w:w="14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6/24/2014</w:t>
            </w:r>
          </w:p>
        </w:tc>
        <w:tc>
          <w:tcPr>
            <w:tcW w:w="14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8"/>
              </w:rPr>
              <w:t>S</w:t>
            </w:r>
            <w:r>
              <w:rPr>
                <w:rFonts w:ascii="MS PGothic" w:cs="MS PGothic" w:eastAsia="MS PGothic" w:hAnsi="MS PGothic"/>
                <w:sz w:val="18"/>
                <w:szCs w:val="18"/>
                <w:color w:val="auto"/>
                <w:w w:val="98"/>
              </w:rPr>
              <w:t>‑</w:t>
            </w:r>
            <w:r>
              <w:rPr>
                <w:rFonts w:ascii="Arial" w:cs="Arial" w:eastAsia="Arial" w:hAnsi="Arial"/>
                <w:sz w:val="18"/>
                <w:szCs w:val="18"/>
                <w:color w:val="auto"/>
                <w:w w:val="98"/>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6/18/2014</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3</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7/13/2015</w:t>
            </w:r>
          </w:p>
        </w:tc>
        <w:tc>
          <w:tcPr>
            <w:tcW w:w="14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0"/>
              </w:rPr>
              <w:t>10</w:t>
            </w:r>
            <w:r>
              <w:rPr>
                <w:rFonts w:ascii="MS PGothic" w:cs="MS PGothic" w:eastAsia="MS PGothic" w:hAnsi="MS PGothic"/>
                <w:sz w:val="18"/>
                <w:szCs w:val="18"/>
                <w:color w:val="auto"/>
                <w:w w:val="90"/>
              </w:rPr>
              <w:t>‑</w:t>
            </w:r>
            <w:r>
              <w:rPr>
                <w:rFonts w:ascii="Arial" w:cs="Arial" w:eastAsia="Arial" w:hAnsi="Arial"/>
                <w:sz w:val="18"/>
                <w:szCs w:val="18"/>
                <w:color w:val="auto"/>
                <w:w w:val="90"/>
              </w:rPr>
              <w:t>Q</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8/12/2015</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5"/>
              </w:rPr>
              <w:t>10</w:t>
            </w:r>
            <w:r>
              <w:rPr>
                <w:rFonts w:ascii="MS PGothic" w:cs="MS PGothic" w:eastAsia="MS PGothic" w:hAnsi="MS PGothic"/>
                <w:sz w:val="18"/>
                <w:szCs w:val="18"/>
                <w:color w:val="auto"/>
                <w:w w:val="95"/>
              </w:rPr>
              <w:t>‑</w:t>
            </w:r>
            <w:r>
              <w:rPr>
                <w:rFonts w:ascii="Arial" w:cs="Arial" w:eastAsia="Arial" w:hAnsi="Arial"/>
                <w:sz w:val="18"/>
                <w:szCs w:val="18"/>
                <w:color w:val="auto"/>
                <w:w w:val="95"/>
              </w:rPr>
              <w:t>K</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3/4/2016</w:t>
            </w:r>
          </w:p>
        </w:tc>
        <w:tc>
          <w:tcPr>
            <w:tcW w:w="140" w:type="dxa"/>
            <w:vAlign w:val="bottom"/>
          </w:tcPr>
          <w:p>
            <w:pPr>
              <w:spacing w:after="0"/>
              <w:rPr>
                <w:sz w:val="24"/>
                <w:szCs w:val="2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10.1(d)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5/19/2014</w:t>
            </w:r>
          </w:p>
        </w:tc>
        <w:tc>
          <w:tcPr>
            <w:tcW w:w="140" w:type="dxa"/>
            <w:vAlign w:val="bottom"/>
          </w:tcPr>
          <w:p>
            <w:pPr>
              <w:spacing w:after="0"/>
              <w:rPr>
                <w:sz w:val="24"/>
                <w:szCs w:val="2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10.4(a)</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5/19/2014</w:t>
            </w:r>
          </w:p>
        </w:tc>
        <w:tc>
          <w:tcPr>
            <w:tcW w:w="140" w:type="dxa"/>
            <w:vAlign w:val="bottom"/>
          </w:tcPr>
          <w:p>
            <w:pPr>
              <w:spacing w:after="0"/>
              <w:rPr>
                <w:sz w:val="24"/>
                <w:szCs w:val="2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10.4(b)</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9/9/2014</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0"/>
              </w:rPr>
              <w:t>10</w:t>
            </w:r>
            <w:r>
              <w:rPr>
                <w:rFonts w:ascii="MS PGothic" w:cs="MS PGothic" w:eastAsia="MS PGothic" w:hAnsi="MS PGothic"/>
                <w:sz w:val="18"/>
                <w:szCs w:val="18"/>
                <w:color w:val="auto"/>
                <w:w w:val="90"/>
              </w:rPr>
              <w:t>‑</w:t>
            </w:r>
            <w:r>
              <w:rPr>
                <w:rFonts w:ascii="Arial" w:cs="Arial" w:eastAsia="Arial" w:hAnsi="Arial"/>
                <w:sz w:val="18"/>
                <w:szCs w:val="18"/>
                <w:color w:val="auto"/>
                <w:w w:val="90"/>
              </w:rPr>
              <w:t>Q</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8/8/2016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5/19/2014</w:t>
            </w:r>
          </w:p>
        </w:tc>
        <w:tc>
          <w:tcPr>
            <w:tcW w:w="140" w:type="dxa"/>
            <w:vAlign w:val="bottom"/>
          </w:tcPr>
          <w:p>
            <w:pPr>
              <w:spacing w:after="0"/>
              <w:rPr>
                <w:sz w:val="24"/>
                <w:szCs w:val="2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10.5(a)</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5/19/2014</w:t>
            </w:r>
          </w:p>
        </w:tc>
        <w:tc>
          <w:tcPr>
            <w:tcW w:w="140" w:type="dxa"/>
            <w:vAlign w:val="bottom"/>
          </w:tcPr>
          <w:p>
            <w:pPr>
              <w:spacing w:after="0"/>
              <w:rPr>
                <w:sz w:val="23"/>
                <w:szCs w:val="23"/>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10.5(b)</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5/19/2014</w:t>
            </w:r>
          </w:p>
        </w:tc>
        <w:tc>
          <w:tcPr>
            <w:tcW w:w="140" w:type="dxa"/>
            <w:vAlign w:val="bottom"/>
          </w:tcPr>
          <w:p>
            <w:pPr>
              <w:spacing w:after="0"/>
              <w:rPr>
                <w:sz w:val="24"/>
                <w:szCs w:val="2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10.5(c)</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8</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7/14/2014</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8"/>
              </w:rPr>
              <w:t>S</w:t>
            </w:r>
            <w:r>
              <w:rPr>
                <w:rFonts w:ascii="MS PGothic" w:cs="MS PGothic" w:eastAsia="MS PGothic" w:hAnsi="MS PGothic"/>
                <w:sz w:val="18"/>
                <w:szCs w:val="18"/>
                <w:color w:val="auto"/>
                <w:w w:val="98"/>
              </w:rPr>
              <w:t>‑</w:t>
            </w:r>
            <w:r>
              <w:rPr>
                <w:rFonts w:ascii="Arial" w:cs="Arial" w:eastAsia="Arial" w:hAnsi="Arial"/>
                <w:sz w:val="18"/>
                <w:szCs w:val="18"/>
                <w:color w:val="auto"/>
                <w:w w:val="98"/>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40" w:type="dxa"/>
            <w:vAlign w:val="bottom"/>
          </w:tcPr>
          <w:p>
            <w:pPr>
              <w:spacing w:after="0"/>
              <w:rPr>
                <w:sz w:val="23"/>
                <w:szCs w:val="23"/>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10.6(b)</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8"/>
              </w:rPr>
              <w:t>S</w:t>
            </w:r>
            <w:r>
              <w:rPr>
                <w:rFonts w:ascii="MS PGothic" w:cs="MS PGothic" w:eastAsia="MS PGothic" w:hAnsi="MS PGothic"/>
                <w:sz w:val="18"/>
                <w:szCs w:val="18"/>
                <w:color w:val="auto"/>
                <w:w w:val="98"/>
              </w:rPr>
              <w:t>‑</w:t>
            </w:r>
            <w:r>
              <w:rPr>
                <w:rFonts w:ascii="Arial" w:cs="Arial" w:eastAsia="Arial" w:hAnsi="Arial"/>
                <w:sz w:val="18"/>
                <w:szCs w:val="18"/>
                <w:color w:val="auto"/>
                <w:w w:val="98"/>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40" w:type="dxa"/>
            <w:vAlign w:val="bottom"/>
          </w:tcPr>
          <w:p>
            <w:pPr>
              <w:spacing w:after="0"/>
              <w:rPr>
                <w:sz w:val="24"/>
                <w:szCs w:val="2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10.6(c)</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8"/>
              </w:rPr>
              <w:t>S</w:t>
            </w:r>
            <w:r>
              <w:rPr>
                <w:rFonts w:ascii="MS PGothic" w:cs="MS PGothic" w:eastAsia="MS PGothic" w:hAnsi="MS PGothic"/>
                <w:sz w:val="18"/>
                <w:szCs w:val="18"/>
                <w:color w:val="auto"/>
                <w:w w:val="98"/>
              </w:rPr>
              <w:t>‑</w:t>
            </w:r>
            <w:r>
              <w:rPr>
                <w:rFonts w:ascii="Arial" w:cs="Arial" w:eastAsia="Arial" w:hAnsi="Arial"/>
                <w:sz w:val="18"/>
                <w:szCs w:val="18"/>
                <w:color w:val="auto"/>
                <w:w w:val="98"/>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8"/>
              </w:rPr>
              <w:t>S</w:t>
            </w:r>
            <w:r>
              <w:rPr>
                <w:rFonts w:ascii="MS PGothic" w:cs="MS PGothic" w:eastAsia="MS PGothic" w:hAnsi="MS PGothic"/>
                <w:sz w:val="18"/>
                <w:szCs w:val="18"/>
                <w:color w:val="auto"/>
                <w:w w:val="98"/>
              </w:rPr>
              <w:t>‑</w:t>
            </w:r>
            <w:r>
              <w:rPr>
                <w:rFonts w:ascii="Arial" w:cs="Arial" w:eastAsia="Arial" w:hAnsi="Arial"/>
                <w:sz w:val="18"/>
                <w:szCs w:val="18"/>
                <w:color w:val="auto"/>
                <w:w w:val="98"/>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4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8"/>
              </w:rPr>
              <w:t>S</w:t>
            </w:r>
            <w:r>
              <w:rPr>
                <w:rFonts w:ascii="MS PGothic" w:cs="MS PGothic" w:eastAsia="MS PGothic" w:hAnsi="MS PGothic"/>
                <w:sz w:val="18"/>
                <w:szCs w:val="18"/>
                <w:color w:val="auto"/>
                <w:w w:val="98"/>
              </w:rPr>
              <w:t>‑</w:t>
            </w:r>
            <w:r>
              <w:rPr>
                <w:rFonts w:ascii="Arial" w:cs="Arial" w:eastAsia="Arial" w:hAnsi="Arial"/>
                <w:sz w:val="18"/>
                <w:szCs w:val="18"/>
                <w:color w:val="auto"/>
                <w:w w:val="98"/>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8"/>
              </w:rPr>
              <w:t>S</w:t>
            </w:r>
            <w:r>
              <w:rPr>
                <w:rFonts w:ascii="MS PGothic" w:cs="MS PGothic" w:eastAsia="MS PGothic" w:hAnsi="MS PGothic"/>
                <w:sz w:val="18"/>
                <w:szCs w:val="18"/>
                <w:color w:val="auto"/>
                <w:w w:val="98"/>
              </w:rPr>
              <w:t>‑</w:t>
            </w:r>
            <w:r>
              <w:rPr>
                <w:rFonts w:ascii="Arial" w:cs="Arial" w:eastAsia="Arial" w:hAnsi="Arial"/>
                <w:sz w:val="18"/>
                <w:szCs w:val="18"/>
                <w:color w:val="auto"/>
                <w:w w:val="98"/>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740" w:space="140"/>
            <w:col w:w="3139"/>
          </w:cols>
          <w:pgMar w:left="1440" w:top="125" w:right="1440" w:bottom="1440" w:gutter="0" w:footer="0" w:header="0"/>
        </w:sectPr>
      </w:pPr>
    </w:p>
    <w:bookmarkStart w:id="122" w:name="page123"/>
    <w:bookmarkEnd w:id="122"/>
    <w:p>
      <w:pPr>
        <w:ind w:left="40"/>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34"/>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3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10.10#</w:t>
            </w:r>
          </w:p>
        </w:tc>
        <w:tc>
          <w:tcPr>
            <w:tcW w:w="140" w:type="dxa"/>
            <w:vAlign w:val="bottom"/>
          </w:tcPr>
          <w:p>
            <w:pPr>
              <w:spacing w:after="0"/>
              <w:rPr>
                <w:sz w:val="14"/>
                <w:szCs w:val="14"/>
                <w:color w:val="auto"/>
              </w:rPr>
            </w:pPr>
          </w:p>
        </w:tc>
        <w:tc>
          <w:tcPr>
            <w:tcW w:w="4640" w:type="dxa"/>
            <w:vAlign w:val="bottom"/>
            <w:tcBorders>
              <w:top w:val="single" w:sz="8" w:color="auto"/>
            </w:tcBorders>
            <w:gridSpan w:val="41"/>
          </w:tcPr>
          <w:p>
            <w:pPr>
              <w:spacing w:after="0" w:line="169" w:lineRule="exact"/>
              <w:rPr>
                <w:rFonts w:ascii="Arial" w:cs="Arial" w:eastAsia="Arial" w:hAnsi="Arial"/>
                <w:sz w:val="18"/>
                <w:szCs w:val="18"/>
                <w:color w:val="0000EE"/>
              </w:rPr>
            </w:pPr>
            <w:hyperlink r:id="rId162">
              <w:r>
                <w:rPr>
                  <w:rFonts w:ascii="Arial" w:cs="Arial" w:eastAsia="Arial" w:hAnsi="Arial"/>
                  <w:sz w:val="18"/>
                  <w:szCs w:val="18"/>
                  <w:color w:val="0000EE"/>
                </w:rPr>
                <w:t>Offer Letter, dated August 11, 2011, by and between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Ardelyx, Inc. and Mark Kaufmann</w:t>
              </w:r>
            </w:hyperlink>
          </w:p>
        </w:tc>
        <w:tc>
          <w:tcPr>
            <w:tcW w:w="8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1"/>
                <w:szCs w:val="21"/>
                <w:color w:val="auto"/>
              </w:rPr>
            </w:pPr>
          </w:p>
        </w:tc>
        <w:tc>
          <w:tcPr>
            <w:tcW w:w="4520" w:type="dxa"/>
            <w:vAlign w:val="bottom"/>
            <w:tcBorders>
              <w:bottom w:val="single" w:sz="8" w:color="0000EE"/>
            </w:tcBorders>
            <w:gridSpan w:val="35"/>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Offer Letter, dated May 2, 2008, by and between Ardelyx, Inc.</w:t>
              </w:r>
            </w:hyperlink>
          </w:p>
        </w:tc>
        <w:tc>
          <w:tcPr>
            <w:tcW w:w="12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r:id="rId163">
              <w:r>
                <w:rPr>
                  <w:rFonts w:ascii="Arial" w:cs="Arial" w:eastAsia="Arial" w:hAnsi="Arial"/>
                  <w:sz w:val="18"/>
                  <w:szCs w:val="18"/>
                  <w:color w:val="0000EE"/>
                  <w:w w:val="87"/>
                </w:rPr>
                <w:t>and Jeff Jacobs, Ph.D.</w:t>
              </w:r>
            </w:hyperlink>
          </w:p>
        </w:tc>
        <w:tc>
          <w:tcPr>
            <w:tcW w:w="304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1"/>
                <w:szCs w:val="21"/>
                <w:color w:val="auto"/>
              </w:rPr>
            </w:pPr>
          </w:p>
        </w:tc>
        <w:tc>
          <w:tcPr>
            <w:tcW w:w="4020" w:type="dxa"/>
            <w:vAlign w:val="bottom"/>
            <w:tcBorders>
              <w:bottom w:val="single" w:sz="8" w:color="0000EE"/>
            </w:tcBorders>
            <w:gridSpan w:val="25"/>
          </w:tcPr>
          <w:p>
            <w:pPr>
              <w:spacing w:after="0"/>
              <w:rPr>
                <w:rFonts w:ascii="Arial" w:cs="Arial" w:eastAsia="Arial" w:hAnsi="Arial"/>
                <w:sz w:val="18"/>
                <w:szCs w:val="18"/>
                <w:color w:val="0000EE"/>
                <w:w w:val="89"/>
              </w:rPr>
            </w:pPr>
            <w:hyperlink r:id="rId164">
              <w:r>
                <w:rPr>
                  <w:rFonts w:ascii="Arial" w:cs="Arial" w:eastAsia="Arial" w:hAnsi="Arial"/>
                  <w:sz w:val="18"/>
                  <w:szCs w:val="18"/>
                  <w:color w:val="0000EE"/>
                  <w:w w:val="89"/>
                </w:rPr>
                <w:t>Offer Letter, dated December 28, 2009, by and between</w:t>
              </w:r>
            </w:hyperlink>
          </w:p>
        </w:tc>
        <w:tc>
          <w:tcPr>
            <w:tcW w:w="62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41"/>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Ardelyx, Inc. and David Rosenbaum, Ph.D.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1"/>
                <w:szCs w:val="21"/>
                <w:color w:val="auto"/>
              </w:rPr>
            </w:pPr>
          </w:p>
        </w:tc>
        <w:tc>
          <w:tcPr>
            <w:tcW w:w="4040" w:type="dxa"/>
            <w:vAlign w:val="bottom"/>
            <w:tcBorders>
              <w:bottom w:val="single" w:sz="8" w:color="0000EE"/>
            </w:tcBorders>
            <w:gridSpan w:val="26"/>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Offer Letter, dated November 21, 2012, by and between</w:t>
              </w:r>
            </w:hyperlink>
          </w:p>
        </w:tc>
        <w:tc>
          <w:tcPr>
            <w:tcW w:w="60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Ardelyx, Inc. and Elizabeth Grammer, Esq.</w:t>
              </w:r>
            </w:hyperlink>
          </w:p>
        </w:tc>
        <w:tc>
          <w:tcPr>
            <w:tcW w:w="150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1"/>
                <w:szCs w:val="21"/>
                <w:color w:val="auto"/>
              </w:rPr>
            </w:pPr>
          </w:p>
        </w:tc>
        <w:tc>
          <w:tcPr>
            <w:tcW w:w="3660" w:type="dxa"/>
            <w:vAlign w:val="bottom"/>
            <w:tcBorders>
              <w:bottom w:val="single" w:sz="8" w:color="0000EE"/>
            </w:tcBorders>
            <w:gridSpan w:val="16"/>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Ardelyx, Inc. 2014 Employee Stock Purchase Plan</w:t>
              </w:r>
            </w:hyperlink>
          </w:p>
        </w:tc>
        <w:tc>
          <w:tcPr>
            <w:tcW w:w="980" w:type="dxa"/>
            <w:vAlign w:val="bottom"/>
            <w:gridSpan w:val="2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10.15(a)#</w:t>
            </w:r>
          </w:p>
        </w:tc>
        <w:tc>
          <w:tcPr>
            <w:tcW w:w="3500" w:type="dxa"/>
            <w:vAlign w:val="bottom"/>
            <w:tcBorders>
              <w:bottom w:val="single" w:sz="8" w:color="0000EE"/>
            </w:tcBorders>
            <w:gridSpan w:val="13"/>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Non-Employee Director Compensation Program</w:t>
              </w:r>
            </w:hyperlink>
          </w:p>
        </w:tc>
        <w:tc>
          <w:tcPr>
            <w:tcW w:w="1140" w:type="dxa"/>
            <w:vAlign w:val="bottom"/>
            <w:gridSpan w:val="2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10.15(b)#</w:t>
            </w:r>
          </w:p>
        </w:tc>
        <w:tc>
          <w:tcPr>
            <w:tcW w:w="4640" w:type="dxa"/>
            <w:vAlign w:val="bottom"/>
            <w:gridSpan w:val="41"/>
          </w:tcPr>
          <w:p>
            <w:pPr>
              <w:spacing w:after="0"/>
              <w:rPr>
                <w:rFonts w:ascii="Arial" w:cs="Arial" w:eastAsia="Arial" w:hAnsi="Arial"/>
                <w:sz w:val="18"/>
                <w:szCs w:val="18"/>
                <w:color w:val="0000EE"/>
              </w:rPr>
            </w:pPr>
            <w:hyperlink r:id="rId168">
              <w:r>
                <w:rPr>
                  <w:rFonts w:ascii="Arial" w:cs="Arial" w:eastAsia="Arial" w:hAnsi="Arial"/>
                  <w:sz w:val="18"/>
                  <w:szCs w:val="18"/>
                  <w:color w:val="0000EE"/>
                </w:rPr>
                <w:t>Description of amendments to Non-Employee Director</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Compensation Program</w:t>
              </w:r>
            </w:hyperlink>
          </w:p>
        </w:tc>
        <w:tc>
          <w:tcPr>
            <w:tcW w:w="6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1"/>
                <w:szCs w:val="21"/>
                <w:color w:val="auto"/>
              </w:rPr>
            </w:pPr>
          </w:p>
        </w:tc>
        <w:tc>
          <w:tcPr>
            <w:tcW w:w="4620" w:type="dxa"/>
            <w:vAlign w:val="bottom"/>
            <w:tcBorders>
              <w:bottom w:val="single" w:sz="8" w:color="0000EE"/>
            </w:tcBorders>
            <w:gridSpan w:val="40"/>
          </w:tcPr>
          <w:p>
            <w:pPr>
              <w:spacing w:after="0"/>
              <w:rPr>
                <w:rFonts w:ascii="Arial" w:cs="Arial" w:eastAsia="Arial" w:hAnsi="Arial"/>
                <w:sz w:val="18"/>
                <w:szCs w:val="18"/>
                <w:color w:val="0000EE"/>
                <w:w w:val="89"/>
              </w:rPr>
            </w:pPr>
            <w:hyperlink r:id="rId169">
              <w:r>
                <w:rPr>
                  <w:rFonts w:ascii="Arial" w:cs="Arial" w:eastAsia="Arial" w:hAnsi="Arial"/>
                  <w:sz w:val="18"/>
                  <w:szCs w:val="18"/>
                  <w:color w:val="0000EE"/>
                  <w:w w:val="89"/>
                </w:rPr>
                <w:t>Securities Purchase Agreement by and among Ardelyx, Inc. and</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4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r:id="rId169">
              <w:r>
                <w:rPr>
                  <w:rFonts w:ascii="Arial" w:cs="Arial" w:eastAsia="Arial" w:hAnsi="Arial"/>
                  <w:sz w:val="18"/>
                  <w:szCs w:val="18"/>
                  <w:color w:val="0000EE"/>
                  <w:w w:val="88"/>
                </w:rPr>
                <w:t>the purchasers signatory thereto, dated June 2, 2015</w:t>
              </w:r>
            </w:hyperlink>
          </w:p>
        </w:tc>
        <w:tc>
          <w:tcPr>
            <w:tcW w:w="9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21"/>
                <w:szCs w:val="21"/>
                <w:color w:val="auto"/>
              </w:rPr>
            </w:pPr>
          </w:p>
        </w:tc>
        <w:tc>
          <w:tcPr>
            <w:tcW w:w="4640" w:type="dxa"/>
            <w:vAlign w:val="bottom"/>
            <w:gridSpan w:val="41"/>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Registration Rights Agreement by and among Ardelyx, Inc. and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r:id="rId170">
              <w:r>
                <w:rPr>
                  <w:rFonts w:ascii="Arial" w:cs="Arial" w:eastAsia="Arial" w:hAnsi="Arial"/>
                  <w:sz w:val="18"/>
                  <w:szCs w:val="18"/>
                  <w:color w:val="0000EE"/>
                  <w:w w:val="88"/>
                </w:rPr>
                <w:t>the investors signatory thereto, dated June 2, 2015</w:t>
              </w:r>
            </w:hyperlink>
          </w:p>
        </w:tc>
        <w:tc>
          <w:tcPr>
            <w:tcW w:w="980" w:type="dxa"/>
            <w:vAlign w:val="bottom"/>
            <w:tcBorders>
              <w:top w:val="single" w:sz="8" w:color="0000EE"/>
            </w:tcBorders>
            <w:gridSpan w:val="25"/>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21"/>
                <w:szCs w:val="21"/>
                <w:color w:val="auto"/>
              </w:rPr>
            </w:pPr>
          </w:p>
        </w:tc>
        <w:tc>
          <w:tcPr>
            <w:tcW w:w="4620" w:type="dxa"/>
            <w:vAlign w:val="bottom"/>
            <w:tcBorders>
              <w:bottom w:val="single" w:sz="8" w:color="0000EE"/>
            </w:tcBorders>
            <w:gridSpan w:val="40"/>
          </w:tcPr>
          <w:p>
            <w:pPr>
              <w:spacing w:after="0"/>
              <w:rPr>
                <w:rFonts w:ascii="Arial" w:cs="Arial" w:eastAsia="Arial" w:hAnsi="Arial"/>
                <w:sz w:val="18"/>
                <w:szCs w:val="18"/>
                <w:color w:val="0000EE"/>
                <w:w w:val="89"/>
              </w:rPr>
            </w:pPr>
            <w:hyperlink r:id="rId171">
              <w:r>
                <w:rPr>
                  <w:rFonts w:ascii="Arial" w:cs="Arial" w:eastAsia="Arial" w:hAnsi="Arial"/>
                  <w:sz w:val="18"/>
                  <w:szCs w:val="18"/>
                  <w:color w:val="0000EE"/>
                  <w:w w:val="89"/>
                </w:rPr>
                <w:t>Securities Purchase Agreement by and among Ardelyx, Inc. and</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r:id="rId171">
              <w:r>
                <w:rPr>
                  <w:rFonts w:ascii="Arial" w:cs="Arial" w:eastAsia="Arial" w:hAnsi="Arial"/>
                  <w:sz w:val="18"/>
                  <w:szCs w:val="18"/>
                  <w:color w:val="0000EE"/>
                  <w:w w:val="88"/>
                </w:rPr>
                <w:t>the purchasers signatory thereto, dated July 14, 2016</w:t>
              </w:r>
            </w:hyperlink>
          </w:p>
        </w:tc>
        <w:tc>
          <w:tcPr>
            <w:tcW w:w="8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21"/>
                <w:szCs w:val="21"/>
                <w:color w:val="auto"/>
              </w:rPr>
            </w:pPr>
          </w:p>
        </w:tc>
        <w:tc>
          <w:tcPr>
            <w:tcW w:w="4640" w:type="dxa"/>
            <w:vAlign w:val="bottom"/>
            <w:gridSpan w:val="41"/>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Registration Rights Agreement by and among Ardelyx, Inc. and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the investors signatory thereto, dated July 14, 2016</w:t>
              </w:r>
            </w:hyperlink>
          </w:p>
        </w:tc>
        <w:tc>
          <w:tcPr>
            <w:tcW w:w="920" w:type="dxa"/>
            <w:vAlign w:val="bottom"/>
            <w:tcBorders>
              <w:top w:val="single" w:sz="8" w:color="0000EE"/>
            </w:tcBorders>
            <w:gridSpan w:val="22"/>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10.20(a)#</w:t>
            </w:r>
          </w:p>
        </w:tc>
        <w:tc>
          <w:tcPr>
            <w:tcW w:w="4280" w:type="dxa"/>
            <w:vAlign w:val="bottom"/>
            <w:tcBorders>
              <w:bottom w:val="single" w:sz="8" w:color="0000EE"/>
            </w:tcBorders>
            <w:gridSpan w:val="31"/>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Ardelyx, Inc. 2016 Employment Commencement Incentive</w:t>
              </w:r>
            </w:hyperlink>
          </w:p>
        </w:tc>
        <w:tc>
          <w:tcPr>
            <w:tcW w:w="36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41"/>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Plan</w:t>
              </w:r>
            </w:hyperlink>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10.20(b)#</w:t>
            </w:r>
          </w:p>
        </w:tc>
        <w:tc>
          <w:tcPr>
            <w:tcW w:w="3880" w:type="dxa"/>
            <w:vAlign w:val="bottom"/>
            <w:tcBorders>
              <w:bottom w:val="single" w:sz="8" w:color="0000EE"/>
            </w:tcBorders>
            <w:gridSpan w:val="21"/>
          </w:tcPr>
          <w:p>
            <w:pPr>
              <w:spacing w:after="0"/>
              <w:rPr>
                <w:rFonts w:ascii="Arial" w:cs="Arial" w:eastAsia="Arial" w:hAnsi="Arial"/>
                <w:sz w:val="18"/>
                <w:szCs w:val="18"/>
                <w:color w:val="0000EE"/>
                <w:w w:val="92"/>
              </w:rPr>
            </w:pPr>
            <w:hyperlink r:id="rId174">
              <w:r>
                <w:rPr>
                  <w:rFonts w:ascii="Arial" w:cs="Arial" w:eastAsia="Arial" w:hAnsi="Arial"/>
                  <w:sz w:val="18"/>
                  <w:szCs w:val="18"/>
                  <w:color w:val="0000EE"/>
                  <w:w w:val="92"/>
                </w:rPr>
                <w:t>Form of Stock Option Grant Notice and Stock Option</w:t>
              </w:r>
            </w:hyperlink>
          </w:p>
        </w:tc>
        <w:tc>
          <w:tcPr>
            <w:tcW w:w="76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41"/>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Agreement under the 2016 Employment Commencement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Incentive Plan</w:t>
              </w:r>
            </w:hyperlink>
          </w:p>
        </w:tc>
        <w:tc>
          <w:tcPr>
            <w:tcW w:w="3080" w:type="dxa"/>
            <w:vAlign w:val="bottom"/>
            <w:tcBorders>
              <w:top w:val="single" w:sz="8" w:color="0000EE"/>
            </w:tcBorders>
            <w:gridSpan w:val="26"/>
          </w:tcPr>
          <w:p>
            <w:pPr>
              <w:spacing w:after="0"/>
              <w:rPr>
                <w:sz w:val="17"/>
                <w:szCs w:val="17"/>
                <w:color w:val="auto"/>
              </w:rPr>
            </w:pPr>
          </w:p>
        </w:tc>
        <w:tc>
          <w:tcPr>
            <w:tcW w:w="5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10.20(c)#</w:t>
            </w:r>
          </w:p>
        </w:tc>
        <w:tc>
          <w:tcPr>
            <w:tcW w:w="4640" w:type="dxa"/>
            <w:vAlign w:val="bottom"/>
            <w:gridSpan w:val="41"/>
          </w:tcPr>
          <w:p>
            <w:pPr>
              <w:spacing w:after="0"/>
              <w:rPr>
                <w:rFonts w:ascii="Arial" w:cs="Arial" w:eastAsia="Arial" w:hAnsi="Arial"/>
                <w:sz w:val="18"/>
                <w:szCs w:val="18"/>
                <w:color w:val="0000EE"/>
              </w:rPr>
            </w:pPr>
            <w:hyperlink r:id="rId175">
              <w:r>
                <w:rPr>
                  <w:rFonts w:ascii="Arial" w:cs="Arial" w:eastAsia="Arial" w:hAnsi="Arial"/>
                  <w:sz w:val="18"/>
                  <w:szCs w:val="18"/>
                  <w:color w:val="0000EE"/>
                </w:rPr>
                <w:t>Form of Restricted Stock Unit Award Grant Notice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Restricted Stock Unit Award Agreement under the 2016</w:t>
              </w:r>
            </w:hyperlink>
          </w:p>
        </w:tc>
        <w:tc>
          <w:tcPr>
            <w:tcW w:w="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Employment Commencement Incentive Plan</w:t>
              </w:r>
            </w:hyperlink>
          </w:p>
        </w:tc>
        <w:tc>
          <w:tcPr>
            <w:tcW w:w="140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10.20(d)#</w:t>
            </w:r>
          </w:p>
        </w:tc>
        <w:tc>
          <w:tcPr>
            <w:tcW w:w="4400" w:type="dxa"/>
            <w:vAlign w:val="bottom"/>
            <w:tcBorders>
              <w:bottom w:val="single" w:sz="8" w:color="0000EE"/>
            </w:tcBorders>
            <w:gridSpan w:val="33"/>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Form of Restricted Stock Award Grant Notice and Restricted</w:t>
              </w:r>
            </w:hyperlink>
          </w:p>
        </w:tc>
        <w:tc>
          <w:tcPr>
            <w:tcW w:w="24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Stock Award Agreement under the 2016 Employment</w:t>
              </w:r>
            </w:hyperlink>
          </w:p>
        </w:tc>
        <w:tc>
          <w:tcPr>
            <w:tcW w:w="7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41"/>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Commencement Incentive Plan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1"/>
                <w:szCs w:val="21"/>
                <w:color w:val="auto"/>
              </w:rPr>
            </w:pPr>
          </w:p>
        </w:tc>
        <w:tc>
          <w:tcPr>
            <w:tcW w:w="4420" w:type="dxa"/>
            <w:vAlign w:val="bottom"/>
            <w:tcBorders>
              <w:bottom w:val="single" w:sz="8" w:color="0000EE"/>
            </w:tcBorders>
            <w:gridSpan w:val="34"/>
          </w:tcPr>
          <w:p>
            <w:pPr>
              <w:spacing w:after="0"/>
              <w:rPr>
                <w:rFonts w:ascii="Arial" w:cs="Arial" w:eastAsia="Arial" w:hAnsi="Arial"/>
                <w:sz w:val="18"/>
                <w:szCs w:val="18"/>
                <w:color w:val="0000EE"/>
                <w:w w:val="89"/>
              </w:rPr>
            </w:pPr>
            <w:hyperlink r:id="rId177">
              <w:r>
                <w:rPr>
                  <w:rFonts w:ascii="Arial" w:cs="Arial" w:eastAsia="Arial" w:hAnsi="Arial"/>
                  <w:sz w:val="18"/>
                  <w:szCs w:val="18"/>
                  <w:color w:val="0000EE"/>
                  <w:w w:val="89"/>
                </w:rPr>
                <w:t>Transition and Separation Agreement dated August 21, 2017,</w:t>
              </w:r>
            </w:hyperlink>
          </w:p>
        </w:tc>
        <w:tc>
          <w:tcPr>
            <w:tcW w:w="22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77">
              <w:r>
                <w:rPr>
                  <w:rFonts w:ascii="Arial" w:cs="Arial" w:eastAsia="Arial" w:hAnsi="Arial"/>
                  <w:sz w:val="18"/>
                  <w:szCs w:val="18"/>
                  <w:color w:val="0000EE"/>
                  <w:w w:val="89"/>
                </w:rPr>
                <w:t>by and between the Company and Dr. Paul Korner</w:t>
              </w:r>
            </w:hyperlink>
          </w:p>
        </w:tc>
        <w:tc>
          <w:tcPr>
            <w:tcW w:w="10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10.22††</w:t>
            </w:r>
          </w:p>
        </w:tc>
        <w:tc>
          <w:tcPr>
            <w:tcW w:w="4640" w:type="dxa"/>
            <w:vAlign w:val="bottom"/>
            <w:gridSpan w:val="41"/>
          </w:tcPr>
          <w:p>
            <w:pPr>
              <w:spacing w:after="0"/>
              <w:rPr>
                <w:rFonts w:ascii="Arial" w:cs="Arial" w:eastAsia="Arial" w:hAnsi="Arial"/>
                <w:sz w:val="18"/>
                <w:szCs w:val="18"/>
                <w:color w:val="0000EE"/>
                <w:w w:val="90"/>
              </w:rPr>
            </w:pPr>
            <w:hyperlink r:id="rId178">
              <w:r>
                <w:rPr>
                  <w:rFonts w:ascii="Arial" w:cs="Arial" w:eastAsia="Arial" w:hAnsi="Arial"/>
                  <w:sz w:val="18"/>
                  <w:szCs w:val="18"/>
                  <w:color w:val="0000EE"/>
                  <w:w w:val="90"/>
                </w:rPr>
                <w:t>License Agreement, dated November 27, 2017, by and between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4"/>
              </w:rPr>
            </w:pPr>
            <w:hyperlink r:id="rId178">
              <w:r>
                <w:rPr>
                  <w:rFonts w:ascii="Arial" w:cs="Arial" w:eastAsia="Arial" w:hAnsi="Arial"/>
                  <w:sz w:val="18"/>
                  <w:szCs w:val="18"/>
                  <w:color w:val="0000EE"/>
                  <w:w w:val="94"/>
                </w:rPr>
                <w:t>Kyowa Hakko Kirin Co., Ltd. and Ardelyx, Inc.</w:t>
              </w:r>
            </w:hyperlink>
          </w:p>
        </w:tc>
        <w:tc>
          <w:tcPr>
            <w:tcW w:w="1120" w:type="dxa"/>
            <w:vAlign w:val="bottom"/>
            <w:tcBorders>
              <w:top w:val="single" w:sz="8" w:color="0000EE"/>
            </w:tcBorders>
            <w:gridSpan w:val="26"/>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8"/>
                <w:szCs w:val="18"/>
                <w:color w:val="auto"/>
              </w:rPr>
              <w:t>10.23††</w:t>
            </w:r>
          </w:p>
        </w:tc>
        <w:tc>
          <w:tcPr>
            <w:tcW w:w="4560" w:type="dxa"/>
            <w:vAlign w:val="bottom"/>
            <w:tcBorders>
              <w:bottom w:val="single" w:sz="8" w:color="0000EE"/>
            </w:tcBorders>
            <w:gridSpan w:val="37"/>
          </w:tcPr>
          <w:p>
            <w:pPr>
              <w:spacing w:after="0"/>
              <w:rPr>
                <w:rFonts w:ascii="Arial" w:cs="Arial" w:eastAsia="Arial" w:hAnsi="Arial"/>
                <w:sz w:val="18"/>
                <w:szCs w:val="18"/>
                <w:color w:val="0000EE"/>
                <w:w w:val="88"/>
              </w:rPr>
            </w:pPr>
            <w:hyperlink r:id="rId179">
              <w:r>
                <w:rPr>
                  <w:rFonts w:ascii="Arial" w:cs="Arial" w:eastAsia="Arial" w:hAnsi="Arial"/>
                  <w:sz w:val="18"/>
                  <w:szCs w:val="18"/>
                  <w:color w:val="0000EE"/>
                  <w:w w:val="88"/>
                </w:rPr>
                <w:t>License Agreement, dated December 11, 2017, by and between</w:t>
              </w:r>
            </w:hyperlink>
          </w:p>
        </w:tc>
        <w:tc>
          <w:tcPr>
            <w:tcW w:w="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r:id="rId179">
              <w:r>
                <w:rPr>
                  <w:rFonts w:ascii="Arial" w:cs="Arial" w:eastAsia="Arial" w:hAnsi="Arial"/>
                  <w:sz w:val="18"/>
                  <w:szCs w:val="18"/>
                  <w:color w:val="0000EE"/>
                  <w:w w:val="89"/>
                </w:rPr>
                <w:t>Shanghai Fosun Pharmaceutical Industrial Development Co.</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41"/>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Ltd. and Ardelyx, Inc.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20" w:type="dxa"/>
            <w:vAlign w:val="bottom"/>
            <w:gridSpan w:val="1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10.24#</w:t>
            </w:r>
          </w:p>
        </w:tc>
        <w:tc>
          <w:tcPr>
            <w:tcW w:w="140" w:type="dxa"/>
            <w:vAlign w:val="bottom"/>
          </w:tcPr>
          <w:p>
            <w:pPr>
              <w:spacing w:after="0"/>
              <w:rPr>
                <w:sz w:val="21"/>
                <w:szCs w:val="21"/>
                <w:color w:val="auto"/>
              </w:rPr>
            </w:pPr>
          </w:p>
        </w:tc>
        <w:tc>
          <w:tcPr>
            <w:tcW w:w="4640" w:type="dxa"/>
            <w:vAlign w:val="bottom"/>
            <w:gridSpan w:val="41"/>
          </w:tcPr>
          <w:p>
            <w:pPr>
              <w:spacing w:after="0"/>
              <w:rPr>
                <w:rFonts w:ascii="Arial" w:cs="Arial" w:eastAsia="Arial" w:hAnsi="Arial"/>
                <w:sz w:val="18"/>
                <w:szCs w:val="18"/>
                <w:color w:val="0000EE"/>
              </w:rPr>
            </w:pPr>
            <w:hyperlink r:id="rId180">
              <w:r>
                <w:rPr>
                  <w:rFonts w:ascii="Arial" w:cs="Arial" w:eastAsia="Arial" w:hAnsi="Arial"/>
                  <w:sz w:val="18"/>
                  <w:szCs w:val="18"/>
                  <w:color w:val="0000EE"/>
                </w:rPr>
                <w:t>Second Amended and Restated Change in Control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0" w:type="dxa"/>
            <w:vAlign w:val="bottom"/>
            <w:gridSpan w:val="17"/>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41"/>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Severance Agreement by and between Ardelyx, Inc. and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80">
              <w:r>
                <w:rPr>
                  <w:rFonts w:ascii="Arial" w:cs="Arial" w:eastAsia="Arial" w:hAnsi="Arial"/>
                  <w:sz w:val="18"/>
                  <w:szCs w:val="18"/>
                  <w:color w:val="0000EE"/>
                  <w:w w:val="89"/>
                </w:rPr>
                <w:t>Elizabeth Grammer.</w:t>
              </w:r>
            </w:hyperlink>
          </w:p>
        </w:tc>
        <w:tc>
          <w:tcPr>
            <w:tcW w:w="2600" w:type="dxa"/>
            <w:vAlign w:val="bottom"/>
            <w:tcBorders>
              <w:top w:val="single" w:sz="8" w:color="0000EE"/>
            </w:tcBorders>
            <w:gridSpan w:val="23"/>
          </w:tcPr>
          <w:p>
            <w:pPr>
              <w:spacing w:after="0"/>
              <w:rPr>
                <w:sz w:val="17"/>
                <w:szCs w:val="17"/>
                <w:color w:val="auto"/>
              </w:rPr>
            </w:pPr>
          </w:p>
        </w:tc>
        <w:tc>
          <w:tcPr>
            <w:tcW w:w="5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21"/>
                <w:szCs w:val="21"/>
                <w:color w:val="auto"/>
              </w:rPr>
            </w:pPr>
          </w:p>
        </w:tc>
        <w:tc>
          <w:tcPr>
            <w:tcW w:w="4640" w:type="dxa"/>
            <w:vAlign w:val="bottom"/>
            <w:gridSpan w:val="41"/>
          </w:tcPr>
          <w:p>
            <w:pPr>
              <w:spacing w:after="0"/>
              <w:rPr>
                <w:rFonts w:ascii="Arial" w:cs="Arial" w:eastAsia="Arial" w:hAnsi="Arial"/>
                <w:sz w:val="18"/>
                <w:szCs w:val="18"/>
                <w:color w:val="0000EE"/>
              </w:rPr>
            </w:pPr>
            <w:hyperlink r:id="rId181">
              <w:r>
                <w:rPr>
                  <w:rFonts w:ascii="Arial" w:cs="Arial" w:eastAsia="Arial" w:hAnsi="Arial"/>
                  <w:sz w:val="18"/>
                  <w:szCs w:val="18"/>
                  <w:color w:val="0000EE"/>
                </w:rPr>
                <w:t>Second Amended and Restated Change in Control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0" w:type="dxa"/>
            <w:vAlign w:val="bottom"/>
            <w:gridSpan w:val="17"/>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41"/>
          </w:tcPr>
          <w:p>
            <w:pPr>
              <w:spacing w:after="0" w:line="196" w:lineRule="exact"/>
              <w:rPr>
                <w:rFonts w:ascii="Arial" w:cs="Arial" w:eastAsia="Arial" w:hAnsi="Arial"/>
                <w:sz w:val="18"/>
                <w:szCs w:val="18"/>
                <w:color w:val="0000EE"/>
                <w:w w:val="92"/>
              </w:rPr>
            </w:pPr>
            <w:hyperlink r:id="rId181">
              <w:r>
                <w:rPr>
                  <w:rFonts w:ascii="Arial" w:cs="Arial" w:eastAsia="Arial" w:hAnsi="Arial"/>
                  <w:sz w:val="18"/>
                  <w:szCs w:val="18"/>
                  <w:color w:val="0000EE"/>
                  <w:w w:val="92"/>
                </w:rPr>
                <w:t>Severance Agreement by and between Ardelyx, Inc. and David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P. Rosenbaum, Ph.D.</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60" w:type="dxa"/>
            <w:vAlign w:val="bottom"/>
            <w:gridSpan w:val="2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10.26</w:t>
            </w:r>
          </w:p>
        </w:tc>
        <w:tc>
          <w:tcPr>
            <w:tcW w:w="140" w:type="dxa"/>
            <w:vAlign w:val="bottom"/>
          </w:tcPr>
          <w:p>
            <w:pPr>
              <w:spacing w:after="0"/>
              <w:rPr>
                <w:sz w:val="21"/>
                <w:szCs w:val="21"/>
                <w:color w:val="auto"/>
              </w:rPr>
            </w:pPr>
          </w:p>
        </w:tc>
        <w:tc>
          <w:tcPr>
            <w:tcW w:w="4640" w:type="dxa"/>
            <w:vAlign w:val="bottom"/>
            <w:gridSpan w:val="41"/>
          </w:tcPr>
          <w:p>
            <w:pPr>
              <w:spacing w:after="0"/>
              <w:rPr>
                <w:rFonts w:ascii="Arial" w:cs="Arial" w:eastAsia="Arial" w:hAnsi="Arial"/>
                <w:sz w:val="18"/>
                <w:szCs w:val="18"/>
                <w:color w:val="0000EE"/>
                <w:w w:val="98"/>
              </w:rPr>
            </w:pPr>
            <w:hyperlink r:id="rId182">
              <w:r>
                <w:rPr>
                  <w:rFonts w:ascii="Arial" w:cs="Arial" w:eastAsia="Arial" w:hAnsi="Arial"/>
                  <w:sz w:val="18"/>
                  <w:szCs w:val="18"/>
                  <w:color w:val="0000EE"/>
                  <w:w w:val="98"/>
                </w:rPr>
                <w:t>Loan and Security Agreement, dated May 16, 2018, by and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89"/>
              </w:rPr>
            </w:pPr>
            <w:hyperlink r:id="rId182">
              <w:r>
                <w:rPr>
                  <w:rFonts w:ascii="Arial" w:cs="Arial" w:eastAsia="Arial" w:hAnsi="Arial"/>
                  <w:sz w:val="18"/>
                  <w:szCs w:val="18"/>
                  <w:color w:val="0000EE"/>
                  <w:w w:val="89"/>
                </w:rPr>
                <w:t>between the Company and Solar Capital Ltd. and Western</w:t>
              </w:r>
            </w:hyperlink>
          </w:p>
        </w:tc>
        <w:tc>
          <w:tcPr>
            <w:tcW w:w="80" w:type="dxa"/>
            <w:vAlign w:val="bottom"/>
            <w:tcBorders>
              <w:top w:val="single" w:sz="8" w:color="0000EE"/>
            </w:tcBorders>
          </w:tcPr>
          <w:p>
            <w:pPr>
              <w:spacing w:after="0"/>
              <w:rPr>
                <w:sz w:val="17"/>
                <w:szCs w:val="17"/>
                <w:color w:val="auto"/>
              </w:rPr>
            </w:pPr>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41"/>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Alliance Bank.</w:t>
              </w:r>
            </w:hyperlink>
          </w:p>
        </w:tc>
        <w:tc>
          <w:tcPr>
            <w:tcW w:w="0" w:type="dxa"/>
            <w:vAlign w:val="bottom"/>
          </w:tcPr>
          <w:p>
            <w:pPr>
              <w:spacing w:after="0"/>
              <w:rPr>
                <w:sz w:val="1"/>
                <w:szCs w:val="1"/>
                <w:color w:val="auto"/>
              </w:rPr>
            </w:pPr>
          </w:p>
        </w:tc>
      </w:tr>
      <w:tr>
        <w:trPr>
          <w:trHeight w:val="723"/>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Borders>
              <w:top w:val="single" w:sz="8" w:color="0000EE"/>
            </w:tcBorders>
            <w:gridSpan w:val="3"/>
          </w:tcPr>
          <w:p>
            <w:pPr>
              <w:spacing w:after="0"/>
              <w:rPr>
                <w:sz w:val="24"/>
                <w:szCs w:val="24"/>
                <w:color w:val="auto"/>
              </w:rPr>
            </w:pPr>
          </w:p>
        </w:tc>
        <w:tc>
          <w:tcPr>
            <w:tcW w:w="2540" w:type="dxa"/>
            <w:vAlign w:val="bottom"/>
            <w:gridSpan w:val="11"/>
          </w:tcPr>
          <w:p>
            <w:pPr>
              <w:jc w:val="right"/>
              <w:ind w:right="8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Incorporated by Reference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23"/>
        </w:trPr>
        <w:tc>
          <w:tcPr>
            <w:tcW w:w="7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42"/>
        </w:trPr>
        <w:tc>
          <w:tcPr>
            <w:tcW w:w="7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7"/>
              </w:rPr>
              <w:t>Form</w:t>
            </w:r>
          </w:p>
        </w:tc>
        <w:tc>
          <w:tcPr>
            <w:tcW w:w="9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Date</w:t>
            </w: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Number</w:t>
            </w:r>
          </w:p>
        </w:tc>
        <w:tc>
          <w:tcPr>
            <w:tcW w:w="1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6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18"/>
                <w:szCs w:val="18"/>
                <w:color w:val="auto"/>
                <w:w w:val="98"/>
              </w:rPr>
              <w:t>S</w:t>
            </w:r>
            <w:r>
              <w:rPr>
                <w:rFonts w:ascii="MS PGothic" w:cs="MS PGothic" w:eastAsia="MS PGothic" w:hAnsi="MS PGothic"/>
                <w:sz w:val="18"/>
                <w:szCs w:val="18"/>
                <w:color w:val="auto"/>
                <w:w w:val="98"/>
              </w:rPr>
              <w:t>‑</w:t>
            </w:r>
            <w:r>
              <w:rPr>
                <w:rFonts w:ascii="Arial" w:cs="Arial" w:eastAsia="Arial" w:hAnsi="Arial"/>
                <w:sz w:val="18"/>
                <w:szCs w:val="18"/>
                <w:color w:val="auto"/>
                <w:w w:val="98"/>
              </w:rPr>
              <w:t>1/A</w:t>
            </w:r>
          </w:p>
        </w:tc>
        <w:tc>
          <w:tcPr>
            <w:tcW w:w="16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6/9/2014</w:t>
            </w:r>
          </w:p>
        </w:tc>
        <w:tc>
          <w:tcPr>
            <w:tcW w:w="14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10.10</w:t>
            </w:r>
          </w:p>
        </w:tc>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8"/>
              </w:rPr>
              <w:t>S</w:t>
            </w:r>
            <w:r>
              <w:rPr>
                <w:rFonts w:ascii="MS PGothic" w:cs="MS PGothic" w:eastAsia="MS PGothic" w:hAnsi="MS PGothic"/>
                <w:sz w:val="18"/>
                <w:szCs w:val="18"/>
                <w:color w:val="auto"/>
                <w:w w:val="98"/>
              </w:rPr>
              <w:t>‑</w:t>
            </w:r>
            <w:r>
              <w:rPr>
                <w:rFonts w:ascii="Arial" w:cs="Arial" w:eastAsia="Arial" w:hAnsi="Arial"/>
                <w:sz w:val="18"/>
                <w:szCs w:val="18"/>
                <w:color w:val="auto"/>
                <w:w w:val="98"/>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8"/>
              </w:rPr>
              <w:t>S</w:t>
            </w:r>
            <w:r>
              <w:rPr>
                <w:rFonts w:ascii="MS PGothic" w:cs="MS PGothic" w:eastAsia="MS PGothic" w:hAnsi="MS PGothic"/>
                <w:sz w:val="18"/>
                <w:szCs w:val="18"/>
                <w:color w:val="auto"/>
                <w:w w:val="98"/>
              </w:rPr>
              <w:t>‑</w:t>
            </w:r>
            <w:r>
              <w:rPr>
                <w:rFonts w:ascii="Arial" w:cs="Arial" w:eastAsia="Arial" w:hAnsi="Arial"/>
                <w:sz w:val="18"/>
                <w:szCs w:val="18"/>
                <w:color w:val="auto"/>
                <w:w w:val="98"/>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8"/>
              </w:rPr>
              <w:t>S</w:t>
            </w:r>
            <w:r>
              <w:rPr>
                <w:rFonts w:ascii="MS PGothic" w:cs="MS PGothic" w:eastAsia="MS PGothic" w:hAnsi="MS PGothic"/>
                <w:sz w:val="18"/>
                <w:szCs w:val="18"/>
                <w:color w:val="auto"/>
                <w:w w:val="98"/>
              </w:rPr>
              <w:t>‑</w:t>
            </w:r>
            <w:r>
              <w:rPr>
                <w:rFonts w:ascii="Arial" w:cs="Arial" w:eastAsia="Arial" w:hAnsi="Arial"/>
                <w:sz w:val="18"/>
                <w:szCs w:val="18"/>
                <w:color w:val="auto"/>
                <w:w w:val="98"/>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8</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7/14/2014</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99.6</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8"/>
              </w:rPr>
              <w:t>S</w:t>
            </w:r>
            <w:r>
              <w:rPr>
                <w:rFonts w:ascii="MS PGothic" w:cs="MS PGothic" w:eastAsia="MS PGothic" w:hAnsi="MS PGothic"/>
                <w:sz w:val="18"/>
                <w:szCs w:val="18"/>
                <w:color w:val="auto"/>
                <w:w w:val="98"/>
              </w:rPr>
              <w:t>‑</w:t>
            </w:r>
            <w:r>
              <w:rPr>
                <w:rFonts w:ascii="Arial" w:cs="Arial" w:eastAsia="Arial" w:hAnsi="Arial"/>
                <w:sz w:val="18"/>
                <w:szCs w:val="18"/>
                <w:color w:val="auto"/>
                <w:w w:val="98"/>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4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3/9/2017</w:t>
            </w:r>
          </w:p>
        </w:tc>
        <w:tc>
          <w:tcPr>
            <w:tcW w:w="140" w:type="dxa"/>
            <w:vAlign w:val="bottom"/>
          </w:tcPr>
          <w:p>
            <w:pPr>
              <w:spacing w:after="0"/>
              <w:rPr>
                <w:sz w:val="23"/>
                <w:szCs w:val="23"/>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N/A</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0"/>
              </w:rPr>
              <w:t>10</w:t>
            </w:r>
            <w:r>
              <w:rPr>
                <w:rFonts w:ascii="MS PGothic" w:cs="MS PGothic" w:eastAsia="MS PGothic" w:hAnsi="MS PGothic"/>
                <w:sz w:val="18"/>
                <w:szCs w:val="18"/>
                <w:color w:val="auto"/>
                <w:w w:val="90"/>
              </w:rPr>
              <w:t>‑</w:t>
            </w:r>
            <w:r>
              <w:rPr>
                <w:rFonts w:ascii="Arial" w:cs="Arial" w:eastAsia="Arial" w:hAnsi="Arial"/>
                <w:sz w:val="18"/>
                <w:szCs w:val="18"/>
                <w:color w:val="auto"/>
                <w:w w:val="90"/>
              </w:rPr>
              <w:t>Q</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8/12/2015</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3</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7/13/2015</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0"/>
              </w:rPr>
              <w:t>10</w:t>
            </w:r>
            <w:r>
              <w:rPr>
                <w:rFonts w:ascii="MS PGothic" w:cs="MS PGothic" w:eastAsia="MS PGothic" w:hAnsi="MS PGothic"/>
                <w:sz w:val="18"/>
                <w:szCs w:val="18"/>
                <w:color w:val="auto"/>
                <w:w w:val="90"/>
              </w:rPr>
              <w:t>‑</w:t>
            </w:r>
            <w:r>
              <w:rPr>
                <w:rFonts w:ascii="Arial" w:cs="Arial" w:eastAsia="Arial" w:hAnsi="Arial"/>
                <w:sz w:val="18"/>
                <w:szCs w:val="18"/>
                <w:color w:val="auto"/>
                <w:w w:val="90"/>
              </w:rPr>
              <w:t>Q</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8/8/2016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0"/>
              </w:rPr>
              <w:t>10</w:t>
            </w:r>
            <w:r>
              <w:rPr>
                <w:rFonts w:ascii="MS PGothic" w:cs="MS PGothic" w:eastAsia="MS PGothic" w:hAnsi="MS PGothic"/>
                <w:sz w:val="18"/>
                <w:szCs w:val="18"/>
                <w:color w:val="auto"/>
                <w:w w:val="90"/>
              </w:rPr>
              <w:t>‑</w:t>
            </w:r>
            <w:r>
              <w:rPr>
                <w:rFonts w:ascii="Arial" w:cs="Arial" w:eastAsia="Arial" w:hAnsi="Arial"/>
                <w:sz w:val="18"/>
                <w:szCs w:val="18"/>
                <w:color w:val="auto"/>
                <w:w w:val="90"/>
              </w:rPr>
              <w:t>Q</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8/8/2016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8</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11/10/2016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8</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11/10/2016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8</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11/10/2016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8</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11/10/16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0"/>
              </w:rPr>
              <w:t>10</w:t>
            </w:r>
            <w:r>
              <w:rPr>
                <w:rFonts w:ascii="MS PGothic" w:cs="MS PGothic" w:eastAsia="MS PGothic" w:hAnsi="MS PGothic"/>
                <w:sz w:val="18"/>
                <w:szCs w:val="18"/>
                <w:color w:val="auto"/>
                <w:w w:val="90"/>
              </w:rPr>
              <w:t>‑</w:t>
            </w:r>
            <w:r>
              <w:rPr>
                <w:rFonts w:ascii="Arial" w:cs="Arial" w:eastAsia="Arial" w:hAnsi="Arial"/>
                <w:sz w:val="18"/>
                <w:szCs w:val="18"/>
                <w:color w:val="auto"/>
                <w:w w:val="90"/>
              </w:rPr>
              <w:t>Q</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11/7/2017</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5"/>
              </w:rPr>
              <w:t>10</w:t>
            </w:r>
            <w:r>
              <w:rPr>
                <w:rFonts w:ascii="MS PGothic" w:cs="MS PGothic" w:eastAsia="MS PGothic" w:hAnsi="MS PGothic"/>
                <w:sz w:val="18"/>
                <w:szCs w:val="18"/>
                <w:color w:val="auto"/>
                <w:w w:val="95"/>
              </w:rPr>
              <w:t>‑</w:t>
            </w:r>
            <w:r>
              <w:rPr>
                <w:rFonts w:ascii="Arial" w:cs="Arial" w:eastAsia="Arial" w:hAnsi="Arial"/>
                <w:sz w:val="18"/>
                <w:szCs w:val="18"/>
                <w:color w:val="auto"/>
                <w:w w:val="95"/>
              </w:rPr>
              <w:t>K</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3/14/2018</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5"/>
              </w:rPr>
              <w:t>10</w:t>
            </w:r>
            <w:r>
              <w:rPr>
                <w:rFonts w:ascii="MS PGothic" w:cs="MS PGothic" w:eastAsia="MS PGothic" w:hAnsi="MS PGothic"/>
                <w:sz w:val="18"/>
                <w:szCs w:val="18"/>
                <w:color w:val="auto"/>
                <w:w w:val="95"/>
              </w:rPr>
              <w:t>‑</w:t>
            </w:r>
            <w:r>
              <w:rPr>
                <w:rFonts w:ascii="Arial" w:cs="Arial" w:eastAsia="Arial" w:hAnsi="Arial"/>
                <w:sz w:val="18"/>
                <w:szCs w:val="18"/>
                <w:color w:val="auto"/>
                <w:w w:val="95"/>
              </w:rPr>
              <w:t>K</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3/14/2018</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5/8/2018</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5/8/2018</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8/7/2018</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740" w:space="140"/>
            <w:col w:w="3139"/>
          </w:cols>
          <w:pgMar w:left="1440" w:top="125" w:right="1440" w:bottom="1440" w:gutter="0" w:footer="0" w:header="0"/>
          <w:type w:val="continuous"/>
        </w:sectPr>
      </w:pPr>
    </w:p>
    <w:bookmarkStart w:id="123" w:name="page124"/>
    <w:bookmarkEnd w:id="1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Incorporated by Reference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23"/>
        </w:trPr>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4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3480" w:type="dxa"/>
            <w:vAlign w:val="bottom"/>
            <w:gridSpan w:val="15"/>
            <w:vMerge w:val="restart"/>
          </w:tcPr>
          <w:p>
            <w:pPr>
              <w:ind w:left="420"/>
              <w:spacing w:after="0"/>
              <w:rPr>
                <w:sz w:val="20"/>
                <w:szCs w:val="20"/>
                <w:color w:val="auto"/>
              </w:rPr>
            </w:pPr>
            <w:r>
              <w:rPr>
                <w:rFonts w:ascii="Arial" w:cs="Arial" w:eastAsia="Arial" w:hAnsi="Arial"/>
                <w:sz w:val="14"/>
                <w:szCs w:val="14"/>
                <w:b w:val="1"/>
                <w:bCs w:val="1"/>
                <w:color w:val="auto"/>
              </w:rPr>
              <w:t>Exhibit Description</w:t>
            </w:r>
          </w:p>
        </w:tc>
        <w:tc>
          <w:tcPr>
            <w:tcW w:w="7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42"/>
        </w:trPr>
        <w:tc>
          <w:tcPr>
            <w:tcW w:w="106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3480" w:type="dxa"/>
            <w:vAlign w:val="bottom"/>
            <w:gridSpan w:val="15"/>
            <w:vMerge w:val="continue"/>
          </w:tcPr>
          <w:p>
            <w:pPr>
              <w:spacing w:after="0"/>
              <w:rPr>
                <w:sz w:val="12"/>
                <w:szCs w:val="12"/>
                <w:color w:val="auto"/>
              </w:rPr>
            </w:pPr>
          </w:p>
        </w:tc>
        <w:tc>
          <w:tcPr>
            <w:tcW w:w="7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Form</w:t>
            </w:r>
          </w:p>
        </w:tc>
        <w:tc>
          <w:tcPr>
            <w:tcW w:w="9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Date</w:t>
            </w: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Number</w:t>
            </w:r>
          </w:p>
        </w:tc>
        <w:tc>
          <w:tcPr>
            <w:tcW w:w="1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10.27</w:t>
            </w:r>
          </w:p>
        </w:tc>
        <w:tc>
          <w:tcPr>
            <w:tcW w:w="140" w:type="dxa"/>
            <w:vAlign w:val="bottom"/>
          </w:tcPr>
          <w:p>
            <w:pPr>
              <w:spacing w:after="0"/>
              <w:rPr>
                <w:sz w:val="14"/>
                <w:szCs w:val="14"/>
                <w:color w:val="auto"/>
              </w:rPr>
            </w:pPr>
          </w:p>
        </w:tc>
        <w:tc>
          <w:tcPr>
            <w:tcW w:w="4640" w:type="dxa"/>
            <w:vAlign w:val="bottom"/>
            <w:tcBorders>
              <w:top w:val="single" w:sz="8" w:color="auto"/>
            </w:tcBorders>
            <w:gridSpan w:val="17"/>
          </w:tcPr>
          <w:p>
            <w:pPr>
              <w:spacing w:after="0" w:line="169" w:lineRule="exact"/>
              <w:rPr>
                <w:rFonts w:ascii="Arial" w:cs="Arial" w:eastAsia="Arial" w:hAnsi="Arial"/>
                <w:sz w:val="18"/>
                <w:szCs w:val="18"/>
                <w:color w:val="0000EE"/>
                <w:w w:val="93"/>
              </w:rPr>
            </w:pPr>
            <w:hyperlink r:id="rId184">
              <w:r>
                <w:rPr>
                  <w:rFonts w:ascii="Arial" w:cs="Arial" w:eastAsia="Arial" w:hAnsi="Arial"/>
                  <w:sz w:val="18"/>
                  <w:szCs w:val="18"/>
                  <w:color w:val="0000EE"/>
                  <w:w w:val="93"/>
                </w:rPr>
                <w:t>Exit Fee Agreement, dated May 16, 2018, by and between the</w:t>
              </w:r>
            </w:hyperlink>
          </w:p>
        </w:tc>
        <w:tc>
          <w:tcPr>
            <w:tcW w:w="140" w:type="dxa"/>
            <w:vAlign w:val="bottom"/>
          </w:tcPr>
          <w:p>
            <w:pPr>
              <w:spacing w:after="0"/>
              <w:rPr>
                <w:sz w:val="14"/>
                <w:szCs w:val="14"/>
                <w:color w:val="auto"/>
              </w:rPr>
            </w:pPr>
          </w:p>
        </w:tc>
        <w:tc>
          <w:tcPr>
            <w:tcW w:w="600" w:type="dxa"/>
            <w:vAlign w:val="bottom"/>
            <w:tcBorders>
              <w:top w:val="single" w:sz="8" w:color="auto"/>
            </w:tcBorders>
          </w:tcPr>
          <w:p>
            <w:pPr>
              <w:ind w:left="120"/>
              <w:spacing w:after="0" w:line="169" w:lineRule="exact"/>
              <w:rPr>
                <w:sz w:val="20"/>
                <w:szCs w:val="20"/>
                <w:color w:val="auto"/>
              </w:rPr>
            </w:pPr>
            <w:r>
              <w:rPr>
                <w:rFonts w:ascii="Arial" w:cs="Arial" w:eastAsia="Arial" w:hAnsi="Arial"/>
                <w:sz w:val="18"/>
                <w:szCs w:val="18"/>
                <w:color w:val="auto"/>
              </w:rPr>
              <w:t>10-Q</w:t>
            </w:r>
          </w:p>
        </w:tc>
        <w:tc>
          <w:tcPr>
            <w:tcW w:w="160" w:type="dxa"/>
            <w:vAlign w:val="bottom"/>
          </w:tcPr>
          <w:p>
            <w:pPr>
              <w:spacing w:after="0"/>
              <w:rPr>
                <w:sz w:val="14"/>
                <w:szCs w:val="14"/>
                <w:color w:val="auto"/>
              </w:rPr>
            </w:pPr>
          </w:p>
        </w:tc>
        <w:tc>
          <w:tcPr>
            <w:tcW w:w="8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8/7/2018</w:t>
            </w:r>
          </w:p>
        </w:tc>
        <w:tc>
          <w:tcPr>
            <w:tcW w:w="140" w:type="dxa"/>
            <w:vAlign w:val="bottom"/>
          </w:tcPr>
          <w:p>
            <w:pPr>
              <w:spacing w:after="0"/>
              <w:rPr>
                <w:sz w:val="14"/>
                <w:szCs w:val="14"/>
                <w:color w:val="auto"/>
              </w:rPr>
            </w:pPr>
          </w:p>
        </w:tc>
        <w:tc>
          <w:tcPr>
            <w:tcW w:w="6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Company and Solar Capital Ltd. and Western Alliance Bank.</w:t>
              </w:r>
            </w:hyperlink>
          </w:p>
        </w:tc>
        <w:tc>
          <w:tcPr>
            <w:tcW w:w="60" w:type="dxa"/>
            <w:vAlign w:val="bottom"/>
            <w:tcBorders>
              <w:top w:val="single" w:sz="8" w:color="0000EE"/>
            </w:tcBorders>
          </w:tcPr>
          <w:p>
            <w:pPr>
              <w:spacing w:after="0"/>
              <w:rPr>
                <w:sz w:val="17"/>
                <w:szCs w:val="17"/>
                <w:color w:val="auto"/>
              </w:rPr>
            </w:pPr>
          </w:p>
        </w:tc>
        <w:tc>
          <w:tcPr>
            <w:tcW w:w="32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21"/>
                <w:szCs w:val="21"/>
                <w:color w:val="auto"/>
              </w:rPr>
            </w:pPr>
          </w:p>
        </w:tc>
        <w:tc>
          <w:tcPr>
            <w:tcW w:w="4340" w:type="dxa"/>
            <w:vAlign w:val="bottom"/>
            <w:tcBorders>
              <w:bottom w:val="single" w:sz="8" w:color="0000EE"/>
            </w:tcBorders>
            <w:gridSpan w:val="11"/>
          </w:tcPr>
          <w:p>
            <w:pPr>
              <w:spacing w:after="0"/>
              <w:rPr>
                <w:rFonts w:ascii="Arial" w:cs="Arial" w:eastAsia="Arial" w:hAnsi="Arial"/>
                <w:sz w:val="18"/>
                <w:szCs w:val="18"/>
                <w:color w:val="0000EE"/>
                <w:w w:val="89"/>
              </w:rPr>
            </w:pPr>
            <w:hyperlink r:id="rId185">
              <w:r>
                <w:rPr>
                  <w:rFonts w:ascii="Arial" w:cs="Arial" w:eastAsia="Arial" w:hAnsi="Arial"/>
                  <w:sz w:val="18"/>
                  <w:szCs w:val="18"/>
                  <w:color w:val="0000EE"/>
                  <w:w w:val="89"/>
                </w:rPr>
                <w:t>Transition and Separation Agreement dated July 8, 2018, by</w:t>
              </w:r>
            </w:hyperlink>
          </w:p>
        </w:tc>
        <w:tc>
          <w:tcPr>
            <w:tcW w:w="440" w:type="dxa"/>
            <w:vAlign w:val="bottom"/>
            <w:gridSpan w:val="7"/>
          </w:tcPr>
          <w:p>
            <w:pPr>
              <w:spacing w:after="0"/>
              <w:rPr>
                <w:sz w:val="21"/>
                <w:szCs w:val="21"/>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10-Q</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8/7/2018</w:t>
            </w:r>
          </w:p>
        </w:tc>
        <w:tc>
          <w:tcPr>
            <w:tcW w:w="14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85">
              <w:r>
                <w:rPr>
                  <w:rFonts w:ascii="Arial" w:cs="Arial" w:eastAsia="Arial" w:hAnsi="Arial"/>
                  <w:sz w:val="18"/>
                  <w:szCs w:val="18"/>
                  <w:color w:val="0000EE"/>
                  <w:w w:val="89"/>
                </w:rPr>
                <w:t>and between the Company and Reginald Seeto, MBBS.</w:t>
              </w:r>
            </w:hyperlink>
          </w:p>
        </w:tc>
        <w:tc>
          <w:tcPr>
            <w:tcW w:w="780" w:type="dxa"/>
            <w:vAlign w:val="bottom"/>
            <w:gridSpan w:val="13"/>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1"/>
                <w:szCs w:val="21"/>
                <w:color w:val="auto"/>
              </w:rPr>
            </w:pPr>
          </w:p>
        </w:tc>
        <w:tc>
          <w:tcPr>
            <w:tcW w:w="4780" w:type="dxa"/>
            <w:vAlign w:val="bottom"/>
            <w:gridSpan w:val="18"/>
          </w:tcPr>
          <w:p>
            <w:pPr>
              <w:spacing w:after="0"/>
              <w:rPr>
                <w:rFonts w:ascii="Arial" w:cs="Arial" w:eastAsia="Arial" w:hAnsi="Arial"/>
                <w:sz w:val="18"/>
                <w:szCs w:val="18"/>
                <w:color w:val="0000EE"/>
                <w:w w:val="94"/>
              </w:rPr>
            </w:pPr>
            <w:hyperlink r:id="rId186">
              <w:r>
                <w:rPr>
                  <w:rFonts w:ascii="Arial" w:cs="Arial" w:eastAsia="Arial" w:hAnsi="Arial"/>
                  <w:sz w:val="18"/>
                  <w:szCs w:val="18"/>
                  <w:color w:val="0000EE"/>
                  <w:w w:val="94"/>
                </w:rPr>
                <w:t>Amended and Restated Non-Employee Director Compensation</w:t>
              </w:r>
            </w:hyperlink>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10-Q</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5/7/2019</w:t>
            </w:r>
          </w:p>
        </w:tc>
        <w:tc>
          <w:tcPr>
            <w:tcW w:w="14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Program.</w:t>
              </w:r>
            </w:hyperlink>
          </w:p>
        </w:tc>
        <w:tc>
          <w:tcPr>
            <w:tcW w:w="24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1"/>
                <w:szCs w:val="21"/>
                <w:color w:val="auto"/>
              </w:rPr>
            </w:pPr>
          </w:p>
        </w:tc>
        <w:tc>
          <w:tcPr>
            <w:tcW w:w="4780" w:type="dxa"/>
            <w:vAlign w:val="bottom"/>
            <w:gridSpan w:val="18"/>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Transition and Separation Agreement dated November 25,</w:t>
              </w:r>
            </w:hyperlink>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131">
              <w:r>
                <w:rPr>
                  <w:rFonts w:ascii="Arial" w:cs="Arial" w:eastAsia="Arial" w:hAnsi="Arial"/>
                  <w:sz w:val="18"/>
                  <w:szCs w:val="18"/>
                  <w:color w:val="0000EE"/>
                  <w:w w:val="90"/>
                </w:rPr>
                <w:t>2019, by and between the Company and Mark Kaufmann.</w:t>
              </w:r>
            </w:hyperlink>
          </w:p>
        </w:tc>
        <w:tc>
          <w:tcPr>
            <w:tcW w:w="20" w:type="dxa"/>
            <w:vAlign w:val="bottom"/>
            <w:tcBorders>
              <w:top w:val="single" w:sz="8" w:color="0000EE"/>
            </w:tcBorders>
          </w:tcPr>
          <w:p>
            <w:pPr>
              <w:spacing w:after="0"/>
              <w:rPr>
                <w:sz w:val="17"/>
                <w:szCs w:val="17"/>
                <w:color w:val="auto"/>
              </w:rPr>
            </w:pPr>
          </w:p>
        </w:tc>
        <w:tc>
          <w:tcPr>
            <w:tcW w:w="58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1"/>
                <w:szCs w:val="21"/>
                <w:color w:val="auto"/>
              </w:rPr>
            </w:pPr>
          </w:p>
        </w:tc>
        <w:tc>
          <w:tcPr>
            <w:tcW w:w="4780" w:type="dxa"/>
            <w:vAlign w:val="bottom"/>
            <w:gridSpan w:val="18"/>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Subsidiaries of the Registrant</w:t>
              </w:r>
            </w:hyperlink>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1"/>
                <w:szCs w:val="21"/>
                <w:color w:val="auto"/>
              </w:rPr>
            </w:pPr>
          </w:p>
        </w:tc>
        <w:tc>
          <w:tcPr>
            <w:tcW w:w="43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41">
              <w:r>
                <w:rPr>
                  <w:rFonts w:ascii="Arial" w:cs="Arial" w:eastAsia="Arial" w:hAnsi="Arial"/>
                  <w:sz w:val="18"/>
                  <w:szCs w:val="18"/>
                  <w:color w:val="0000EE"/>
                  <w:w w:val="90"/>
                </w:rPr>
                <w:t>Consent of Independent Registered Public Accounting Firm</w:t>
              </w:r>
            </w:hyperlink>
          </w:p>
        </w:tc>
        <w:tc>
          <w:tcPr>
            <w:tcW w:w="460" w:type="dxa"/>
            <w:vAlign w:val="bottom"/>
            <w:gridSpan w:val="8"/>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1"/>
                <w:szCs w:val="21"/>
                <w:color w:val="auto"/>
              </w:rPr>
            </w:pPr>
          </w:p>
        </w:tc>
        <w:tc>
          <w:tcPr>
            <w:tcW w:w="4780" w:type="dxa"/>
            <w:vAlign w:val="bottom"/>
            <w:gridSpan w:val="18"/>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Certification of Principal Executive Officer Required Under</w:t>
              </w:r>
            </w:hyperlink>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42">
              <w:r>
                <w:rPr>
                  <w:rFonts w:ascii="Arial" w:cs="Arial" w:eastAsia="Arial" w:hAnsi="Arial"/>
                  <w:sz w:val="18"/>
                  <w:szCs w:val="18"/>
                  <w:color w:val="0000EE"/>
                  <w:w w:val="90"/>
                </w:rPr>
                <w:t>Rule 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and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of the Securities Exchange Act of</w:t>
              </w:r>
            </w:hyperlink>
          </w:p>
        </w:tc>
        <w:tc>
          <w:tcPr>
            <w:tcW w:w="16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42">
              <w:r>
                <w:rPr>
                  <w:rFonts w:ascii="Arial" w:cs="Arial" w:eastAsia="Arial" w:hAnsi="Arial"/>
                  <w:sz w:val="18"/>
                  <w:szCs w:val="18"/>
                  <w:color w:val="0000EE"/>
                  <w:w w:val="85"/>
                </w:rPr>
                <w:t>1934, as amended</w:t>
              </w:r>
            </w:hyperlink>
          </w:p>
        </w:tc>
        <w:tc>
          <w:tcPr>
            <w:tcW w:w="3480" w:type="dxa"/>
            <w:vAlign w:val="bottom"/>
            <w:gridSpan w:val="15"/>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1"/>
                <w:szCs w:val="21"/>
                <w:color w:val="auto"/>
              </w:rPr>
            </w:pPr>
          </w:p>
        </w:tc>
        <w:tc>
          <w:tcPr>
            <w:tcW w:w="432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143">
              <w:r>
                <w:rPr>
                  <w:rFonts w:ascii="Arial" w:cs="Arial" w:eastAsia="Arial" w:hAnsi="Arial"/>
                  <w:sz w:val="18"/>
                  <w:szCs w:val="18"/>
                  <w:color w:val="0000EE"/>
                  <w:w w:val="93"/>
                </w:rPr>
                <w:t>Certification of Principal Financial Officer Required Under</w:t>
              </w:r>
            </w:hyperlink>
          </w:p>
        </w:tc>
        <w:tc>
          <w:tcPr>
            <w:tcW w:w="460" w:type="dxa"/>
            <w:vAlign w:val="bottom"/>
            <w:gridSpan w:val="8"/>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Rule 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and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of the Securities Exchange Act of</w:t>
              </w:r>
            </w:hyperlink>
          </w:p>
        </w:tc>
        <w:tc>
          <w:tcPr>
            <w:tcW w:w="16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43">
              <w:r>
                <w:rPr>
                  <w:rFonts w:ascii="Arial" w:cs="Arial" w:eastAsia="Arial" w:hAnsi="Arial"/>
                  <w:sz w:val="18"/>
                  <w:szCs w:val="18"/>
                  <w:color w:val="0000EE"/>
                  <w:w w:val="85"/>
                </w:rPr>
                <w:t>1934, as amended</w:t>
              </w:r>
            </w:hyperlink>
          </w:p>
        </w:tc>
        <w:tc>
          <w:tcPr>
            <w:tcW w:w="3480" w:type="dxa"/>
            <w:vAlign w:val="bottom"/>
            <w:gridSpan w:val="15"/>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1"/>
                <w:szCs w:val="21"/>
                <w:color w:val="auto"/>
              </w:rPr>
            </w:pPr>
          </w:p>
        </w:tc>
        <w:tc>
          <w:tcPr>
            <w:tcW w:w="4780" w:type="dxa"/>
            <w:vAlign w:val="bottom"/>
            <w:gridSpan w:val="18"/>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Certification of Principal Executive Officer and Principal</w:t>
              </w:r>
            </w:hyperlink>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44">
              <w:r>
                <w:rPr>
                  <w:rFonts w:ascii="Arial" w:cs="Arial" w:eastAsia="Arial" w:hAnsi="Arial"/>
                  <w:sz w:val="18"/>
                  <w:szCs w:val="18"/>
                  <w:color w:val="0000EE"/>
                  <w:w w:val="92"/>
                </w:rPr>
                <w:t>Financial Officer Required Under Rule 13a</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14(b) of the</w:t>
              </w:r>
            </w:hyperlink>
          </w:p>
        </w:tc>
        <w:tc>
          <w:tcPr>
            <w:tcW w:w="80" w:type="dxa"/>
            <w:vAlign w:val="bottom"/>
            <w:tcBorders>
              <w:top w:val="single" w:sz="8" w:color="0000EE"/>
            </w:tcBorders>
          </w:tcPr>
          <w:p>
            <w:pPr>
              <w:spacing w:after="0"/>
              <w:rPr>
                <w:sz w:val="17"/>
                <w:szCs w:val="17"/>
                <w:color w:val="auto"/>
              </w:rPr>
            </w:pPr>
          </w:p>
        </w:tc>
        <w:tc>
          <w:tcPr>
            <w:tcW w:w="660" w:type="dxa"/>
            <w:vAlign w:val="bottom"/>
            <w:gridSpan w:val="11"/>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18"/>
          </w:tcPr>
          <w:p>
            <w:pPr>
              <w:spacing w:after="0" w:line="196" w:lineRule="exact"/>
              <w:rPr>
                <w:rFonts w:ascii="Arial" w:cs="Arial" w:eastAsia="Arial" w:hAnsi="Arial"/>
                <w:sz w:val="18"/>
                <w:szCs w:val="18"/>
                <w:color w:val="0000EE"/>
                <w:w w:val="97"/>
              </w:rPr>
            </w:pPr>
            <w:hyperlink w:anchor="page144">
              <w:r>
                <w:rPr>
                  <w:rFonts w:ascii="Arial" w:cs="Arial" w:eastAsia="Arial" w:hAnsi="Arial"/>
                  <w:sz w:val="18"/>
                  <w:szCs w:val="18"/>
                  <w:color w:val="0000EE"/>
                  <w:w w:val="97"/>
                </w:rPr>
                <w:t>Securities Exchange Act of 1934, as amended, and 18 U.S.C</w:t>
              </w:r>
            </w:hyperlink>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144">
              <w:r>
                <w:rPr>
                  <w:rFonts w:ascii="Arial" w:cs="Arial" w:eastAsia="Arial" w:hAnsi="Arial"/>
                  <w:sz w:val="18"/>
                  <w:szCs w:val="18"/>
                  <w:color w:val="0000EE"/>
                  <w:w w:val="87"/>
                </w:rPr>
                <w:t>§1350</w:t>
              </w:r>
            </w:hyperlink>
          </w:p>
        </w:tc>
        <w:tc>
          <w:tcPr>
            <w:tcW w:w="2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78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78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780" w:type="dxa"/>
            <w:vAlign w:val="bottom"/>
            <w:gridSpan w:val="18"/>
          </w:tcPr>
          <w:p>
            <w:pPr>
              <w:spacing w:after="0"/>
              <w:rPr>
                <w:sz w:val="20"/>
                <w:szCs w:val="20"/>
                <w:color w:val="auto"/>
              </w:rPr>
            </w:pPr>
            <w:r>
              <w:rPr>
                <w:rFonts w:ascii="Arial" w:cs="Arial" w:eastAsia="Arial" w:hAnsi="Arial"/>
                <w:sz w:val="18"/>
                <w:szCs w:val="18"/>
                <w:color w:val="auto"/>
                <w:w w:val="99"/>
              </w:rPr>
              <w:t>XBRL Taxonomy Extension Calculation Linkbase Document</w:t>
            </w: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78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78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 Document</w:t>
            </w: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780" w:type="dxa"/>
            <w:vAlign w:val="bottom"/>
            <w:gridSpan w:val="18"/>
          </w:tcPr>
          <w:p>
            <w:pPr>
              <w:spacing w:after="0"/>
              <w:rPr>
                <w:sz w:val="20"/>
                <w:szCs w:val="20"/>
                <w:color w:val="auto"/>
              </w:rPr>
            </w:pPr>
            <w:r>
              <w:rPr>
                <w:rFonts w:ascii="Arial" w:cs="Arial" w:eastAsia="Arial" w:hAnsi="Arial"/>
                <w:sz w:val="18"/>
                <w:szCs w:val="18"/>
                <w:color w:val="auto"/>
                <w:w w:val="97"/>
              </w:rPr>
              <w:t>XBRL Taxonomy Extension Presentation Linkbase Document</w:t>
            </w: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102870</wp:posOffset>
            </wp:positionV>
            <wp:extent cx="14141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49" w:lineRule="exact"/>
        <w:rPr>
          <w:sz w:val="20"/>
          <w:szCs w:val="20"/>
          <w:color w:val="auto"/>
        </w:rPr>
      </w:pPr>
    </w:p>
    <w:p>
      <w:pPr>
        <w:ind w:left="360" w:right="619" w:hanging="316"/>
        <w:spacing w:after="0" w:line="277" w:lineRule="auto"/>
        <w:tabs>
          <w:tab w:leader="none" w:pos="342"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Confidential treatment granted as to portions of this Exhibit. The confidential portions of this Exhibit have been omitted and are marked by asterisks.</w:t>
      </w:r>
    </w:p>
    <w:p>
      <w:pPr>
        <w:spacing w:after="0" w:line="170" w:lineRule="exact"/>
        <w:rPr>
          <w:sz w:val="20"/>
          <w:szCs w:val="20"/>
          <w:color w:val="auto"/>
        </w:rPr>
      </w:pPr>
    </w:p>
    <w:p>
      <w:pPr>
        <w:ind w:left="360" w:right="259" w:hanging="316"/>
        <w:spacing w:after="0" w:line="277" w:lineRule="auto"/>
        <w:tabs>
          <w:tab w:leader="none" w:pos="4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Securities and Exchange Commission.</w:t>
      </w:r>
    </w:p>
    <w:p>
      <w:pPr>
        <w:spacing w:after="0" w:line="170" w:lineRule="exact"/>
        <w:rPr>
          <w:sz w:val="20"/>
          <w:szCs w:val="20"/>
          <w:color w:val="auto"/>
        </w:rPr>
      </w:pPr>
    </w:p>
    <w:p>
      <w:pPr>
        <w:ind w:left="360" w:hanging="316"/>
        <w:spacing w:after="0"/>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4" w:name="page125"/>
    <w:bookmarkEnd w:id="1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Ardelyx, Inc.</w:t>
      </w:r>
    </w:p>
    <w:p>
      <w:pPr>
        <w:spacing w:after="0" w:line="229" w:lineRule="exact"/>
        <w:rPr>
          <w:sz w:val="20"/>
          <w:szCs w:val="20"/>
          <w:color w:val="auto"/>
        </w:rPr>
      </w:pPr>
    </w:p>
    <w:p>
      <w:pPr>
        <w:ind w:left="40"/>
        <w:spacing w:after="0"/>
        <w:tabs>
          <w:tab w:leader="none" w:pos="4720" w:val="left"/>
        </w:tabs>
        <w:rPr>
          <w:sz w:val="20"/>
          <w:szCs w:val="20"/>
          <w:color w:val="auto"/>
        </w:rPr>
      </w:pPr>
      <w:r>
        <w:rPr>
          <w:rFonts w:ascii="Arial" w:cs="Arial" w:eastAsia="Arial" w:hAnsi="Arial"/>
          <w:sz w:val="18"/>
          <w:szCs w:val="18"/>
          <w:color w:val="auto"/>
        </w:rPr>
        <w:t>Date: March 6, 2020</w:t>
      </w:r>
      <w:r>
        <w:rPr>
          <w:sz w:val="20"/>
          <w:szCs w:val="20"/>
          <w:color w:val="auto"/>
        </w:rPr>
        <w:tab/>
      </w:r>
      <w:r>
        <w:rPr>
          <w:rFonts w:ascii="Arial" w:cs="Arial" w:eastAsia="Arial" w:hAnsi="Arial"/>
          <w:sz w:val="16"/>
          <w:szCs w:val="16"/>
          <w:color w:val="auto"/>
        </w:rPr>
        <w:t>By:/s/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5031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Michael Raab</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President Chief Executive Officer and Director</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Executive Officer)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40" w:right="119" w:firstLine="648"/>
        <w:spacing w:after="0" w:line="218" w:lineRule="exact"/>
        <w:rPr>
          <w:sz w:val="20"/>
          <w:szCs w:val="20"/>
          <w:color w:val="auto"/>
        </w:rPr>
      </w:pPr>
      <w:r>
        <w:rPr>
          <w:rFonts w:ascii="Arial" w:cs="Arial" w:eastAsia="Arial" w:hAnsi="Arial"/>
          <w:sz w:val="16"/>
          <w:szCs w:val="16"/>
          <w:color w:val="auto"/>
        </w:rPr>
        <w:t>Each person whose individual signature appears below hereby authorizes and appoints Michael Raab and Mark Kaufmann,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5" w:name="page126"/>
    <w:bookmarkEnd w:id="1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80" w:type="dxa"/>
            <w:vAlign w:val="bottom"/>
          </w:tcPr>
          <w:p>
            <w:pPr>
              <w:spacing w:after="0"/>
              <w:rPr>
                <w:sz w:val="14"/>
                <w:szCs w:val="14"/>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5"/>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Raab</w:t>
            </w:r>
          </w:p>
        </w:tc>
        <w:tc>
          <w:tcPr>
            <w:tcW w:w="180" w:type="dxa"/>
            <w:vAlign w:val="bottom"/>
          </w:tcPr>
          <w:p>
            <w:pPr>
              <w:spacing w:after="0"/>
              <w:rPr>
                <w:sz w:val="24"/>
                <w:szCs w:val="24"/>
                <w:color w:val="auto"/>
              </w:rPr>
            </w:pPr>
          </w:p>
        </w:tc>
        <w:tc>
          <w:tcPr>
            <w:tcW w:w="39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President, Chief Executive Officer and 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6, 2020</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0"/>
              </w:rPr>
              <w:t>Michael Raab</w:t>
            </w:r>
          </w:p>
        </w:tc>
        <w:tc>
          <w:tcPr>
            <w:tcW w:w="180" w:type="dxa"/>
            <w:vAlign w:val="bottom"/>
          </w:tcPr>
          <w:p>
            <w:pPr>
              <w:spacing w:after="0"/>
              <w:rPr>
                <w:sz w:val="19"/>
                <w:szCs w:val="19"/>
                <w:color w:val="auto"/>
              </w:rPr>
            </w:pPr>
          </w:p>
        </w:tc>
        <w:tc>
          <w:tcPr>
            <w:tcW w:w="398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4"/>
              </w:rPr>
              <w:t>(Principal Executive Officer)</w:t>
            </w: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Mark Kaufmann</w:t>
            </w:r>
          </w:p>
        </w:tc>
        <w:tc>
          <w:tcPr>
            <w:tcW w:w="180" w:type="dxa"/>
            <w:vAlign w:val="bottom"/>
          </w:tcPr>
          <w:p>
            <w:pPr>
              <w:spacing w:after="0"/>
              <w:rPr>
                <w:sz w:val="24"/>
                <w:szCs w:val="24"/>
                <w:color w:val="auto"/>
              </w:rPr>
            </w:pPr>
          </w:p>
        </w:tc>
        <w:tc>
          <w:tcPr>
            <w:tcW w:w="39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Chief Financial Officer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6, 2020</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4"/>
              </w:rPr>
              <w:t>Mark Kaufmann</w:t>
            </w:r>
          </w:p>
        </w:tc>
        <w:tc>
          <w:tcPr>
            <w:tcW w:w="180" w:type="dxa"/>
            <w:vAlign w:val="bottom"/>
          </w:tcPr>
          <w:p>
            <w:pPr>
              <w:spacing w:after="0"/>
              <w:rPr>
                <w:sz w:val="19"/>
                <w:szCs w:val="19"/>
                <w:color w:val="auto"/>
              </w:rPr>
            </w:pPr>
          </w:p>
        </w:tc>
        <w:tc>
          <w:tcPr>
            <w:tcW w:w="398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4"/>
              </w:rPr>
              <w:t>(Principal Financial and Accounting Officer)</w:t>
            </w: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Mott</w:t>
            </w:r>
          </w:p>
        </w:tc>
        <w:tc>
          <w:tcPr>
            <w:tcW w:w="180" w:type="dxa"/>
            <w:vAlign w:val="bottom"/>
          </w:tcPr>
          <w:p>
            <w:pPr>
              <w:spacing w:after="0"/>
              <w:rPr>
                <w:sz w:val="24"/>
                <w:szCs w:val="24"/>
                <w:color w:val="auto"/>
              </w:rPr>
            </w:pPr>
          </w:p>
        </w:tc>
        <w:tc>
          <w:tcPr>
            <w:tcW w:w="39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Chairman of the Board of Directors</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6, 2020</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7"/>
              </w:rPr>
              <w:t>David Mott</w:t>
            </w:r>
          </w:p>
        </w:tc>
        <w:tc>
          <w:tcPr>
            <w:tcW w:w="1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Bazemore</w:t>
            </w:r>
          </w:p>
        </w:tc>
        <w:tc>
          <w:tcPr>
            <w:tcW w:w="18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6, 2020</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89"/>
              </w:rPr>
              <w:t>Robert Bazemore</w:t>
            </w:r>
          </w:p>
        </w:tc>
        <w:tc>
          <w:tcPr>
            <w:tcW w:w="1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William Bertrand, Jr.</w:t>
            </w:r>
          </w:p>
        </w:tc>
        <w:tc>
          <w:tcPr>
            <w:tcW w:w="18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6, 2020</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2"/>
              </w:rPr>
              <w:t>William Bertrand, Jr.</w:t>
            </w:r>
          </w:p>
        </w:tc>
        <w:tc>
          <w:tcPr>
            <w:tcW w:w="1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Geoffrey A. Block</w:t>
            </w:r>
          </w:p>
        </w:tc>
        <w:tc>
          <w:tcPr>
            <w:tcW w:w="18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6, 2020</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6"/>
              </w:rPr>
              <w:t>Geoffrey A. Block, M.D.</w:t>
            </w:r>
          </w:p>
        </w:tc>
        <w:tc>
          <w:tcPr>
            <w:tcW w:w="1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Annalisa Jenkins</w:t>
            </w:r>
          </w:p>
        </w:tc>
        <w:tc>
          <w:tcPr>
            <w:tcW w:w="18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6, 2020</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1"/>
              </w:rPr>
              <w:t>Annalisa Jenkins, MBBS, FRCP</w:t>
            </w:r>
          </w:p>
        </w:tc>
        <w:tc>
          <w:tcPr>
            <w:tcW w:w="1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Jan M. Lundberg</w:t>
            </w:r>
          </w:p>
        </w:tc>
        <w:tc>
          <w:tcPr>
            <w:tcW w:w="18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6, 2020</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1"/>
              </w:rPr>
              <w:t>Jan M. Lundberg, Ph.D.</w:t>
            </w:r>
          </w:p>
        </w:tc>
        <w:tc>
          <w:tcPr>
            <w:tcW w:w="1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Gordon Ringold</w:t>
            </w:r>
          </w:p>
        </w:tc>
        <w:tc>
          <w:tcPr>
            <w:tcW w:w="18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6, 2020</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2"/>
              </w:rPr>
              <w:t>Gordon Ringold, Ph.D.</w:t>
            </w:r>
          </w:p>
        </w:tc>
        <w:tc>
          <w:tcPr>
            <w:tcW w:w="1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Richard Rodgers</w:t>
            </w:r>
          </w:p>
        </w:tc>
        <w:tc>
          <w:tcPr>
            <w:tcW w:w="18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6, 2020</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0"/>
              </w:rPr>
              <w:t>Richard Rodgers</w:t>
            </w:r>
          </w:p>
        </w:tc>
        <w:tc>
          <w:tcPr>
            <w:tcW w:w="1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2019, Ardelyx, Inc. (“we,” “us,” or “our”) had one class of securities registered under Section 12 of the Securities Exchange Act of 1934, as amended: our common stock, $0.0001 par value per share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following summary describes our capital stock and does not purport to be complete. It is subject to and qualified in its entirety by reference to the material provisions of our amended and restated certificate of incorporation and our amended and restated bylaws, each of which are incorporated by reference as an exhibit to the Annual Report on Form 10-K of which this Exhibit 4.4 is a part, as well as of the Delaware General Corporation Law. For a complete description, we encourage you to read amended and restated certificate of incorporation, our amended and restated bylaws and the applicable provisions of the Delaware General Corporation Law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amended and restated certificate of incorporation authorizes 300,000,000 shares of common stock, $0.0001 par value per share, and 5,000,000 shares of preferred stock, $0.0001 par value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will be,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Preferred Stock – Limitations on Rights of Holders of Common Stock</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14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Some provisions of Delaware law and our amended and restated certificate of incorporation and our amended and restated bylaws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3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 takeover effect with respect to transactions not approved in advance by the board of directors, such as discouraging takeover attempts that might result in a premium over the market price of our common stock.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9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8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8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certificate of incorporation eliminates the right of stockholders to act by written consent without a meeting.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is divided into three classes. The directors in each class will serve for a three-year term, one class being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8" w:name="page129"/>
    <w:bookmarkEnd w:id="128"/>
    <w:p>
      <w:pPr>
        <w:ind w:right="60"/>
        <w:spacing w:after="0" w:line="270" w:lineRule="auto"/>
        <w:rPr>
          <w:sz w:val="20"/>
          <w:szCs w:val="20"/>
          <w:color w:val="auto"/>
        </w:rPr>
      </w:pPr>
      <w:r>
        <w:rPr>
          <w:rFonts w:ascii="Arial" w:cs="Arial" w:eastAsia="Arial" w:hAnsi="Arial"/>
          <w:sz w:val="17"/>
          <w:szCs w:val="17"/>
          <w:color w:val="auto"/>
        </w:rPr>
        <w:t>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at least a 66 2/3% stockholder vote. Furthermore, any vacancy on our board of directors, however occurring, including a vacancy resulting from an increase in the size of our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exclusive forum for any derivative action or proceeding brought on our behalf; any action asserting a breach of fiduciary duty, or other wrongdoing by, any of our directors, officers, employees or stockholders; any action asserting a claim against us or any of our directors, officers or employees arising pursuant to the Delaware General Corporation Law, our amended and restated certificate of incorporation or our amended and restated bylaws; any action to interpret, apply, enforce or determine the validity of our amended and restated certificate of incorporation or our amended and restated bylaws; or any action asserting a claim against us or any of our directors, officers or employees that is governed by the internal affairs doctrine.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8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amendment of any of the above provisions, except for the provision making it possible for our board of directors to issue preferred stock, would require approval by holders of at least 66 2/3% of the voting power of our then outstanding voting stock.</w:t>
      </w:r>
    </w:p>
    <w:p>
      <w:pPr>
        <w:spacing w:after="0" w:line="119"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8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Our amended and restated certificate of incorporation contains provisions that limit the liability of our directors for monetary damages for breach of fiduciary duty as a director to the fullest extent permitted by Delaware law. Consequently, our directors will not be personally liable to us or our stockholders for monetary damages for any breach of fiduciary duties as directors, except liability for:</w:t>
      </w:r>
    </w:p>
    <w:p>
      <w:pPr>
        <w:spacing w:after="0" w:line="1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any breach of the director’s duty of loyalty to us or our stockholders;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85" w:lineRule="exact"/>
        <w:rPr>
          <w:sz w:val="20"/>
          <w:szCs w:val="20"/>
          <w:color w:val="auto"/>
        </w:rPr>
      </w:pPr>
    </w:p>
    <w:p>
      <w:pPr>
        <w:ind w:left="980" w:right="120" w:firstLine="9"/>
        <w:spacing w:after="0" w:line="277" w:lineRule="auto"/>
        <w:rPr>
          <w:sz w:val="20"/>
          <w:szCs w:val="20"/>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any transaction from which the director derived an improper personal benefit.</w:t>
      </w:r>
    </w:p>
    <w:p>
      <w:pPr>
        <w:spacing w:after="0" w:line="18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2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314325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settlement and damage.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Global Market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“ARDX.”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79"/>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231F20"/>
        </w:rPr>
        <w:t>Exhibit 10.30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TRANSITION AND SEPARATION AGREEMENT</w:t>
      </w:r>
    </w:p>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This Transition and Separation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by and between Mark Kaufmann (“</w:t>
      </w:r>
      <w:r>
        <w:rPr>
          <w:rFonts w:ascii="Arial" w:cs="Arial" w:eastAsia="Arial" w:hAnsi="Arial"/>
          <w:sz w:val="16"/>
          <w:szCs w:val="16"/>
          <w:u w:val="single" w:color="auto"/>
          <w:color w:val="auto"/>
        </w:rPr>
        <w:t>Executive</w:t>
      </w:r>
      <w:r>
        <w:rPr>
          <w:rFonts w:ascii="Arial" w:cs="Arial" w:eastAsia="Arial" w:hAnsi="Arial"/>
          <w:sz w:val="16"/>
          <w:szCs w:val="16"/>
          <w:color w:val="auto"/>
        </w:rPr>
        <w:t>”) and Ardelyx, Inc. (the “</w:t>
      </w:r>
      <w:r>
        <w:rPr>
          <w:rFonts w:ascii="Arial" w:cs="Arial" w:eastAsia="Arial" w:hAnsi="Arial"/>
          <w:sz w:val="16"/>
          <w:szCs w:val="16"/>
          <w:u w:val="single" w:color="auto"/>
          <w:color w:val="auto"/>
        </w:rPr>
        <w:t>Company</w:t>
      </w:r>
      <w:r>
        <w:rPr>
          <w:rFonts w:ascii="Arial" w:cs="Arial" w:eastAsia="Arial" w:hAnsi="Arial"/>
          <w:sz w:val="16"/>
          <w:szCs w:val="16"/>
          <w:color w:val="auto"/>
        </w:rPr>
        <w:t>”), is made effective as of the date Executive signs this Agreement (the “</w:t>
      </w:r>
      <w:r>
        <w:rPr>
          <w:rFonts w:ascii="Arial" w:cs="Arial" w:eastAsia="Arial" w:hAnsi="Arial"/>
          <w:sz w:val="16"/>
          <w:szCs w:val="16"/>
          <w:u w:val="single" w:color="auto"/>
          <w:color w:val="auto"/>
        </w:rPr>
        <w:t>Effective Date</w:t>
      </w:r>
      <w:r>
        <w:rPr>
          <w:rFonts w:ascii="Arial" w:cs="Arial" w:eastAsia="Arial" w:hAnsi="Arial"/>
          <w:sz w:val="16"/>
          <w:szCs w:val="16"/>
          <w:color w:val="auto"/>
        </w:rPr>
        <w:t>”) with reference to the following facts: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Executive currently serves as the Company’s Chief Financial Officer.</w:t>
      </w:r>
    </w:p>
    <w:p>
      <w:pPr>
        <w:spacing w:after="0" w:line="225" w:lineRule="exact"/>
        <w:rPr>
          <w:sz w:val="20"/>
          <w:szCs w:val="20"/>
          <w:color w:val="auto"/>
        </w:rPr>
      </w:pPr>
    </w:p>
    <w:p>
      <w:pPr>
        <w:jc w:val="both"/>
        <w:ind w:right="180" w:firstLine="972"/>
        <w:spacing w:after="0" w:line="286" w:lineRule="auto"/>
        <w:rPr>
          <w:sz w:val="20"/>
          <w:szCs w:val="20"/>
          <w:color w:val="auto"/>
        </w:rPr>
      </w:pPr>
      <w:r>
        <w:rPr>
          <w:rFonts w:ascii="Arial" w:cs="Arial" w:eastAsia="Arial" w:hAnsi="Arial"/>
          <w:sz w:val="17"/>
          <w:szCs w:val="17"/>
          <w:color w:val="auto"/>
        </w:rPr>
        <w:t>B. Executive and the Company entered into an Amended and Restated Change in Control Severance Agreement effective as of June 6, 2014 (the “</w:t>
      </w:r>
      <w:r>
        <w:rPr>
          <w:rFonts w:ascii="Arial" w:cs="Arial" w:eastAsia="Arial" w:hAnsi="Arial"/>
          <w:sz w:val="17"/>
          <w:szCs w:val="17"/>
          <w:u w:val="single" w:color="auto"/>
          <w:color w:val="auto"/>
        </w:rPr>
        <w:t>Severance Agreement</w:t>
      </w:r>
      <w:r>
        <w:rPr>
          <w:rFonts w:ascii="Arial" w:cs="Arial" w:eastAsia="Arial" w:hAnsi="Arial"/>
          <w:sz w:val="17"/>
          <w:szCs w:val="17"/>
          <w:color w:val="auto"/>
        </w:rPr>
        <w:t>”) pursuant to which Executive is eligible for certain severance benefits in the event of a covered termination and Executive’s satisfaction of certain continuing obligations to the Company.</w:t>
      </w:r>
    </w:p>
    <w:p>
      <w:pPr>
        <w:spacing w:after="0" w:line="165" w:lineRule="exact"/>
        <w:rPr>
          <w:sz w:val="20"/>
          <w:szCs w:val="20"/>
          <w:color w:val="auto"/>
        </w:rPr>
      </w:pPr>
    </w:p>
    <w:p>
      <w:pPr>
        <w:ind w:right="300" w:firstLine="972"/>
        <w:spacing w:after="0" w:line="277" w:lineRule="auto"/>
        <w:rPr>
          <w:sz w:val="20"/>
          <w:szCs w:val="20"/>
          <w:color w:val="auto"/>
        </w:rPr>
      </w:pPr>
      <w:r>
        <w:rPr>
          <w:rFonts w:ascii="Arial" w:cs="Arial" w:eastAsia="Arial" w:hAnsi="Arial"/>
          <w:sz w:val="18"/>
          <w:szCs w:val="18"/>
          <w:color w:val="auto"/>
        </w:rPr>
        <w:t>C. Executive’s employment with the Company and status as an officer and employee of the Company, will end effective upon the Resignation Date (as defined below).</w:t>
      </w:r>
    </w:p>
    <w:p>
      <w:pPr>
        <w:spacing w:after="0" w:line="170" w:lineRule="exact"/>
        <w:rPr>
          <w:sz w:val="20"/>
          <w:szCs w:val="20"/>
          <w:color w:val="auto"/>
        </w:rPr>
      </w:pPr>
    </w:p>
    <w:p>
      <w:pPr>
        <w:ind w:right="240" w:firstLine="972"/>
        <w:spacing w:after="0" w:line="277" w:lineRule="auto"/>
        <w:rPr>
          <w:sz w:val="20"/>
          <w:szCs w:val="20"/>
          <w:color w:val="auto"/>
        </w:rPr>
      </w:pPr>
      <w:r>
        <w:rPr>
          <w:rFonts w:ascii="Arial" w:cs="Arial" w:eastAsia="Arial" w:hAnsi="Arial"/>
          <w:sz w:val="18"/>
          <w:szCs w:val="18"/>
          <w:color w:val="auto"/>
        </w:rPr>
        <w:t>D. Executive and the Company want to end their relationship amicably and also to establish the obligations of the parties including, without limitation, all amounts due and owing to Executive.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NOW, THEREFORE, in consideration of the mutual covenants and agreements hereinafter set forth, the parties agree as follows:</w:t>
      </w:r>
    </w:p>
    <w:p>
      <w:pPr>
        <w:spacing w:after="0" w:line="237" w:lineRule="exact"/>
        <w:rPr>
          <w:sz w:val="20"/>
          <w:szCs w:val="20"/>
          <w:color w:val="auto"/>
        </w:rPr>
      </w:pPr>
    </w:p>
    <w:p>
      <w:pPr>
        <w:ind w:firstLine="333"/>
        <w:spacing w:after="0" w:line="289" w:lineRule="auto"/>
        <w:tabs>
          <w:tab w:leader="none" w:pos="504"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Resignation Date</w:t>
      </w:r>
      <w:r>
        <w:rPr>
          <w:rFonts w:ascii="Arial" w:cs="Arial" w:eastAsia="Arial" w:hAnsi="Arial"/>
          <w:sz w:val="16"/>
          <w:szCs w:val="16"/>
          <w:color w:val="auto"/>
        </w:rPr>
        <w:t>. The Company and Executive acknowledge and agree that Executive’s status as an officer and employee of the Company will end effective as of the earliest of (a) the later of (i) March 13, 2020 or (ii) the date that is five (5) business days following the filing of the Company’s Annual Report on Form 10-K (the “</w:t>
      </w:r>
      <w:r>
        <w:rPr>
          <w:rFonts w:ascii="Arial" w:cs="Arial" w:eastAsia="Arial" w:hAnsi="Arial"/>
          <w:sz w:val="16"/>
          <w:szCs w:val="16"/>
          <w:u w:val="single" w:color="auto"/>
          <w:color w:val="auto"/>
        </w:rPr>
        <w:t>Form 10-K</w:t>
      </w:r>
      <w:r>
        <w:rPr>
          <w:rFonts w:ascii="Arial" w:cs="Arial" w:eastAsia="Arial" w:hAnsi="Arial"/>
          <w:sz w:val="16"/>
          <w:szCs w:val="16"/>
          <w:color w:val="auto"/>
        </w:rPr>
        <w:t>”) for the fiscal year ended 2019 (such later date, the “</w:t>
      </w:r>
      <w:r>
        <w:rPr>
          <w:rFonts w:ascii="Arial" w:cs="Arial" w:eastAsia="Arial" w:hAnsi="Arial"/>
          <w:sz w:val="16"/>
          <w:szCs w:val="16"/>
          <w:u w:val="single" w:color="auto"/>
          <w:color w:val="auto"/>
        </w:rPr>
        <w:t>Planned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Resignation Date</w:t>
      </w:r>
      <w:r>
        <w:rPr>
          <w:rFonts w:ascii="Arial" w:cs="Arial" w:eastAsia="Arial" w:hAnsi="Arial"/>
          <w:sz w:val="16"/>
          <w:szCs w:val="16"/>
          <w:color w:val="auto"/>
        </w:rPr>
        <w:t>”), (b) the date Executive takes any action that constitutes “Cause” under the Severance Agreement and (c) the date Executive voluntarily resigns from the Company (such earliest date, the “</w:t>
      </w:r>
      <w:r>
        <w:rPr>
          <w:rFonts w:ascii="Arial" w:cs="Arial" w:eastAsia="Arial" w:hAnsi="Arial"/>
          <w:sz w:val="16"/>
          <w:szCs w:val="16"/>
          <w:u w:val="single" w:color="auto"/>
          <w:color w:val="auto"/>
        </w:rPr>
        <w:t>Resignation Date</w:t>
      </w:r>
      <w:r>
        <w:rPr>
          <w:rFonts w:ascii="Arial" w:cs="Arial" w:eastAsia="Arial" w:hAnsi="Arial"/>
          <w:sz w:val="16"/>
          <w:szCs w:val="16"/>
          <w:color w:val="auto"/>
        </w:rPr>
        <w:t xml:space="preserve">”). Executive hereby agrees to execute such further document(s) as shall be determined by the Company as reasonably necessary or desirable to give effect to the termination of Executive’s status as an officer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documents shall not be inconsistent with any of the terms of this Agreement. From the Effective Date through the Resignation Date, Executive’s employment with the Company shall continue in effect, and Executive shall enjoy the same salary, benefits and other compensation terms as in effect on the Effective Date.</w:t>
      </w:r>
    </w:p>
    <w:p>
      <w:pPr>
        <w:spacing w:after="0" w:line="166" w:lineRule="exact"/>
        <w:rPr>
          <w:rFonts w:ascii="Arial" w:cs="Arial" w:eastAsia="Arial" w:hAnsi="Arial"/>
          <w:sz w:val="16"/>
          <w:szCs w:val="16"/>
          <w:color w:val="auto"/>
        </w:rPr>
      </w:pPr>
    </w:p>
    <w:p>
      <w:pPr>
        <w:ind w:right="60" w:firstLine="333"/>
        <w:spacing w:after="0" w:line="289" w:lineRule="auto"/>
        <w:tabs>
          <w:tab w:leader="none" w:pos="504"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Severance Payments and Benefits</w:t>
      </w:r>
      <w:r>
        <w:rPr>
          <w:rFonts w:ascii="Arial" w:cs="Arial" w:eastAsia="Arial" w:hAnsi="Arial"/>
          <w:sz w:val="16"/>
          <w:szCs w:val="16"/>
          <w:color w:val="auto"/>
        </w:rPr>
        <w:t xml:space="preserve">. The Company hereby agrees, subject to (a) (i) the Resignation Date occurring on or after the Planned Resignation Date or (ii) Executive’s involuntary termination of employment by the Company without Cause (as defined in the Severance Agreement) prior to the Planned Resignation Date, (b) Executive diligently and professionally executing his responsibilities under this Agreement, (c) Executive delivering to the Company a General Release of Claims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Release of Claims</w:t>
      </w:r>
      <w:r>
        <w:rPr>
          <w:rFonts w:ascii="Arial" w:cs="Arial" w:eastAsia="Arial" w:hAnsi="Arial"/>
          <w:sz w:val="16"/>
          <w:szCs w:val="16"/>
          <w:color w:val="auto"/>
        </w:rPr>
        <w:t>”) on or within twenty-one (21) days following the Resignation Date, Executive not revoking the Release of Claims within the seven (7)-day period following his execution of the Release of Claims (the “</w:t>
      </w:r>
      <w:r>
        <w:rPr>
          <w:rFonts w:ascii="Arial" w:cs="Arial" w:eastAsia="Arial" w:hAnsi="Arial"/>
          <w:sz w:val="16"/>
          <w:szCs w:val="16"/>
          <w:u w:val="single" w:color="auto"/>
          <w:color w:val="auto"/>
        </w:rPr>
        <w:t>Revocation Period</w:t>
      </w:r>
      <w:r>
        <w:rPr>
          <w:rFonts w:ascii="Arial" w:cs="Arial" w:eastAsia="Arial" w:hAnsi="Arial"/>
          <w:sz w:val="16"/>
          <w:szCs w:val="16"/>
          <w:color w:val="auto"/>
        </w:rPr>
        <w:t>”), and (d) Executive’s performance of his continuing obligations under Section 8 below and otherwise pursuant to this Agreement and the Proprietary Information and Inventions Assignment Agreement entered into between Executive and the Company, as of August 15, 2011 (the “</w:t>
      </w:r>
      <w:r>
        <w:rPr>
          <w:rFonts w:ascii="Arial" w:cs="Arial" w:eastAsia="Arial" w:hAnsi="Arial"/>
          <w:sz w:val="16"/>
          <w:szCs w:val="16"/>
          <w:u w:val="single" w:color="auto"/>
          <w:color w:val="auto"/>
        </w:rPr>
        <w:t>Confidential Information Agreement</w:t>
      </w:r>
      <w:r>
        <w:rPr>
          <w:rFonts w:ascii="Arial" w:cs="Arial" w:eastAsia="Arial" w:hAnsi="Arial"/>
          <w:sz w:val="16"/>
          <w:szCs w:val="16"/>
          <w:color w:val="auto"/>
        </w:rPr>
        <w:t>”), to provide the payments and benefits set forth in this Section 2.</w:t>
      </w:r>
    </w:p>
    <w:p>
      <w:pPr>
        <w:spacing w:after="0" w:line="166" w:lineRule="exact"/>
        <w:rPr>
          <w:sz w:val="20"/>
          <w:szCs w:val="20"/>
          <w:color w:val="auto"/>
        </w:rPr>
      </w:pPr>
    </w:p>
    <w:p>
      <w:pPr>
        <w:ind w:right="60" w:firstLine="333"/>
        <w:spacing w:after="0" w:line="263" w:lineRule="auto"/>
        <w:tabs>
          <w:tab w:leader="none" w:pos="569"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Severance Payments</w:t>
      </w:r>
      <w:r>
        <w:rPr>
          <w:rFonts w:ascii="Arial" w:cs="Arial" w:eastAsia="Arial" w:hAnsi="Arial"/>
          <w:sz w:val="18"/>
          <w:szCs w:val="18"/>
          <w:color w:val="auto"/>
        </w:rPr>
        <w:t>. Within five (5) business days following the end of the Revocation Period, the Company shall make a lump</w:t>
      </w:r>
      <w:r>
        <w:rPr>
          <w:rFonts w:ascii="Arial" w:cs="Arial" w:eastAsia="Arial" w:hAnsi="Arial"/>
          <w:sz w:val="18"/>
          <w:szCs w:val="18"/>
          <w:i w:val="1"/>
          <w:iCs w:val="1"/>
          <w:color w:val="auto"/>
        </w:rPr>
        <w:t xml:space="preserve"> </w:t>
      </w:r>
      <w:r>
        <w:rPr>
          <w:rFonts w:ascii="Arial" w:cs="Arial" w:eastAsia="Arial" w:hAnsi="Arial"/>
          <w:sz w:val="18"/>
          <w:szCs w:val="18"/>
          <w:color w:val="auto"/>
        </w:rPr>
        <w:t>sum cash payment to Executive in an amount equal to $300,000 (the “</w:t>
      </w:r>
      <w:r>
        <w:rPr>
          <w:rFonts w:ascii="Arial" w:cs="Arial" w:eastAsia="Arial" w:hAnsi="Arial"/>
          <w:sz w:val="18"/>
          <w:szCs w:val="18"/>
          <w:u w:val="single" w:color="auto"/>
          <w:color w:val="auto"/>
        </w:rPr>
        <w:t>Severance Payment</w:t>
      </w:r>
      <w:r>
        <w:rPr>
          <w:rFonts w:ascii="Arial" w:cs="Arial" w:eastAsia="Arial" w:hAnsi="Arial"/>
          <w:sz w:val="18"/>
          <w:szCs w:val="18"/>
          <w:color w:val="auto"/>
        </w:rPr>
        <w:t>”). The Severance Payment shall be subject to authorized payroll deductions and required tax withholding.</w:t>
      </w:r>
    </w:p>
    <w:p>
      <w:pPr>
        <w:spacing w:after="0" w:line="183" w:lineRule="exact"/>
        <w:rPr>
          <w:rFonts w:ascii="Arial" w:cs="Arial" w:eastAsia="Arial" w:hAnsi="Arial"/>
          <w:sz w:val="18"/>
          <w:szCs w:val="18"/>
          <w:color w:val="auto"/>
        </w:rPr>
      </w:pPr>
    </w:p>
    <w:p>
      <w:pPr>
        <w:ind w:firstLine="333"/>
        <w:spacing w:after="0" w:line="277"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COBRA Reimbursement</w:t>
      </w:r>
      <w:r>
        <w:rPr>
          <w:rFonts w:ascii="Arial" w:cs="Arial" w:eastAsia="Arial" w:hAnsi="Arial"/>
          <w:sz w:val="18"/>
          <w:szCs w:val="18"/>
          <w:color w:val="auto"/>
        </w:rPr>
        <w:t>. Provided that Executive timely elects to receive continued healthcare coverage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Omnibus Budget Reconciliation Act of 1985, as amended, or applicable state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1" w:name="page132"/>
    <w:bookmarkEnd w:id="131"/>
    <w:p>
      <w:pPr>
        <w:jc w:val="both"/>
        <w:spacing w:after="0" w:line="289" w:lineRule="auto"/>
        <w:rPr>
          <w:sz w:val="20"/>
          <w:szCs w:val="20"/>
          <w:color w:val="auto"/>
        </w:rPr>
      </w:pPr>
      <w:r>
        <w:rPr>
          <w:rFonts w:ascii="Arial" w:cs="Arial" w:eastAsia="Arial" w:hAnsi="Arial"/>
          <w:sz w:val="16"/>
          <w:szCs w:val="16"/>
          <w:color w:val="auto"/>
        </w:rPr>
        <w:t>(collectively referred to as “</w:t>
      </w:r>
      <w:r>
        <w:rPr>
          <w:rFonts w:ascii="Arial" w:cs="Arial" w:eastAsia="Arial" w:hAnsi="Arial"/>
          <w:sz w:val="16"/>
          <w:szCs w:val="16"/>
          <w:u w:val="single" w:color="auto"/>
          <w:color w:val="auto"/>
        </w:rPr>
        <w:t>COBRA</w:t>
      </w:r>
      <w:r>
        <w:rPr>
          <w:rFonts w:ascii="Arial" w:cs="Arial" w:eastAsia="Arial" w:hAnsi="Arial"/>
          <w:sz w:val="16"/>
          <w:szCs w:val="16"/>
          <w:color w:val="auto"/>
        </w:rPr>
        <w:t>”), the Company will pay COBRA premiums otherwise required to be paid by Executive through the earlier of (i) the first anniversary of the Resignation Date, or (ii) the date upon which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2(b), Executive may, if eligible, elect to continue healthcare coverage at Executive’s expense in accordance the provisions of COBRA.</w:t>
      </w:r>
    </w:p>
    <w:p>
      <w:pPr>
        <w:spacing w:after="0" w:line="166" w:lineRule="exact"/>
        <w:rPr>
          <w:sz w:val="20"/>
          <w:szCs w:val="20"/>
          <w:color w:val="auto"/>
        </w:rPr>
      </w:pPr>
    </w:p>
    <w:p>
      <w:pPr>
        <w:jc w:val="both"/>
        <w:ind w:firstLine="333"/>
        <w:spacing w:after="0" w:line="270" w:lineRule="auto"/>
        <w:tabs>
          <w:tab w:leader="none" w:pos="582"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Performance Restricted Stock Unit. </w:t>
      </w:r>
      <w:r>
        <w:rPr>
          <w:rFonts w:ascii="Arial" w:cs="Arial" w:eastAsia="Arial" w:hAnsi="Arial"/>
          <w:sz w:val="17"/>
          <w:szCs w:val="17"/>
          <w:color w:val="auto"/>
        </w:rPr>
        <w:t>Notwithstanding Executive’s termination of employment, the performance 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unit award granted to Executive by the Company on July 26, 2018, for 100,000 shares of the Company’s Common Stock (the “</w:t>
      </w:r>
      <w:r>
        <w:rPr>
          <w:rFonts w:ascii="Arial" w:cs="Arial" w:eastAsia="Arial" w:hAnsi="Arial"/>
          <w:sz w:val="17"/>
          <w:szCs w:val="17"/>
          <w:u w:val="single" w:color="auto"/>
          <w:color w:val="auto"/>
        </w:rPr>
        <w:t>PRSU</w:t>
      </w:r>
      <w:r>
        <w:rPr>
          <w:rFonts w:ascii="Arial" w:cs="Arial" w:eastAsia="Arial" w:hAnsi="Arial"/>
          <w:sz w:val="17"/>
          <w:szCs w:val="17"/>
          <w:color w:val="auto"/>
        </w:rPr>
        <w:t xml:space="preserve"> </w:t>
      </w:r>
      <w:r>
        <w:rPr>
          <w:rFonts w:ascii="Arial" w:cs="Arial" w:eastAsia="Arial" w:hAnsi="Arial"/>
          <w:sz w:val="17"/>
          <w:szCs w:val="17"/>
          <w:u w:val="single" w:color="auto"/>
          <w:color w:val="auto"/>
        </w:rPr>
        <w:t>Award</w:t>
      </w:r>
      <w:r>
        <w:rPr>
          <w:rFonts w:ascii="Arial" w:cs="Arial" w:eastAsia="Arial" w:hAnsi="Arial"/>
          <w:sz w:val="17"/>
          <w:szCs w:val="17"/>
          <w:color w:val="auto"/>
        </w:rPr>
        <w:t>”), shall vest, and the underlying shares of the Company Common Stock shall be issued, in the event that, on or prior to December 31, 2020, the Board of Directors of the Company, or its Compensation Committee, certifies that the Food &amp; Drug Administration has accepted for filing the Company’s New Drug Application for the tenapanor for the treatment of hyperphosphatemia. Other than as altered by this Agreement, the PRSU Award shall at all times remain subject in all respects to the terms and conditions of the applicable restricted stock unit award agreement between Executive and the Company (the “</w:t>
      </w:r>
      <w:r>
        <w:rPr>
          <w:rFonts w:ascii="Arial" w:cs="Arial" w:eastAsia="Arial" w:hAnsi="Arial"/>
          <w:sz w:val="17"/>
          <w:szCs w:val="17"/>
          <w:u w:val="single" w:color="auto"/>
          <w:color w:val="auto"/>
        </w:rPr>
        <w:t>RSU Award Agreement</w:t>
      </w:r>
      <w:r>
        <w:rPr>
          <w:rFonts w:ascii="Arial" w:cs="Arial" w:eastAsia="Arial" w:hAnsi="Arial"/>
          <w:sz w:val="17"/>
          <w:szCs w:val="17"/>
          <w:color w:val="auto"/>
        </w:rPr>
        <w:t>”) and the Company’s applicable equity incentive plan. For the avoidance of doubt, the PRSU Award, to the extent unvested, shall terminate in accordance with the RSU Award Agreement on January 1, 2021.</w:t>
      </w:r>
    </w:p>
    <w:p>
      <w:pPr>
        <w:spacing w:after="0" w:line="181" w:lineRule="exact"/>
        <w:rPr>
          <w:sz w:val="20"/>
          <w:szCs w:val="20"/>
          <w:color w:val="auto"/>
        </w:rPr>
      </w:pPr>
    </w:p>
    <w:p>
      <w:pPr>
        <w:ind w:left="560" w:hanging="227"/>
        <w:spacing w:after="0"/>
        <w:tabs>
          <w:tab w:leader="none" w:pos="5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2019 Bonus; Final Paycheck; Payment of Accrued Wages and Expenses</w:t>
      </w:r>
      <w:r>
        <w:rPr>
          <w:rFonts w:ascii="Arial" w:cs="Arial" w:eastAsia="Arial" w:hAnsi="Arial"/>
          <w:sz w:val="18"/>
          <w:szCs w:val="18"/>
          <w:color w:val="auto"/>
        </w:rPr>
        <w:t>.</w:t>
      </w:r>
    </w:p>
    <w:p>
      <w:pPr>
        <w:spacing w:after="0" w:line="225" w:lineRule="exact"/>
        <w:rPr>
          <w:sz w:val="20"/>
          <w:szCs w:val="20"/>
          <w:color w:val="auto"/>
        </w:rPr>
      </w:pPr>
    </w:p>
    <w:p>
      <w:pPr>
        <w:jc w:val="both"/>
        <w:ind w:right="100" w:firstLine="333"/>
        <w:spacing w:after="0" w:line="259" w:lineRule="auto"/>
        <w:tabs>
          <w:tab w:leader="none" w:pos="569"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2019 Bonus. </w:t>
      </w:r>
      <w:r>
        <w:rPr>
          <w:rFonts w:ascii="Arial" w:cs="Arial" w:eastAsia="Arial" w:hAnsi="Arial"/>
          <w:sz w:val="18"/>
          <w:szCs w:val="18"/>
          <w:color w:val="auto"/>
        </w:rPr>
        <w:t>Regardless of the date of Executive’s termination of employment, Executive shall be paid the 2019 bonus awarded</w:t>
      </w:r>
      <w:r>
        <w:rPr>
          <w:rFonts w:ascii="Arial" w:cs="Arial" w:eastAsia="Arial" w:hAnsi="Arial"/>
          <w:sz w:val="18"/>
          <w:szCs w:val="18"/>
          <w:i w:val="1"/>
          <w:iCs w:val="1"/>
          <w:color w:val="auto"/>
        </w:rPr>
        <w:t xml:space="preserve"> </w:t>
      </w:r>
      <w:r>
        <w:rPr>
          <w:rFonts w:ascii="Arial" w:cs="Arial" w:eastAsia="Arial" w:hAnsi="Arial"/>
          <w:sz w:val="18"/>
          <w:szCs w:val="18"/>
          <w:color w:val="auto"/>
        </w:rPr>
        <w:t>him by the Board of Directors, or the appropriate committee thereof, which shall be determined in the manner consistent with that of all executives of the Company. Executive shall remain eligible for his 2019 bonus in accordance with its terms irrespective of whether Executive executes this Agreement or a Release of Claims.</w:t>
      </w:r>
    </w:p>
    <w:p>
      <w:pPr>
        <w:spacing w:after="0" w:line="186" w:lineRule="exact"/>
        <w:rPr>
          <w:rFonts w:ascii="Arial" w:cs="Arial" w:eastAsia="Arial" w:hAnsi="Arial"/>
          <w:sz w:val="18"/>
          <w:szCs w:val="18"/>
          <w:color w:val="auto"/>
        </w:rPr>
      </w:pPr>
    </w:p>
    <w:p>
      <w:pPr>
        <w:ind w:right="180" w:firstLine="333"/>
        <w:spacing w:after="0" w:line="259" w:lineRule="auto"/>
        <w:tabs>
          <w:tab w:leader="none" w:pos="624"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Final Paycheck</w:t>
      </w:r>
      <w:r>
        <w:rPr>
          <w:rFonts w:ascii="Arial" w:cs="Arial" w:eastAsia="Arial" w:hAnsi="Arial"/>
          <w:sz w:val="18"/>
          <w:szCs w:val="18"/>
          <w:color w:val="auto"/>
        </w:rPr>
        <w:t>. On, or as soon as administratively practicable following, the Resignation Date, the Company will pay</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all accrued but unpaid base salary and all accrued and unused vacation or other paid time off earned through the Resignation Date, subject to standard payroll deductions and required withholding. Executive is entitled to these payments regardless of whether Executive executes this Agreement or a Release of Claims.</w:t>
      </w:r>
    </w:p>
    <w:p>
      <w:pPr>
        <w:spacing w:after="0" w:line="186" w:lineRule="exact"/>
        <w:rPr>
          <w:rFonts w:ascii="Arial" w:cs="Arial" w:eastAsia="Arial" w:hAnsi="Arial"/>
          <w:sz w:val="18"/>
          <w:szCs w:val="18"/>
          <w:color w:val="auto"/>
        </w:rPr>
      </w:pPr>
    </w:p>
    <w:p>
      <w:pPr>
        <w:ind w:right="80" w:firstLine="333"/>
        <w:spacing w:after="0" w:line="275" w:lineRule="auto"/>
        <w:tabs>
          <w:tab w:leader="none" w:pos="614"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Business Expenses</w:t>
      </w:r>
      <w:r>
        <w:rPr>
          <w:rFonts w:ascii="Arial" w:cs="Arial" w:eastAsia="Arial" w:hAnsi="Arial"/>
          <w:sz w:val="17"/>
          <w:szCs w:val="17"/>
          <w:color w:val="auto"/>
        </w:rPr>
        <w:t>. The Company shall reimburse Executive for all outstanding expenses incurred prior to the Resignation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are consistent with the Company’s policies in effect from time to time with respect to travel and other business expenses, subject to the Company’s requirements with respect to reporting and documenting such expenses, including, without limitation, expenses incurred pursuant to Executive’s services as a director of any of the Company’s subsidiaries. Executive is entitled to these payments regardless of whether Executive executes this Agreement or a Release of Claims.</w:t>
      </w:r>
    </w:p>
    <w:p>
      <w:pPr>
        <w:spacing w:after="0" w:line="176" w:lineRule="exact"/>
        <w:rPr>
          <w:rFonts w:ascii="Arial" w:cs="Arial" w:eastAsia="Arial" w:hAnsi="Arial"/>
          <w:sz w:val="17"/>
          <w:szCs w:val="17"/>
          <w:color w:val="auto"/>
        </w:rPr>
      </w:pPr>
    </w:p>
    <w:p>
      <w:pPr>
        <w:ind w:right="40" w:firstLine="333"/>
        <w:spacing w:after="0" w:line="271" w:lineRule="auto"/>
        <w:tabs>
          <w:tab w:leader="none" w:pos="624"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 xml:space="preserve">Equity Awards. </w:t>
      </w:r>
      <w:r>
        <w:rPr>
          <w:rFonts w:ascii="Arial" w:cs="Arial" w:eastAsia="Arial" w:hAnsi="Arial"/>
          <w:sz w:val="17"/>
          <w:szCs w:val="17"/>
          <w:color w:val="auto"/>
        </w:rPr>
        <w:t>Other than with respect to the PRSU Award discussed in Section 2(c) and other than acceleration of vesting of</w:t>
      </w:r>
      <w:r>
        <w:rPr>
          <w:rFonts w:ascii="Arial" w:cs="Arial" w:eastAsia="Arial" w:hAnsi="Arial"/>
          <w:sz w:val="17"/>
          <w:szCs w:val="17"/>
          <w:i w:val="1"/>
          <w:iCs w:val="1"/>
          <w:color w:val="auto"/>
        </w:rPr>
        <w:t xml:space="preserve"> </w:t>
      </w:r>
      <w:r>
        <w:rPr>
          <w:rFonts w:ascii="Arial" w:cs="Arial" w:eastAsia="Arial" w:hAnsi="Arial"/>
          <w:sz w:val="17"/>
          <w:szCs w:val="17"/>
          <w:color w:val="auto"/>
        </w:rPr>
        <w:t>equity awards that may occur pursuant to the terms of Section 5 below, all unvested shares subject to equity awards held by Executive on the Resignation Date shall terminate and be forfeited as of the Resignation Date. If Executive desires to exercise any stock option that is vested as of the Resignation Date, Executive must follow the procedures set forth in the applicable stock option agreement applicable to the vested option (each an “</w:t>
      </w:r>
      <w:r>
        <w:rPr>
          <w:rFonts w:ascii="Arial" w:cs="Arial" w:eastAsia="Arial" w:hAnsi="Arial"/>
          <w:sz w:val="17"/>
          <w:szCs w:val="17"/>
          <w:u w:val="single" w:color="auto"/>
          <w:color w:val="auto"/>
        </w:rPr>
        <w:t>Option Agreement</w:t>
      </w:r>
      <w:r>
        <w:rPr>
          <w:rFonts w:ascii="Arial" w:cs="Arial" w:eastAsia="Arial" w:hAnsi="Arial"/>
          <w:sz w:val="17"/>
          <w:szCs w:val="17"/>
          <w:color w:val="auto"/>
        </w:rPr>
        <w:t>”), including payment of the exercise price and any tax withholding obligations. If by the expiration dates set forth in the applicable Option Agreement, the Company has not received a duly executed notice of exercise and remuneration in accordance with Executive’s Option Agreement, the vested option subject thereto shall automatically terminate for no consideration and be of no further effect.</w:t>
      </w:r>
    </w:p>
    <w:p>
      <w:pPr>
        <w:spacing w:after="0" w:line="178" w:lineRule="exact"/>
        <w:rPr>
          <w:sz w:val="20"/>
          <w:szCs w:val="20"/>
          <w:color w:val="auto"/>
        </w:rPr>
      </w:pPr>
    </w:p>
    <w:p>
      <w:pPr>
        <w:ind w:right="20" w:firstLine="333"/>
        <w:spacing w:after="0" w:line="263" w:lineRule="auto"/>
        <w:tabs>
          <w:tab w:leader="none" w:pos="50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Full Payment</w:t>
      </w:r>
      <w:r>
        <w:rPr>
          <w:rFonts w:ascii="Arial" w:cs="Arial" w:eastAsia="Arial" w:hAnsi="Arial"/>
          <w:sz w:val="18"/>
          <w:szCs w:val="18"/>
          <w:color w:val="auto"/>
        </w:rPr>
        <w:t>. Executive acknowledges that the payment and arrangements herein shall constitute full and complete satisfaction of any and all amounts properly due and owing to Executive as a result of his employment with the Company and the termination thereof; provided, however, that notwithstanding the foregoing, if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2" w:name="page133"/>
    <w:bookmarkEnd w:id="132"/>
    <w:p>
      <w:pPr>
        <w:ind w:right="40"/>
        <w:spacing w:after="0" w:line="286" w:lineRule="auto"/>
        <w:rPr>
          <w:sz w:val="20"/>
          <w:szCs w:val="20"/>
          <w:color w:val="auto"/>
        </w:rPr>
      </w:pPr>
      <w:r>
        <w:rPr>
          <w:rFonts w:ascii="Arial" w:cs="Arial" w:eastAsia="Arial" w:hAnsi="Arial"/>
          <w:sz w:val="16"/>
          <w:szCs w:val="16"/>
          <w:color w:val="auto"/>
        </w:rPr>
        <w:t>Company experiences a Change in Control (as defined in the Severance Agreement) prior to the 3-month anniversary of the Resignation Date, then (i) each outstanding equity award, including, without limitation, each stock option and restricted stock award, held by Executive as of the Resignation Date shall, as of the later of (a) the Resignation Date or (b) the date of the Change in Control, automatically become vested and, if applicable, exercisable and any forfeiture restrictions or rights of repurchase thereon shall immediately lapse, in each case, with respect to one hundred percent (100%) of the shares subject thereto, (ii) to the extent vested after giving effect to the acceleration provided in (i) above, each stock option held by Executive shall remain exercisable until the earlier of the original expiration date for such stock option or the first anniversary of the Resignation Date, and (iii) Executive shall be entitled to receive an additional $100,000 in severance, payable in a lump sum within thirty (30) days following the closing of the Change in Control and subject to authorized payroll deductions and required tax withholding. Executive further acknowledges that, other than the Confidential Information Agreement, the RSU Award Agreement and the Option Agreements, and except as provided in the preceding sentence, this Agreement shall supersede each agreement entered into between Executive and the Company regarding Executive’s employment, including, without limitation, the Severance Agreement and any offer letter, or employment agreement, and each such agreement other than the RSU Award Agreement, the Option Agreements and the Confidential Information Agreement shall be deemed terminated and of no further effect as of the Resignation Date.</w:t>
      </w:r>
    </w:p>
    <w:p>
      <w:pPr>
        <w:spacing w:after="0" w:line="171" w:lineRule="exact"/>
        <w:rPr>
          <w:sz w:val="20"/>
          <w:szCs w:val="20"/>
          <w:color w:val="auto"/>
        </w:rPr>
      </w:pPr>
    </w:p>
    <w:p>
      <w:pPr>
        <w:ind w:right="100" w:firstLine="333"/>
        <w:spacing w:after="0" w:line="259" w:lineRule="auto"/>
        <w:tabs>
          <w:tab w:leader="none" w:pos="50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Executive’s Release of the Company</w:t>
      </w:r>
      <w:r>
        <w:rPr>
          <w:rFonts w:ascii="Arial" w:cs="Arial" w:eastAsia="Arial" w:hAnsi="Arial"/>
          <w:sz w:val="18"/>
          <w:szCs w:val="18"/>
          <w:color w:val="auto"/>
        </w:rPr>
        <w:t>. Executive agrees that the consideration set forth in this Agreement represents settlement in full of all outstanding obligations owed to Executive by the Company and its current and former officers, directors, employees, agents, investors, attorneys, affiliates, divisions, and subsidiaries, and predecessor and successor corporations and assigns (collectively, the “</w:t>
      </w:r>
      <w:r>
        <w:rPr>
          <w:rFonts w:ascii="Arial" w:cs="Arial" w:eastAsia="Arial" w:hAnsi="Arial"/>
          <w:sz w:val="18"/>
          <w:szCs w:val="18"/>
          <w:u w:val="single" w:color="auto"/>
          <w:color w:val="auto"/>
        </w:rPr>
        <w:t>Releasees</w:t>
      </w:r>
      <w:r>
        <w:rPr>
          <w:rFonts w:ascii="Arial" w:cs="Arial" w:eastAsia="Arial" w:hAnsi="Arial"/>
          <w:sz w:val="18"/>
          <w:szCs w:val="18"/>
          <w:color w:val="auto"/>
        </w:rPr>
        <w:t>”).</w:t>
      </w:r>
    </w:p>
    <w:p>
      <w:pPr>
        <w:spacing w:after="0" w:line="187" w:lineRule="exact"/>
        <w:rPr>
          <w:sz w:val="20"/>
          <w:szCs w:val="20"/>
          <w:color w:val="auto"/>
        </w:rPr>
      </w:pPr>
    </w:p>
    <w:p>
      <w:pPr>
        <w:ind w:right="60" w:firstLine="333"/>
        <w:spacing w:after="0" w:line="296" w:lineRule="auto"/>
        <w:tabs>
          <w:tab w:leader="none" w:pos="569"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Executive, on his own behalf and on behalf of his family members, heirs, executors, administrators, agents, and assigns,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w:t>
      </w:r>
    </w:p>
    <w:p>
      <w:pPr>
        <w:spacing w:after="0" w:line="161" w:lineRule="exact"/>
        <w:rPr>
          <w:rFonts w:ascii="Arial" w:cs="Arial" w:eastAsia="Arial" w:hAnsi="Arial"/>
          <w:sz w:val="16"/>
          <w:szCs w:val="16"/>
          <w:color w:val="auto"/>
        </w:rPr>
      </w:pPr>
    </w:p>
    <w:p>
      <w:pPr>
        <w:ind w:left="340" w:firstLine="641"/>
        <w:spacing w:after="0" w:line="277" w:lineRule="auto"/>
        <w:tabs>
          <w:tab w:leader="none" w:pos="1203"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employment relationship with Company and the termination of that relationship;</w:t>
      </w:r>
    </w:p>
    <w:p>
      <w:pPr>
        <w:spacing w:after="0" w:line="170" w:lineRule="exact"/>
        <w:rPr>
          <w:rFonts w:ascii="Arial" w:cs="Arial" w:eastAsia="Arial" w:hAnsi="Arial"/>
          <w:sz w:val="18"/>
          <w:szCs w:val="18"/>
          <w:color w:val="auto"/>
        </w:rPr>
      </w:pPr>
    </w:p>
    <w:p>
      <w:pPr>
        <w:ind w:left="340" w:right="20" w:firstLine="641"/>
        <w:spacing w:after="0" w:line="255" w:lineRule="auto"/>
        <w:tabs>
          <w:tab w:leader="none" w:pos="1253"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92" w:lineRule="exact"/>
        <w:rPr>
          <w:rFonts w:ascii="Arial" w:cs="Arial" w:eastAsia="Arial" w:hAnsi="Arial"/>
          <w:sz w:val="18"/>
          <w:szCs w:val="18"/>
          <w:color w:val="auto"/>
        </w:rPr>
      </w:pPr>
    </w:p>
    <w:p>
      <w:pPr>
        <w:ind w:left="340" w:right="20" w:firstLine="641"/>
        <w:spacing w:after="0" w:line="291" w:lineRule="auto"/>
        <w:tabs>
          <w:tab w:leader="none" w:pos="1303" w:val="left"/>
        </w:tabs>
        <w:numPr>
          <w:ilvl w:val="1"/>
          <w:numId w:val="84"/>
        </w:numPr>
        <w:rPr>
          <w:rFonts w:ascii="Arial" w:cs="Arial" w:eastAsia="Arial" w:hAnsi="Arial"/>
          <w:sz w:val="16"/>
          <w:szCs w:val="16"/>
          <w:color w:val="auto"/>
        </w:rPr>
      </w:pPr>
      <w:r>
        <w:rPr>
          <w:rFonts w:ascii="Arial" w:cs="Arial" w:eastAsia="Arial" w:hAnsi="Arial"/>
          <w:sz w:val="16"/>
          <w:szCs w:val="16"/>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except as prohibited by law; the Fair Credit Reporting Act; the Employee Retirement Income Security Act of 1974; the Worker Adjustment and Retraining Notification Act; the Family and Medical Leave Act, except as prohibited by law; the Sarbanes-Oxley Act of 2002, except as prohibited by law; the Uniformed Services Employment and Reemployment Rights Act; the California Family Rights Act; the California Labor Code, except as prohibited by law; the California Workers’ Compensation Act, except as prohibited by law; and the California Fair Employment and Housing Act;</w:t>
      </w:r>
    </w:p>
    <w:p>
      <w:pPr>
        <w:spacing w:after="0" w:line="166" w:lineRule="exact"/>
        <w:rPr>
          <w:rFonts w:ascii="Arial" w:cs="Arial" w:eastAsia="Arial" w:hAnsi="Arial"/>
          <w:sz w:val="16"/>
          <w:szCs w:val="16"/>
          <w:color w:val="auto"/>
        </w:rPr>
      </w:pPr>
    </w:p>
    <w:p>
      <w:pPr>
        <w:ind w:left="1280" w:hanging="299"/>
        <w:spacing w:after="0"/>
        <w:tabs>
          <w:tab w:leader="none" w:pos="12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225" w:lineRule="exact"/>
        <w:rPr>
          <w:rFonts w:ascii="Arial" w:cs="Arial" w:eastAsia="Arial" w:hAnsi="Arial"/>
          <w:sz w:val="18"/>
          <w:szCs w:val="18"/>
          <w:color w:val="auto"/>
        </w:rPr>
      </w:pPr>
    </w:p>
    <w:p>
      <w:pPr>
        <w:ind w:left="1240" w:hanging="259"/>
        <w:spacing w:after="0"/>
        <w:tabs>
          <w:tab w:leader="none" w:pos="12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any and all claims arising out of any other laws and regulations relating to employment or employment discrimination;</w:t>
      </w:r>
    </w:p>
    <w:p>
      <w:pPr>
        <w:spacing w:after="0" w:line="248" w:lineRule="exact"/>
        <w:rPr>
          <w:rFonts w:ascii="Arial" w:cs="Arial" w:eastAsia="Arial" w:hAnsi="Arial"/>
          <w:sz w:val="16"/>
          <w:szCs w:val="16"/>
          <w:color w:val="auto"/>
        </w:rPr>
      </w:pPr>
    </w:p>
    <w:p>
      <w:pPr>
        <w:ind w:left="340" w:right="480" w:firstLine="641"/>
        <w:spacing w:after="0" w:line="277" w:lineRule="auto"/>
        <w:tabs>
          <w:tab w:leader="none" w:pos="1293"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claim for any loss, cost, damage, or expense arising out of any dispute over the non-withholding or other tax treatment of any of the proceeds received by Executive as a result of this Agreement;</w:t>
      </w:r>
    </w:p>
    <w:p>
      <w:pPr>
        <w:spacing w:after="0" w:line="170" w:lineRule="exact"/>
        <w:rPr>
          <w:rFonts w:ascii="Arial" w:cs="Arial" w:eastAsia="Arial" w:hAnsi="Arial"/>
          <w:sz w:val="18"/>
          <w:szCs w:val="18"/>
          <w:color w:val="auto"/>
        </w:rPr>
      </w:pPr>
    </w:p>
    <w:p>
      <w:pPr>
        <w:ind w:left="1340" w:hanging="359"/>
        <w:spacing w:after="0"/>
        <w:tabs>
          <w:tab w:leader="none" w:pos="13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33" w:name="page134"/>
    <w:bookmarkEnd w:id="133"/>
    <w:p>
      <w:pPr>
        <w:ind w:right="20" w:firstLine="333"/>
        <w:spacing w:after="0" w:line="269" w:lineRule="auto"/>
        <w:tabs>
          <w:tab w:leader="none" w:pos="579" w:val="left"/>
        </w:tabs>
        <w:numPr>
          <w:ilvl w:val="0"/>
          <w:numId w:val="85"/>
        </w:numPr>
        <w:rPr>
          <w:rFonts w:ascii="Arial" w:cs="Arial" w:eastAsia="Arial" w:hAnsi="Arial"/>
          <w:sz w:val="17"/>
          <w:szCs w:val="17"/>
          <w:color w:val="auto"/>
        </w:rPr>
      </w:pPr>
      <w:r>
        <w:rPr>
          <w:rFonts w:ascii="Arial" w:cs="Arial" w:eastAsia="Arial" w:hAnsi="Arial"/>
          <w:sz w:val="17"/>
          <w:szCs w:val="17"/>
          <w:color w:val="auto"/>
        </w:rPr>
        <w:t>Executive agrees that the release set forth in this section shall be and remain in effect in all respects as a complete general release as to the matters released. This release does not extend to any obligations incurred under this Agreement, the RSU Award Agreement or the Option Agreements. This release does not release claims or rights that cannot be released as a matter of law, including, but not limited to, claims under Division 3, Article 2 of the California Labor Code (which includes California Labor Code Section 2802 regarding indemnity for necessary expenditures or losses by Executive) any other indemnification, defense, or hold-harmless rights Executive may have, and Executive’s right to bring to the attention of the Equal Employment Opportunity Commission or California Department of Fair Employment and Housing claims of discrimination, harassment or retaliation; provided, however, that Executive does release his right to obtain damages for any such claims. This release does not release claims or rights that Executive may have as a shareholder of the Company or for benefits under any benefit plan or to participation in any such plan pursuant to the terms thereof or applicable law.</w:t>
      </w:r>
    </w:p>
    <w:p>
      <w:pPr>
        <w:spacing w:after="0" w:line="185" w:lineRule="exact"/>
        <w:rPr>
          <w:rFonts w:ascii="Arial" w:cs="Arial" w:eastAsia="Arial" w:hAnsi="Arial"/>
          <w:sz w:val="17"/>
          <w:szCs w:val="17"/>
          <w:color w:val="auto"/>
        </w:rPr>
      </w:pPr>
    </w:p>
    <w:p>
      <w:pPr>
        <w:ind w:right="160" w:firstLine="333"/>
        <w:spacing w:after="0" w:line="277" w:lineRule="auto"/>
        <w:tabs>
          <w:tab w:leader="none" w:pos="569"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Executive acknowledges that he has been advised to consult with legal counsel and is familiar with the provisions of California Civil Code Section 1542, a statute that otherwise prohibits unknown claims, which provides as follows:</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 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Executive, being aware of said code section, agrees to expressly waive any rights he may have thereunder, as well as under any other statute or common law principles of similar effect.</w:t>
      </w:r>
    </w:p>
    <w:p>
      <w:pPr>
        <w:spacing w:after="0" w:line="170" w:lineRule="exact"/>
        <w:rPr>
          <w:sz w:val="20"/>
          <w:szCs w:val="20"/>
          <w:color w:val="auto"/>
        </w:rPr>
      </w:pPr>
    </w:p>
    <w:p>
      <w:pPr>
        <w:ind w:left="520" w:hanging="187"/>
        <w:spacing w:after="0"/>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Non-Disparagement; Transfer of Company Property</w:t>
      </w:r>
      <w:r>
        <w:rPr>
          <w:rFonts w:ascii="Arial" w:cs="Arial" w:eastAsia="Arial" w:hAnsi="Arial"/>
          <w:sz w:val="18"/>
          <w:szCs w:val="18"/>
          <w:color w:val="auto"/>
        </w:rPr>
        <w:t>. Executive further agrees that:</w:t>
      </w:r>
    </w:p>
    <w:p>
      <w:pPr>
        <w:spacing w:after="0" w:line="225" w:lineRule="exact"/>
        <w:rPr>
          <w:sz w:val="20"/>
          <w:szCs w:val="20"/>
          <w:color w:val="auto"/>
        </w:rPr>
      </w:pPr>
    </w:p>
    <w:p>
      <w:pPr>
        <w:ind w:right="80" w:firstLine="333"/>
        <w:spacing w:after="0" w:line="301" w:lineRule="auto"/>
        <w:tabs>
          <w:tab w:leader="none" w:pos="569"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Non-Disparagement</w:t>
      </w:r>
      <w:r>
        <w:rPr>
          <w:rFonts w:ascii="Arial" w:cs="Arial" w:eastAsia="Arial" w:hAnsi="Arial"/>
          <w:sz w:val="16"/>
          <w:szCs w:val="16"/>
          <w:color w:val="auto"/>
        </w:rPr>
        <w:t>. Executive agrees that he shall not disparage, criticize or defame the Company, its affiliates and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affiliates, directors, officers, agents, partners, stockholders, employees, products, services, technology or business, either publicly or privately. The Company agrees that it shall not disparage, criticize or defame Executive, either publicly or privately. Nothing in this Section 7(a) shall have application to any evidence or testimony required by any court, arbitrator or government agency.</w:t>
      </w:r>
    </w:p>
    <w:p>
      <w:pPr>
        <w:spacing w:after="0" w:line="157" w:lineRule="exact"/>
        <w:rPr>
          <w:rFonts w:ascii="Arial" w:cs="Arial" w:eastAsia="Arial" w:hAnsi="Arial"/>
          <w:sz w:val="16"/>
          <w:szCs w:val="16"/>
          <w:color w:val="auto"/>
        </w:rPr>
      </w:pPr>
    </w:p>
    <w:p>
      <w:pPr>
        <w:ind w:right="440" w:firstLine="333"/>
        <w:spacing w:after="0" w:line="263" w:lineRule="auto"/>
        <w:tabs>
          <w:tab w:leader="none" w:pos="579"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Transfer of Company Property</w:t>
      </w:r>
      <w:r>
        <w:rPr>
          <w:rFonts w:ascii="Arial" w:cs="Arial" w:eastAsia="Arial" w:hAnsi="Arial"/>
          <w:sz w:val="18"/>
          <w:szCs w:val="18"/>
          <w:color w:val="auto"/>
        </w:rPr>
        <w:t>. On or before the Resignation Date, Executive shall turn over to the Company all files,</w:t>
      </w:r>
      <w:r>
        <w:rPr>
          <w:rFonts w:ascii="Arial" w:cs="Arial" w:eastAsia="Arial" w:hAnsi="Arial"/>
          <w:sz w:val="18"/>
          <w:szCs w:val="18"/>
          <w:i w:val="1"/>
          <w:iCs w:val="1"/>
          <w:color w:val="auto"/>
        </w:rPr>
        <w:t xml:space="preserve"> </w:t>
      </w:r>
      <w:r>
        <w:rPr>
          <w:rFonts w:ascii="Arial" w:cs="Arial" w:eastAsia="Arial" w:hAnsi="Arial"/>
          <w:sz w:val="18"/>
          <w:szCs w:val="18"/>
          <w:color w:val="auto"/>
        </w:rPr>
        <w:t>memoranda, records, and other documents, and any other physical or personal property which are the property of the Company and which he has in his possession, custody or control at such date.</w:t>
      </w:r>
    </w:p>
    <w:p>
      <w:pPr>
        <w:spacing w:after="0" w:line="184" w:lineRule="exact"/>
        <w:rPr>
          <w:sz w:val="20"/>
          <w:szCs w:val="20"/>
          <w:color w:val="auto"/>
        </w:rPr>
      </w:pPr>
    </w:p>
    <w:p>
      <w:pPr>
        <w:ind w:left="520" w:hanging="187"/>
        <w:spacing w:after="0"/>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Confidentiality; Non-Solicitation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0" w:firstLine="645"/>
        <w:spacing w:after="0" w:line="286" w:lineRule="auto"/>
        <w:tabs>
          <w:tab w:leader="none" w:pos="1523"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While Executive is employed by the Company, and thereafter, Executive shall not directly or indirectly disclose or make available to any person, firm, corporation, association or other entity for any reason or purpose whatsoever, any Confidential Information (as defined below). On the Resignation Date, all Confidential Information in Executive’s possession that is in written or other tangible form (together with all copies or duplicates thereof, including computer files) shall be returned to the Company and shall not be retained by Executive or furnished to any third party, in any form except as provided herein;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Executive shall not be obligated to treat as confidential, or return to the Company copies of any Confidential Information that (a) was publicly known at the time of disclosure to Executive, or (b) becomes publicly known or available thereafter other than by any means in violation of this Agreement, the Confidential Information Agreement or any other duty owed to the Company by any person or entity. For purposes of this Agreement, the term “Confidential Information” shall mean information, technical data, know-how or trade secrets disclosed to Executive or known by Executive as a consequence of or through his or her relationship with the Company, relating to research, products, developments, inventions, processes, techniques, chemical structures, finances, business plans or regulatory strategies of the Company and its affiliates. In addition, for the avoidance of doubt, Executive shall continue to be subject to the Confidential Information Agreement.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34" w:name="page135"/>
    <w:bookmarkEnd w:id="134"/>
    <w:p>
      <w:pPr>
        <w:ind w:left="640" w:right="40" w:firstLine="645"/>
        <w:spacing w:after="0" w:line="285" w:lineRule="auto"/>
        <w:tabs>
          <w:tab w:leader="none" w:pos="1553" w:val="left"/>
        </w:tabs>
        <w:numPr>
          <w:ilvl w:val="1"/>
          <w:numId w:val="89"/>
        </w:numPr>
        <w:rPr>
          <w:rFonts w:ascii="Arial" w:cs="Arial" w:eastAsia="Arial" w:hAnsi="Arial"/>
          <w:sz w:val="16"/>
          <w:szCs w:val="16"/>
          <w:color w:val="auto"/>
        </w:rPr>
      </w:pPr>
      <w:r>
        <w:rPr>
          <w:rFonts w:ascii="Arial" w:cs="Arial" w:eastAsia="Arial" w:hAnsi="Arial"/>
          <w:sz w:val="16"/>
          <w:szCs w:val="16"/>
          <w:color w:val="auto"/>
        </w:rPr>
        <w:t>For the avoidance of doubt, nothing in this Agreement will be construed to prohibit Executive from filing a charge with, reporting possible violations to, or participating or cooperating with any governmental agency or entity, including but not limited to the EEOC, the Department of Justice, the Securities and Exchange Commission, Congress, or any agency Inspector General, or making other disclosures that are protected under the whistleblower, anti-discrimination, or anti-retaliation provisions of federal, state or local law or regulation; provided, however, that Executive may not disclose information of the Company or any of its affiliates that is protected by the attorney-client privilege, except as otherwise required by law. Executive does not need the prior authorization of the Company to make any such reports or disclosures, and Executive is not required to notify the Company that he has made such reports or disclosures. Furthermore, in accordance with 18 U.S.C. § 1833, notwithstanding anything to the contrary in this Agreement: (A)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76" w:lineRule="exact"/>
        <w:rPr>
          <w:rFonts w:ascii="Arial" w:cs="Arial" w:eastAsia="Arial" w:hAnsi="Arial"/>
          <w:sz w:val="16"/>
          <w:szCs w:val="16"/>
          <w:color w:val="auto"/>
        </w:rPr>
      </w:pPr>
    </w:p>
    <w:p>
      <w:pPr>
        <w:ind w:left="-20" w:right="20" w:firstLine="333"/>
        <w:spacing w:after="0" w:line="269" w:lineRule="auto"/>
        <w:tabs>
          <w:tab w:leader="none" w:pos="559"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Non-Solicitation</w:t>
      </w:r>
      <w:r>
        <w:rPr>
          <w:rFonts w:ascii="Arial" w:cs="Arial" w:eastAsia="Arial" w:hAnsi="Arial"/>
          <w:sz w:val="17"/>
          <w:szCs w:val="17"/>
          <w:color w:val="auto"/>
        </w:rPr>
        <w:t>. In addition to each Executive’s obligations under the Confidential Information Agreement, Executive shall not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a period of two (2) years following Executive’s termination of employment for any reason, either on Executive’s own account or jointly with or as a manager, agent, officer, employee, consultant, partner, joint venturer, owner or stockholder or otherwise on behalf of any other person, firm or corporation, directly or indirectly solicit or attempt to solicit away from the Company any of its officers or employees or offer employment to any person who is an officer or employee of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general advertisement to which an employee of the Company responds shall in no event be deemed to result in a breach of this Section 8(b). Executive also agrees not to harass or disparage the Company or its employees, clients, directors or agents or divert or attempt to divert any actual or potential business of the Company. If it is determined by a court of competent jurisdiction in any state that any restriction in this Section 8(b)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82" w:lineRule="exact"/>
        <w:rPr>
          <w:sz w:val="20"/>
          <w:szCs w:val="20"/>
          <w:color w:val="auto"/>
        </w:rPr>
      </w:pPr>
    </w:p>
    <w:p>
      <w:pPr>
        <w:ind w:left="-20" w:right="20" w:firstLine="333"/>
        <w:spacing w:after="0" w:line="269" w:lineRule="auto"/>
        <w:tabs>
          <w:tab w:leader="none" w:pos="484"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Executive Representations</w:t>
      </w:r>
      <w:r>
        <w:rPr>
          <w:rFonts w:ascii="Arial" w:cs="Arial" w:eastAsia="Arial" w:hAnsi="Arial"/>
          <w:sz w:val="17"/>
          <w:szCs w:val="17"/>
          <w:color w:val="auto"/>
        </w:rPr>
        <w:t>. Executive warrants and represents that (a) he has not filed or authorized the filing of any complaints, charges or lawsuits against the Company or any affiliate of the Company with any governmental agency or court, and that if, unbeknownst to Executive, such a complaint, charge or lawsuit has been filed on his behalf, he will use reasonable best efforts to immediately cause it to be withdrawn and dismissed, and (b) he has no known workplace injuries or occupational diseases and has been provided and/or has not been denied any leave requested under the Family and Medical Leave Act or any similar state law, and (c) he has received the Company’s Insider Trading Compliance Policy and agrees to continue to abide by all applicable terms therein, including specifically, Section IV (C) which states, “With the exception of the preclearance requirement, the insider trading laws continue to apply to all transactions in the Company’s securities even after termination of service of service to the Company. If an individual is in the possession of material non-public information when his or her service terminates, that individual may not trade in the Company’s securities until that information has become public or is no longer material.”</w:t>
      </w:r>
    </w:p>
    <w:p>
      <w:pPr>
        <w:spacing w:after="0" w:line="185" w:lineRule="exact"/>
        <w:rPr>
          <w:rFonts w:ascii="Arial" w:cs="Arial" w:eastAsia="Arial" w:hAnsi="Arial"/>
          <w:sz w:val="17"/>
          <w:szCs w:val="17"/>
          <w:color w:val="auto"/>
        </w:rPr>
      </w:pPr>
    </w:p>
    <w:p>
      <w:pPr>
        <w:ind w:left="-20" w:firstLine="333"/>
        <w:spacing w:after="0" w:line="271" w:lineRule="auto"/>
        <w:tabs>
          <w:tab w:leader="none" w:pos="574"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No Assignment by Executive</w:t>
      </w:r>
      <w:r>
        <w:rPr>
          <w:rFonts w:ascii="Arial" w:cs="Arial" w:eastAsia="Arial" w:hAnsi="Arial"/>
          <w:sz w:val="17"/>
          <w:szCs w:val="17"/>
          <w:color w:val="auto"/>
        </w:rPr>
        <w:t>. Executive warrants and represents that no portion of any of the matters released herein, and no portion of any recovery or settlement to which Executive might be entitled, has been assigned or transferred to any other person, firm or corporation not a party to this Agreement, in any manner, including by way of subrogation or operation of law or otherwise. If any claim, action, demand or suit should be made or instituted against the Company or any other Releasee because of any actual assignment, subrogation or transfer by Executive, Executive agrees to indemnify and hold harmless the Company and all other Releasees against such claim, action, suit or demand, including necessary expenses of investigation, attorneys’ fees and costs. In the event of Executive’s death, this Agreement shall inure to the benefit of Executive and Executive’s executors, administrators, heirs, distributees, devisees, and legatees. None of Executive’s rights or obligations may be assigned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25" w:right="999" w:bottom="1440" w:gutter="0" w:footer="0" w:header="0"/>
        </w:sectPr>
      </w:pPr>
    </w:p>
    <w:bookmarkStart w:id="135" w:name="page136"/>
    <w:bookmarkEnd w:id="135"/>
    <w:p>
      <w:pPr>
        <w:ind w:right="100"/>
        <w:spacing w:after="0" w:line="277" w:lineRule="auto"/>
        <w:rPr>
          <w:sz w:val="20"/>
          <w:szCs w:val="20"/>
          <w:color w:val="auto"/>
        </w:rPr>
      </w:pPr>
      <w:r>
        <w:rPr>
          <w:rFonts w:ascii="Arial" w:cs="Arial" w:eastAsia="Arial" w:hAnsi="Arial"/>
          <w:sz w:val="18"/>
          <w:szCs w:val="18"/>
          <w:color w:val="auto"/>
        </w:rPr>
        <w:t>or transferred by Executive, other than Executive’s rights to payments hereunder, which may be transferred only upon Executive’s death by will or operation of law.</w:t>
      </w:r>
    </w:p>
    <w:p>
      <w:pPr>
        <w:spacing w:after="0" w:line="170" w:lineRule="exact"/>
        <w:rPr>
          <w:sz w:val="20"/>
          <w:szCs w:val="20"/>
          <w:color w:val="auto"/>
        </w:rPr>
      </w:pPr>
    </w:p>
    <w:p>
      <w:pPr>
        <w:jc w:val="both"/>
        <w:ind w:right="520" w:firstLine="333"/>
        <w:spacing w:after="0" w:line="263" w:lineRule="auto"/>
        <w:tabs>
          <w:tab w:leader="none" w:pos="58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enforced in accordance with, and the rights of the parties shall be governed by, the laws of the State of California or, where applicable, United States federal law, in each case, without regard to any conflicts of laws provisions or those of any state other than California.</w:t>
      </w:r>
    </w:p>
    <w:p>
      <w:pPr>
        <w:spacing w:after="0" w:line="183" w:lineRule="exact"/>
        <w:rPr>
          <w:rFonts w:ascii="Arial" w:cs="Arial" w:eastAsia="Arial" w:hAnsi="Arial"/>
          <w:sz w:val="18"/>
          <w:szCs w:val="18"/>
          <w:color w:val="auto"/>
        </w:rPr>
      </w:pPr>
    </w:p>
    <w:p>
      <w:pPr>
        <w:ind w:right="40" w:firstLine="333"/>
        <w:spacing w:after="0" w:line="271" w:lineRule="auto"/>
        <w:tabs>
          <w:tab w:leader="none" w:pos="594"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xml:space="preserve">. This Agreement, together with the Confidential Information Agreement, the RSU Award Agreement, the Option Agreements and the form of General Release of Claims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comprise the entire agreement between the parties with regard to the subject matter hereof and supersedes, in their entirety, any other agreements between Executive and the Company with regard to the subject matter hereof, including without limitation, the Severance Agreement. Executive acknowledges that there are no other agreements, written, oral or implied, and that he may not rely on any prior negotiations, discussions, representations or agreements. This Agreement may be modified only in writing, and such writing must be signed by both parties and recited that it is intended to modify this Agreement. This Agreement may be executed in separate counterparts, each of which is deemed to be an original and all of which taken together constitute one and the same agreement.</w:t>
      </w:r>
    </w:p>
    <w:p>
      <w:pPr>
        <w:spacing w:after="0" w:line="178" w:lineRule="exact"/>
        <w:rPr>
          <w:rFonts w:ascii="Arial" w:cs="Arial" w:eastAsia="Arial" w:hAnsi="Arial"/>
          <w:sz w:val="17"/>
          <w:szCs w:val="17"/>
          <w:color w:val="auto"/>
        </w:rPr>
      </w:pPr>
    </w:p>
    <w:p>
      <w:pPr>
        <w:ind w:right="500" w:firstLine="333"/>
        <w:spacing w:after="0" w:line="311" w:lineRule="auto"/>
        <w:tabs>
          <w:tab w:leader="none" w:pos="594"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Company Assignment and Successors</w:t>
      </w:r>
      <w:r>
        <w:rPr>
          <w:rFonts w:ascii="Arial" w:cs="Arial" w:eastAsia="Arial" w:hAnsi="Arial"/>
          <w:sz w:val="16"/>
          <w:szCs w:val="16"/>
          <w:color w:val="auto"/>
        </w:rPr>
        <w:t>. The Company shall assign its rights and obligations under this Agreement to any successor to all or substantially all of the business or the assets of the Company (by merger or otherwise). This Agreement shall be binding upon and inure to the benefit of the Company and its successors, assigns, personnel and legal representatives.</w:t>
      </w:r>
    </w:p>
    <w:p>
      <w:pPr>
        <w:spacing w:after="0" w:line="148" w:lineRule="exact"/>
        <w:rPr>
          <w:rFonts w:ascii="Arial" w:cs="Arial" w:eastAsia="Arial" w:hAnsi="Arial"/>
          <w:sz w:val="16"/>
          <w:szCs w:val="16"/>
          <w:color w:val="auto"/>
        </w:rPr>
      </w:pPr>
    </w:p>
    <w:p>
      <w:pPr>
        <w:ind w:right="280" w:firstLine="333"/>
        <w:spacing w:after="0" w:line="286" w:lineRule="auto"/>
        <w:tabs>
          <w:tab w:leader="none" w:pos="594"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Maintaining Confidential Information</w:t>
      </w:r>
      <w:r>
        <w:rPr>
          <w:rFonts w:ascii="Arial" w:cs="Arial" w:eastAsia="Arial" w:hAnsi="Arial"/>
          <w:sz w:val="17"/>
          <w:szCs w:val="17"/>
          <w:color w:val="auto"/>
        </w:rPr>
        <w:t>. Executive reaffirms his obligations under the Confidential Information Agreement. Executive acknowledges and agrees that the payments and benefits provided in Sections 2 and 4 above shall be subject to Executive’s continued compliance with Executive’s obligations under the Confidential Information Agreement.</w:t>
      </w:r>
    </w:p>
    <w:p>
      <w:pPr>
        <w:spacing w:after="0" w:line="165" w:lineRule="exact"/>
        <w:rPr>
          <w:rFonts w:ascii="Arial" w:cs="Arial" w:eastAsia="Arial" w:hAnsi="Arial"/>
          <w:sz w:val="17"/>
          <w:szCs w:val="17"/>
          <w:color w:val="auto"/>
        </w:rPr>
      </w:pPr>
    </w:p>
    <w:p>
      <w:pPr>
        <w:ind w:left="600" w:hanging="267"/>
        <w:spacing w:after="0"/>
        <w:tabs>
          <w:tab w:leader="none" w:pos="6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Executive’s Cooperation</w:t>
      </w:r>
      <w:r>
        <w:rPr>
          <w:rFonts w:ascii="Arial" w:cs="Arial" w:eastAsia="Arial" w:hAnsi="Arial"/>
          <w:sz w:val="18"/>
          <w:szCs w:val="18"/>
          <w:color w:val="auto"/>
        </w:rPr>
        <w:t>. Executive further agrees that:</w:t>
      </w:r>
    </w:p>
    <w:p>
      <w:pPr>
        <w:spacing w:after="0" w:line="225" w:lineRule="exact"/>
        <w:rPr>
          <w:sz w:val="20"/>
          <w:szCs w:val="20"/>
          <w:color w:val="auto"/>
        </w:rPr>
      </w:pPr>
    </w:p>
    <w:p>
      <w:pPr>
        <w:ind w:right="100" w:firstLine="333"/>
        <w:spacing w:after="0" w:line="259" w:lineRule="auto"/>
        <w:tabs>
          <w:tab w:leader="none" w:pos="569"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Transition</w:t>
      </w:r>
      <w:r>
        <w:rPr>
          <w:rFonts w:ascii="Arial" w:cs="Arial" w:eastAsia="Arial" w:hAnsi="Arial"/>
          <w:sz w:val="18"/>
          <w:szCs w:val="18"/>
          <w:color w:val="auto"/>
        </w:rPr>
        <w:t>. From the Effective Date through the Resignation Date, Executive shall continue to provide full-time services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shall continue to fully discharge all duties of the position of the Chief Financial Officer in a diligent and professional manner, and shall cooperate with the Company in the preparation and presentation of public statements regarding Executive’s planned departure from the Company.</w:t>
      </w:r>
    </w:p>
    <w:p>
      <w:pPr>
        <w:spacing w:after="0" w:line="186" w:lineRule="exact"/>
        <w:rPr>
          <w:rFonts w:ascii="Arial" w:cs="Arial" w:eastAsia="Arial" w:hAnsi="Arial"/>
          <w:sz w:val="18"/>
          <w:szCs w:val="18"/>
          <w:color w:val="auto"/>
        </w:rPr>
      </w:pPr>
    </w:p>
    <w:p>
      <w:pPr>
        <w:ind w:firstLine="333"/>
        <w:spacing w:after="0" w:line="287" w:lineRule="auto"/>
        <w:tabs>
          <w:tab w:leader="none" w:pos="579"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Investigations</w:t>
      </w:r>
      <w:r>
        <w:rPr>
          <w:rFonts w:ascii="Arial" w:cs="Arial" w:eastAsia="Arial" w:hAnsi="Arial"/>
          <w:sz w:val="16"/>
          <w:szCs w:val="16"/>
          <w:color w:val="auto"/>
        </w:rPr>
        <w:t>. After the Resignation Date, Executive shall use reasonable efforts to cooperate with the Company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affiliates, upon the Company’s reasonable request, with respect to any internal investigation or administrative, regulatory or judicial proceeding involving matters within the scope of Executive’s duties and responsibilities to the Company or its affiliates during his employment with the Company (including, without limitation, Executive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have come into Executive’s possession during his employment);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request by the Company shall not be unduly burdensome or interfere with Executive’s personal schedule or ability to engage in gainful employment, consulting or other work, and the Company shall pay, upon invoicing by Executive, all reasonably incurred fees for his time in so cooperating (which shall not exceed one thousand dollars ($1,000) per eight hour day), and reimburse Executive for his actual, reasonable, out-of-pocket expenses (including without limitation, any and all reasonable attorney’s fees and costs) incurred in connection with providing any such cooperation.</w:t>
      </w:r>
    </w:p>
    <w:p>
      <w:pPr>
        <w:spacing w:after="0" w:line="17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WITNESS WHEREOF, the undersigned have caused this Transition and Separation Agreement to be duly executed and delivered as of the date indicated next to their respective signatures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DATED: 11/25/2019</w:t>
      </w:r>
    </w:p>
    <w:p>
      <w:pPr>
        <w:ind w:left="5140"/>
        <w:spacing w:after="0" w:line="234" w:lineRule="auto"/>
        <w:rPr>
          <w:sz w:val="20"/>
          <w:szCs w:val="20"/>
          <w:color w:val="auto"/>
        </w:rPr>
      </w:pPr>
      <w:r>
        <w:rPr>
          <w:rFonts w:ascii="Arial" w:cs="Arial" w:eastAsia="Arial" w:hAnsi="Arial"/>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0</wp:posOffset>
            </wp:positionV>
            <wp:extent cx="30346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8"/>
          <w:szCs w:val="18"/>
          <w:color w:val="auto"/>
        </w:rPr>
        <w:t>Mark Kaufmann</w:t>
      </w:r>
    </w:p>
    <w:p>
      <w:pPr>
        <w:spacing w:after="0" w:line="15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ARDELYX, INC.</w:t>
      </w:r>
    </w:p>
    <w:p>
      <w:pPr>
        <w:spacing w:after="0" w:line="219" w:lineRule="auto"/>
        <w:rPr>
          <w:sz w:val="20"/>
          <w:szCs w:val="20"/>
          <w:color w:val="auto"/>
        </w:rPr>
      </w:pPr>
      <w:r>
        <w:rPr>
          <w:rFonts w:ascii="Arial" w:cs="Arial" w:eastAsia="Arial" w:hAnsi="Arial"/>
          <w:sz w:val="18"/>
          <w:szCs w:val="18"/>
          <w:color w:val="auto"/>
        </w:rPr>
        <w:t>DATED: 11/25/2019</w:t>
      </w:r>
    </w:p>
    <w:p>
      <w:pPr>
        <w:ind w:left="5140"/>
        <w:spacing w:after="0" w:line="234" w:lineRule="auto"/>
        <w:rPr>
          <w:sz w:val="20"/>
          <w:szCs w:val="20"/>
          <w:color w:val="auto"/>
        </w:rPr>
      </w:pPr>
      <w:r>
        <w:rPr>
          <w:rFonts w:ascii="Arial" w:cs="Arial" w:eastAsia="Arial" w:hAnsi="Arial"/>
          <w:sz w:val="18"/>
          <w:szCs w:val="18"/>
          <w:color w:val="auto"/>
        </w:rPr>
        <w:t>By: /Mike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0</wp:posOffset>
            </wp:positionV>
            <wp:extent cx="2802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Mike Raab, President &amp; CEO</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RELEASE OF CLAIMS</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This General Release of Claims (“</w:t>
      </w:r>
      <w:r>
        <w:rPr>
          <w:rFonts w:ascii="Arial" w:cs="Arial" w:eastAsia="Arial" w:hAnsi="Arial"/>
          <w:sz w:val="17"/>
          <w:szCs w:val="17"/>
          <w:u w:val="single" w:color="auto"/>
          <w:color w:val="auto"/>
        </w:rPr>
        <w:t>Release</w:t>
      </w:r>
      <w:r>
        <w:rPr>
          <w:rFonts w:ascii="Arial" w:cs="Arial" w:eastAsia="Arial" w:hAnsi="Arial"/>
          <w:sz w:val="17"/>
          <w:szCs w:val="17"/>
          <w:color w:val="auto"/>
        </w:rPr>
        <w:t>”) is entered into as of , between Mark Kaufmann (“</w:t>
      </w:r>
      <w:r>
        <w:rPr>
          <w:rFonts w:ascii="Arial" w:cs="Arial" w:eastAsia="Arial" w:hAnsi="Arial"/>
          <w:sz w:val="17"/>
          <w:szCs w:val="17"/>
          <w:u w:val="single" w:color="auto"/>
          <w:color w:val="auto"/>
        </w:rPr>
        <w:t>Executive</w:t>
      </w:r>
      <w:r>
        <w:rPr>
          <w:rFonts w:ascii="Arial" w:cs="Arial" w:eastAsia="Arial" w:hAnsi="Arial"/>
          <w:sz w:val="17"/>
          <w:szCs w:val="17"/>
          <w:color w:val="auto"/>
        </w:rPr>
        <w:t>”) and Ardelyx, Inc. (the “</w:t>
      </w:r>
      <w:r>
        <w:rPr>
          <w:rFonts w:ascii="Arial" w:cs="Arial" w:eastAsia="Arial" w:hAnsi="Arial"/>
          <w:sz w:val="17"/>
          <w:szCs w:val="17"/>
          <w:u w:val="single" w:color="auto"/>
          <w:color w:val="auto"/>
        </w:rPr>
        <w:t>Company</w:t>
      </w:r>
      <w:r>
        <w:rPr>
          <w:rFonts w:ascii="Arial" w:cs="Arial" w:eastAsia="Arial" w:hAnsi="Arial"/>
          <w:sz w:val="17"/>
          <w:szCs w:val="17"/>
          <w:color w:val="auto"/>
        </w:rPr>
        <w:t>”) (collectively referred to herein as the “</w:t>
      </w:r>
      <w:r>
        <w:rPr>
          <w:rFonts w:ascii="Arial" w:cs="Arial" w:eastAsia="Arial" w:hAnsi="Arial"/>
          <w:sz w:val="17"/>
          <w:szCs w:val="17"/>
          <w:u w:val="single" w:color="auto"/>
          <w:color w:val="auto"/>
        </w:rPr>
        <w:t>Parties</w:t>
      </w:r>
      <w:r>
        <w:rPr>
          <w:rFonts w:ascii="Arial" w:cs="Arial" w:eastAsia="Arial" w:hAnsi="Arial"/>
          <w:sz w:val="17"/>
          <w:szCs w:val="17"/>
          <w:color w:val="auto"/>
        </w:rPr>
        <w:t>”), effective eight (8) days after Executive’s signature hereto (the “</w:t>
      </w:r>
      <w:r>
        <w:rPr>
          <w:rFonts w:ascii="Arial" w:cs="Arial" w:eastAsia="Arial" w:hAnsi="Arial"/>
          <w:sz w:val="17"/>
          <w:szCs w:val="17"/>
          <w:u w:val="single" w:color="auto"/>
          <w:color w:val="auto"/>
        </w:rPr>
        <w:t>Effective Date</w:t>
      </w:r>
      <w:r>
        <w:rPr>
          <w:rFonts w:ascii="Arial" w:cs="Arial" w:eastAsia="Arial" w:hAnsi="Arial"/>
          <w:sz w:val="17"/>
          <w:szCs w:val="17"/>
          <w:color w:val="auto"/>
        </w:rPr>
        <w:t>”), unless Executive revokes his acceptance of this Release as provided in Paragraph 1(c), below.</w:t>
      </w:r>
    </w:p>
    <w:p>
      <w:pPr>
        <w:spacing w:after="0" w:line="165" w:lineRule="exact"/>
        <w:rPr>
          <w:sz w:val="20"/>
          <w:szCs w:val="20"/>
          <w:color w:val="auto"/>
        </w:rPr>
      </w:pPr>
    </w:p>
    <w:p>
      <w:pPr>
        <w:ind w:left="520" w:hanging="187"/>
        <w:spacing w:after="0"/>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Executive’s Release of the Company</w:t>
      </w:r>
      <w:r>
        <w:rPr>
          <w:rFonts w:ascii="Arial" w:cs="Arial" w:eastAsia="Arial" w:hAnsi="Arial"/>
          <w:sz w:val="18"/>
          <w:szCs w:val="18"/>
          <w:color w:val="auto"/>
        </w:rPr>
        <w:t>.</w:t>
      </w:r>
    </w:p>
    <w:p>
      <w:pPr>
        <w:spacing w:after="0" w:line="225" w:lineRule="exact"/>
        <w:rPr>
          <w:sz w:val="20"/>
          <w:szCs w:val="20"/>
          <w:color w:val="auto"/>
        </w:rPr>
      </w:pPr>
    </w:p>
    <w:p>
      <w:pPr>
        <w:ind w:right="100" w:firstLine="333"/>
        <w:spacing w:after="0" w:line="272" w:lineRule="auto"/>
        <w:tabs>
          <w:tab w:leader="none" w:pos="569" w:val="left"/>
        </w:tabs>
        <w:numPr>
          <w:ilvl w:val="0"/>
          <w:numId w:val="95"/>
        </w:numPr>
        <w:rPr>
          <w:rFonts w:ascii="Arial" w:cs="Arial" w:eastAsia="Arial" w:hAnsi="Arial"/>
          <w:sz w:val="17"/>
          <w:szCs w:val="17"/>
          <w:color w:val="auto"/>
        </w:rPr>
      </w:pPr>
      <w:r>
        <w:rPr>
          <w:rFonts w:ascii="Arial" w:cs="Arial" w:eastAsia="Arial" w:hAnsi="Arial"/>
          <w:sz w:val="17"/>
          <w:szCs w:val="17"/>
          <w:color w:val="auto"/>
        </w:rPr>
        <w:t>Executive, on his own behalf and on behalf of his family members, heirs, executors, administrators, agents, and assigns, hereby and forever releases the Company and its current and former officers, directors, employees, agents, investors, attorneys, affiliates, divisions, and subsidiaries, and predecessor and successor corporations and assigns (the “</w:t>
      </w:r>
      <w:r>
        <w:rPr>
          <w:rFonts w:ascii="Arial" w:cs="Arial" w:eastAsia="Arial" w:hAnsi="Arial"/>
          <w:sz w:val="17"/>
          <w:szCs w:val="17"/>
          <w:u w:val="single" w:color="auto"/>
          <w:color w:val="auto"/>
        </w:rPr>
        <w:t>Releasees</w:t>
      </w:r>
      <w:r>
        <w:rPr>
          <w:rFonts w:ascii="Arial" w:cs="Arial" w:eastAsia="Arial" w:hAnsi="Arial"/>
          <w:sz w:val="17"/>
          <w:szCs w:val="17"/>
          <w:color w:val="auto"/>
        </w:rPr>
        <w:t>”)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Release, including, without limitation:</w:t>
      </w:r>
    </w:p>
    <w:p>
      <w:pPr>
        <w:spacing w:after="0" w:line="177" w:lineRule="exact"/>
        <w:rPr>
          <w:sz w:val="20"/>
          <w:szCs w:val="20"/>
          <w:color w:val="auto"/>
        </w:rPr>
      </w:pPr>
    </w:p>
    <w:p>
      <w:pPr>
        <w:ind w:right="380" w:firstLine="333"/>
        <w:spacing w:after="0" w:line="277" w:lineRule="auto"/>
        <w:tabs>
          <w:tab w:leader="none" w:pos="539"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employment relationship with Company and the termination of that relationship;</w:t>
      </w:r>
    </w:p>
    <w:p>
      <w:pPr>
        <w:spacing w:after="0" w:line="170" w:lineRule="exact"/>
        <w:rPr>
          <w:rFonts w:ascii="Arial" w:cs="Arial" w:eastAsia="Arial" w:hAnsi="Arial"/>
          <w:sz w:val="18"/>
          <w:szCs w:val="18"/>
          <w:color w:val="auto"/>
        </w:rPr>
      </w:pPr>
    </w:p>
    <w:p>
      <w:pPr>
        <w:ind w:right="100" w:firstLine="333"/>
        <w:spacing w:after="0" w:line="296" w:lineRule="auto"/>
        <w:tabs>
          <w:tab w:leader="none" w:pos="589"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1" w:lineRule="exact"/>
        <w:rPr>
          <w:rFonts w:ascii="Arial" w:cs="Arial" w:eastAsia="Arial" w:hAnsi="Arial"/>
          <w:sz w:val="16"/>
          <w:szCs w:val="16"/>
          <w:color w:val="auto"/>
        </w:rPr>
      </w:pPr>
    </w:p>
    <w:p>
      <w:pPr>
        <w:ind w:right="40" w:firstLine="333"/>
        <w:spacing w:after="0" w:line="254" w:lineRule="auto"/>
        <w:tabs>
          <w:tab w:leader="none" w:pos="639"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except as prohibited by law; the Fair Credit Reporting Act; the Age Discrimination in Employment Act of 1967; the Older Workers Benefit Protection Act; the Employee Retirement Income Security Act of 1974; the Worker Adjustment and Retraining Notification Act; the Family and Medical Leave Act, except as prohibited by law; the Sarbanes-Oxley Act of 2002, except as prohibited by law; the Uniformed Services Employment and Reemployment Rights Act; the California Family Rights Act; the California Labor Code, except as prohibited by law; the California Workers’ Compensation Act, except as prohibited by law; and the California Fair Employment and Housing Act;</w:t>
      </w:r>
    </w:p>
    <w:p>
      <w:pPr>
        <w:spacing w:after="0" w:line="191" w:lineRule="exact"/>
        <w:rPr>
          <w:rFonts w:ascii="Arial" w:cs="Arial" w:eastAsia="Arial" w:hAnsi="Arial"/>
          <w:sz w:val="18"/>
          <w:szCs w:val="18"/>
          <w:color w:val="auto"/>
        </w:rPr>
      </w:pPr>
    </w:p>
    <w:p>
      <w:pPr>
        <w:ind w:left="640" w:hanging="307"/>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225" w:lineRule="exact"/>
        <w:rPr>
          <w:rFonts w:ascii="Arial" w:cs="Arial" w:eastAsia="Arial" w:hAnsi="Arial"/>
          <w:sz w:val="18"/>
          <w:szCs w:val="18"/>
          <w:color w:val="auto"/>
        </w:rPr>
      </w:pPr>
    </w:p>
    <w:p>
      <w:pPr>
        <w:ind w:left="580" w:hanging="247"/>
        <w:spacing w:after="0"/>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25" w:lineRule="exact"/>
        <w:rPr>
          <w:rFonts w:ascii="Arial" w:cs="Arial" w:eastAsia="Arial" w:hAnsi="Arial"/>
          <w:sz w:val="18"/>
          <w:szCs w:val="18"/>
          <w:color w:val="auto"/>
        </w:rPr>
      </w:pPr>
    </w:p>
    <w:p>
      <w:pPr>
        <w:ind w:right="160" w:firstLine="333"/>
        <w:spacing w:after="0" w:line="263" w:lineRule="auto"/>
        <w:tabs>
          <w:tab w:leader="none" w:pos="629"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claim for any loss, cost, damage, or expense arising out of any dispute over the non-withholding or other tax treatment of any of the proceeds received by Executive as a result of the Transition and Separation Agreement entered into between the Parties as of [________], 2019 (the “</w:t>
      </w:r>
      <w:r>
        <w:rPr>
          <w:rFonts w:ascii="Arial" w:cs="Arial" w:eastAsia="Arial" w:hAnsi="Arial"/>
          <w:sz w:val="18"/>
          <w:szCs w:val="18"/>
          <w:u w:val="single" w:color="auto"/>
          <w:color w:val="auto"/>
        </w:rPr>
        <w:t>Transition and Separation Agreement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80" w:hanging="347"/>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claim for breach of contract or breach of the implied covenant of good faith and fair dealing;</w:t>
      </w:r>
    </w:p>
    <w:p>
      <w:pPr>
        <w:spacing w:after="0" w:line="225" w:lineRule="exact"/>
        <w:rPr>
          <w:rFonts w:ascii="Arial" w:cs="Arial" w:eastAsia="Arial" w:hAnsi="Arial"/>
          <w:sz w:val="18"/>
          <w:szCs w:val="18"/>
          <w:color w:val="auto"/>
        </w:rPr>
      </w:pPr>
    </w:p>
    <w:p>
      <w:pPr>
        <w:ind w:left="740" w:hanging="407"/>
        <w:spacing w:after="0"/>
        <w:tabs>
          <w:tab w:leader="none" w:pos="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225" w:lineRule="exact"/>
        <w:rPr>
          <w:sz w:val="20"/>
          <w:szCs w:val="20"/>
          <w:color w:val="auto"/>
        </w:rPr>
      </w:pPr>
    </w:p>
    <w:p>
      <w:pPr>
        <w:ind w:firstLine="333"/>
        <w:spacing w:after="0" w:line="277" w:lineRule="auto"/>
        <w:tabs>
          <w:tab w:leader="none" w:pos="579"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Executive agrees that the release set forth in this Section shall be and remain in effect in all respects as a complete general release as to the matters released. This release does not extend to any obligations incurred under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7" w:name="page138"/>
    <w:bookmarkEnd w:id="137"/>
    <w:p>
      <w:pPr>
        <w:ind w:right="20"/>
        <w:spacing w:after="0" w:line="290" w:lineRule="auto"/>
        <w:rPr>
          <w:sz w:val="20"/>
          <w:szCs w:val="20"/>
          <w:color w:val="auto"/>
        </w:rPr>
      </w:pPr>
      <w:r>
        <w:rPr>
          <w:rFonts w:ascii="Arial" w:cs="Arial" w:eastAsia="Arial" w:hAnsi="Arial"/>
          <w:sz w:val="16"/>
          <w:szCs w:val="16"/>
          <w:color w:val="auto"/>
        </w:rPr>
        <w:t>the Transition and Separation Agreement or the Option Agreements (as defined in the Transition and Separation Agreement). This release does not release claims or rights that cannot be released as a matter of law, including, but not limited to, claims under Division 3, Article 2 of the California Labor Code (which includes California Labor Code Section 2802 regarding indemnity for necessary expenditures or losses by Executive) any other indemnification, defense, or hold-harmless rights Executive may have, and Executive’s right to bring to the attention of the Equal Employment Opportunity Commission or California Department of Fair Employment and Housing claims of discrimination, harassment or retaliation; provided, however, that Executive does release his right to obtain damages for any such claims. This release does not release claims or rights that Executive may have as a shareholder of the Company or for vested benefits under any benefit plan or to continued participation in any such plan pursuant to the terms thereof or applicable law.</w:t>
      </w:r>
    </w:p>
    <w:p>
      <w:pPr>
        <w:spacing w:after="0" w:line="165" w:lineRule="exact"/>
        <w:rPr>
          <w:sz w:val="20"/>
          <w:szCs w:val="20"/>
          <w:color w:val="auto"/>
        </w:rPr>
      </w:pPr>
    </w:p>
    <w:p>
      <w:pPr>
        <w:ind w:right="40" w:firstLine="333"/>
        <w:spacing w:after="0" w:line="284" w:lineRule="auto"/>
        <w:tabs>
          <w:tab w:leader="none" w:pos="569"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Acknowledgment of Waiver of Claims under ADEA</w:t>
      </w:r>
      <w:r>
        <w:rPr>
          <w:rFonts w:ascii="Arial" w:cs="Arial" w:eastAsia="Arial" w:hAnsi="Arial"/>
          <w:sz w:val="16"/>
          <w:szCs w:val="16"/>
          <w:color w:val="auto"/>
        </w:rPr>
        <w:t>. Executive acknowledges that he is waiving and releasing any rights he may have under the Age Discrimination in Employment Act of 1967 (“</w:t>
      </w:r>
      <w:r>
        <w:rPr>
          <w:rFonts w:ascii="Arial" w:cs="Arial" w:eastAsia="Arial" w:hAnsi="Arial"/>
          <w:sz w:val="16"/>
          <w:szCs w:val="16"/>
          <w:u w:val="single" w:color="auto"/>
          <w:color w:val="auto"/>
        </w:rPr>
        <w:t>ADEA</w:t>
      </w:r>
      <w:r>
        <w:rPr>
          <w:rFonts w:ascii="Arial" w:cs="Arial" w:eastAsia="Arial" w:hAnsi="Arial"/>
          <w:sz w:val="16"/>
          <w:szCs w:val="16"/>
          <w:color w:val="auto"/>
        </w:rPr>
        <w:t>”), and that this waiver and release is knowing and voluntary. Executive acknowledges that this waiver and release does not apply to any rights or claims that may arise under the ADEA after the Effective Date of this Release. Executive acknowledges that the consideration given for this waiver and release is in addition to anything of value to which Executive was already entitled. Executive further acknowledges that he has been advised by this writing that: (a) he should consult with an attorney prior to executing this Release; (b) he has twenty-one (21) days within which to consider this Release;</w:t>
      </w:r>
    </w:p>
    <w:p>
      <w:pPr>
        <w:spacing w:after="0" w:line="4" w:lineRule="exact"/>
        <w:rPr>
          <w:rFonts w:ascii="Arial" w:cs="Arial" w:eastAsia="Arial" w:hAnsi="Arial"/>
          <w:sz w:val="16"/>
          <w:szCs w:val="16"/>
          <w:color w:val="auto"/>
        </w:rPr>
      </w:pPr>
    </w:p>
    <w:p>
      <w:pPr>
        <w:ind w:firstLine="9"/>
        <w:spacing w:after="0" w:line="268" w:lineRule="auto"/>
        <w:tabs>
          <w:tab w:leader="none" w:pos="245" w:val="left"/>
        </w:tabs>
        <w:numPr>
          <w:ilvl w:val="0"/>
          <w:numId w:val="99"/>
        </w:numPr>
        <w:rPr>
          <w:rFonts w:ascii="Arial" w:cs="Arial" w:eastAsia="Arial" w:hAnsi="Arial"/>
          <w:sz w:val="17"/>
          <w:szCs w:val="17"/>
          <w:color w:val="auto"/>
        </w:rPr>
      </w:pPr>
      <w:r>
        <w:rPr>
          <w:rFonts w:ascii="Arial" w:cs="Arial" w:eastAsia="Arial" w:hAnsi="Arial"/>
          <w:sz w:val="17"/>
          <w:szCs w:val="17"/>
          <w:color w:val="auto"/>
        </w:rPr>
        <w:t>he has seven (7) days following his execution of this Release to revoke this Release; (d) this Release shall not be effective until after the revocation period has expired and Executive will not receive the severance and other benefits provided by Section 2 of the Transition and Separation Agreement unless and until the revocation period has expired; and (e) nothing in this Release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Release and returns it to the Company’s General Counsel in less than the 21-day period identified above, Executive hereby acknowledges that he has freely and voluntarily chosen to waive the time period allotted for considering this Release. To revoke his acceptance of this Release, Executive must contact the Company’s General Counsel by email at egrammer@ardelyx.com no later than 5 p.m. on the 7</w:t>
      </w:r>
      <w:r>
        <w:rPr>
          <w:rFonts w:ascii="Arial" w:cs="Arial" w:eastAsia="Arial" w:hAnsi="Arial"/>
          <w:sz w:val="8"/>
          <w:szCs w:val="8"/>
          <w:color w:val="auto"/>
        </w:rPr>
        <w:t>th</w:t>
      </w:r>
      <w:r>
        <w:rPr>
          <w:rFonts w:ascii="Arial" w:cs="Arial" w:eastAsia="Arial" w:hAnsi="Arial"/>
          <w:sz w:val="17"/>
          <w:szCs w:val="17"/>
          <w:color w:val="auto"/>
        </w:rPr>
        <w:t xml:space="preserve"> day following Executive’s signature of this Release.</w:t>
      </w:r>
    </w:p>
    <w:p>
      <w:pPr>
        <w:spacing w:after="0" w:line="181" w:lineRule="exact"/>
        <w:rPr>
          <w:rFonts w:ascii="Arial" w:cs="Arial" w:eastAsia="Arial" w:hAnsi="Arial"/>
          <w:sz w:val="17"/>
          <w:szCs w:val="17"/>
          <w:color w:val="auto"/>
        </w:rPr>
      </w:pPr>
    </w:p>
    <w:p>
      <w:pPr>
        <w:ind w:right="80" w:firstLine="333"/>
        <w:spacing w:after="0" w:line="263" w:lineRule="auto"/>
        <w:tabs>
          <w:tab w:leader="none" w:pos="579"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California Civil Code Section 1542</w:t>
      </w:r>
      <w:r>
        <w:rPr>
          <w:rFonts w:ascii="Arial" w:cs="Arial" w:eastAsia="Arial" w:hAnsi="Arial"/>
          <w:sz w:val="18"/>
          <w:szCs w:val="18"/>
          <w:color w:val="auto"/>
        </w:rPr>
        <w:t>. Executive acknowledges that he has been advised to consult with legal counsel and is familiar with the provisions of California Civil Code Section 1542, a statute that otherwise prohibits unknown claims, which provides as follows:</w:t>
      </w:r>
    </w:p>
    <w:p>
      <w:pPr>
        <w:spacing w:after="0" w:line="18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 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Executive, being aware of said code section, agrees to expressly waive any rights he may have thereunder, as well as under any other statute or common law principles of similar effect.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Executive Representations</w:t>
      </w:r>
      <w:r>
        <w:rPr>
          <w:rFonts w:ascii="Arial" w:cs="Arial" w:eastAsia="Arial" w:hAnsi="Arial"/>
          <w:sz w:val="18"/>
          <w:szCs w:val="18"/>
          <w:color w:val="auto"/>
        </w:rPr>
        <w:t>. Executive represents and warrants that:</w:t>
      </w:r>
    </w:p>
    <w:p>
      <w:pPr>
        <w:spacing w:after="0" w:line="225" w:lineRule="exact"/>
        <w:rPr>
          <w:sz w:val="20"/>
          <w:szCs w:val="20"/>
          <w:color w:val="auto"/>
        </w:rPr>
      </w:pPr>
    </w:p>
    <w:p>
      <w:pPr>
        <w:ind w:right="320" w:firstLine="333"/>
        <w:spacing w:after="0" w:line="277" w:lineRule="auto"/>
        <w:tabs>
          <w:tab w:leader="none" w:pos="56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Executive’s knowledge, Executive has returned to the Company all Company property in Executive’s possession and if he discovers additional Company property in his possession he will promptly return it to the Company;</w:t>
      </w:r>
    </w:p>
    <w:p>
      <w:pPr>
        <w:spacing w:after="0" w:line="170" w:lineRule="exact"/>
        <w:rPr>
          <w:rFonts w:ascii="Arial" w:cs="Arial" w:eastAsia="Arial" w:hAnsi="Arial"/>
          <w:sz w:val="18"/>
          <w:szCs w:val="18"/>
          <w:color w:val="auto"/>
        </w:rPr>
      </w:pPr>
    </w:p>
    <w:p>
      <w:pPr>
        <w:jc w:val="both"/>
        <w:ind w:right="640" w:firstLine="333"/>
        <w:spacing w:after="0" w:line="342" w:lineRule="auto"/>
        <w:tabs>
          <w:tab w:leader="none" w:pos="57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Except as Executive has informed the Company in writing, Executive is not owed wages, commissions, bonuses or other compensation, other than any payments that become due under Sections 3 and 4(b) of the Transition and Separation Agreement;</w:t>
      </w:r>
    </w:p>
    <w:p>
      <w:pPr>
        <w:spacing w:after="0" w:line="123" w:lineRule="exact"/>
        <w:rPr>
          <w:rFonts w:ascii="Arial" w:cs="Arial" w:eastAsia="Arial" w:hAnsi="Arial"/>
          <w:sz w:val="16"/>
          <w:szCs w:val="16"/>
          <w:color w:val="auto"/>
        </w:rPr>
      </w:pPr>
    </w:p>
    <w:p>
      <w:pPr>
        <w:ind w:right="100" w:firstLine="333"/>
        <w:spacing w:after="0" w:line="263" w:lineRule="auto"/>
        <w:tabs>
          <w:tab w:leader="none" w:pos="56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During the course of Executive’s employment Executive did not sustain any injuries for which Executive might be entitled to compensation pursuant to worker’s compensation law or Executive has disclosed any injuries of which he is currently, reasonably aware for which he might be entitled to compensation pursuant to worker’s compensation law;</w:t>
      </w:r>
    </w:p>
    <w:p>
      <w:pPr>
        <w:spacing w:after="0" w:line="183" w:lineRule="exact"/>
        <w:rPr>
          <w:rFonts w:ascii="Arial" w:cs="Arial" w:eastAsia="Arial" w:hAnsi="Arial"/>
          <w:sz w:val="18"/>
          <w:szCs w:val="18"/>
          <w:color w:val="auto"/>
        </w:rPr>
      </w:pPr>
    </w:p>
    <w:p>
      <w:pPr>
        <w:ind w:right="280" w:firstLine="333"/>
        <w:spacing w:after="0" w:line="308" w:lineRule="auto"/>
        <w:tabs>
          <w:tab w:leader="none" w:pos="57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From the date Executive executed the Transition and Separation Agreement through the date Executive executes this Release, Executive has not made any disparaging comments about the Company, nor will Executive do so in the future; and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8" w:name="page139"/>
    <w:bookmarkEnd w:id="138"/>
    <w:p>
      <w:pPr>
        <w:ind w:right="200" w:firstLine="333"/>
        <w:spacing w:after="0" w:line="263" w:lineRule="auto"/>
        <w:tabs>
          <w:tab w:leader="none" w:pos="56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Executive has not initiated any adversarial proceedings of any kind against the Company or against any other person or entity released herein, nor will Executive do so in the future with respect to any claims released hereby, except as specifically allowed by this Release.</w:t>
      </w:r>
    </w:p>
    <w:p>
      <w:pPr>
        <w:spacing w:after="0" w:line="184" w:lineRule="exact"/>
        <w:rPr>
          <w:sz w:val="20"/>
          <w:szCs w:val="20"/>
          <w:color w:val="auto"/>
        </w:rPr>
      </w:pPr>
    </w:p>
    <w:p>
      <w:pPr>
        <w:ind w:right="620" w:firstLine="333"/>
        <w:spacing w:after="0" w:line="277" w:lineRule="auto"/>
        <w:tabs>
          <w:tab w:leader="none" w:pos="50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Continuing Obligations</w:t>
      </w:r>
      <w:r>
        <w:rPr>
          <w:rFonts w:ascii="Arial" w:cs="Arial" w:eastAsia="Arial" w:hAnsi="Arial"/>
          <w:sz w:val="18"/>
          <w:szCs w:val="18"/>
          <w:color w:val="auto"/>
        </w:rPr>
        <w:t>. Executive reaffirms his obligations under the Transition and Separation Agreement and under the Confidential Information Agreement (as defined in the Transition and Separation Agreement).</w:t>
      </w:r>
    </w:p>
    <w:p>
      <w:pPr>
        <w:spacing w:after="0" w:line="170" w:lineRule="exact"/>
        <w:rPr>
          <w:rFonts w:ascii="Arial" w:cs="Arial" w:eastAsia="Arial" w:hAnsi="Arial"/>
          <w:sz w:val="18"/>
          <w:szCs w:val="18"/>
          <w:color w:val="auto"/>
        </w:rPr>
      </w:pPr>
    </w:p>
    <w:p>
      <w:pPr>
        <w:ind w:right="120" w:firstLine="333"/>
        <w:spacing w:after="0" w:line="277" w:lineRule="auto"/>
        <w:tabs>
          <w:tab w:leader="none" w:pos="50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Cooperation with the Company</w:t>
      </w:r>
      <w:r>
        <w:rPr>
          <w:rFonts w:ascii="Arial" w:cs="Arial" w:eastAsia="Arial" w:hAnsi="Arial"/>
          <w:sz w:val="18"/>
          <w:szCs w:val="18"/>
          <w:color w:val="auto"/>
        </w:rPr>
        <w:t>. Executive reaffirms his obligations to cooperate with the Company pursuant to Section 15 of the Transition and Separation Agreement.</w:t>
      </w:r>
    </w:p>
    <w:p>
      <w:pPr>
        <w:spacing w:after="0" w:line="170" w:lineRule="exact"/>
        <w:rPr>
          <w:rFonts w:ascii="Arial" w:cs="Arial" w:eastAsia="Arial" w:hAnsi="Arial"/>
          <w:sz w:val="18"/>
          <w:szCs w:val="18"/>
          <w:color w:val="auto"/>
        </w:rPr>
      </w:pPr>
    </w:p>
    <w:p>
      <w:pPr>
        <w:ind w:right="20" w:firstLine="333"/>
        <w:spacing w:after="0" w:line="277" w:lineRule="auto"/>
        <w:tabs>
          <w:tab w:leader="none" w:pos="50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Release are severable. If any provision is held to be invalid or unenforceable, it shall not affect the validity or enforceability of any other provision.</w:t>
      </w:r>
    </w:p>
    <w:p>
      <w:pPr>
        <w:spacing w:after="0" w:line="170" w:lineRule="exact"/>
        <w:rPr>
          <w:rFonts w:ascii="Arial" w:cs="Arial" w:eastAsia="Arial" w:hAnsi="Arial"/>
          <w:sz w:val="18"/>
          <w:szCs w:val="18"/>
          <w:color w:val="auto"/>
        </w:rPr>
      </w:pPr>
    </w:p>
    <w:p>
      <w:pPr>
        <w:ind w:firstLine="333"/>
        <w:spacing w:after="0" w:line="277" w:lineRule="auto"/>
        <w:tabs>
          <w:tab w:leader="none" w:pos="50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Release shall in all respects be governed and construed in accordance with the laws of the State of California, including all matters of construction, validity and performance, without regard to conflicts of law principles.</w:t>
      </w:r>
    </w:p>
    <w:p>
      <w:pPr>
        <w:spacing w:after="0" w:line="170" w:lineRule="exact"/>
        <w:rPr>
          <w:rFonts w:ascii="Arial" w:cs="Arial" w:eastAsia="Arial" w:hAnsi="Arial"/>
          <w:sz w:val="18"/>
          <w:szCs w:val="18"/>
          <w:color w:val="auto"/>
        </w:rPr>
      </w:pPr>
    </w:p>
    <w:p>
      <w:pPr>
        <w:ind w:right="40" w:firstLine="333"/>
        <w:spacing w:after="0" w:line="275" w:lineRule="auto"/>
        <w:tabs>
          <w:tab w:leader="none" w:pos="504"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Integration Clause</w:t>
      </w:r>
      <w:r>
        <w:rPr>
          <w:rFonts w:ascii="Arial" w:cs="Arial" w:eastAsia="Arial" w:hAnsi="Arial"/>
          <w:sz w:val="17"/>
          <w:szCs w:val="17"/>
          <w:color w:val="auto"/>
        </w:rPr>
        <w:t>. This Release and the Transition and Separation Agreement, the Confidential Information Agreement, the RSU Award Agreement and the Option Agreements contain the Parties’ entire agreement with regard to the transition and separation of Executive’s employment, and supersede and replace any prior agreements as to those matters, whether oral or written, including without limitation, the Severance Agreement. This Release may not be changed or modified, in whole or in part, except by an instrument in writing signed by Executive and the President &amp; Chief Executive Officer of the Company.</w:t>
      </w:r>
    </w:p>
    <w:p>
      <w:pPr>
        <w:spacing w:after="0" w:line="176" w:lineRule="exact"/>
        <w:rPr>
          <w:rFonts w:ascii="Arial" w:cs="Arial" w:eastAsia="Arial" w:hAnsi="Arial"/>
          <w:sz w:val="17"/>
          <w:szCs w:val="17"/>
          <w:color w:val="auto"/>
        </w:rPr>
      </w:pPr>
    </w:p>
    <w:p>
      <w:pPr>
        <w:ind w:right="640" w:firstLine="333"/>
        <w:spacing w:after="0" w:line="342" w:lineRule="auto"/>
        <w:tabs>
          <w:tab w:leader="none" w:pos="504"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This Release may be executed in counterparts with the same force and effectiveness as though executed in a single document. Facsimile signatures shall have the same force and effectiveness as original signatures.</w:t>
      </w:r>
    </w:p>
    <w:p>
      <w:pPr>
        <w:spacing w:after="0" w:line="123" w:lineRule="exact"/>
        <w:rPr>
          <w:rFonts w:ascii="Arial" w:cs="Arial" w:eastAsia="Arial" w:hAnsi="Arial"/>
          <w:sz w:val="16"/>
          <w:szCs w:val="16"/>
          <w:color w:val="auto"/>
        </w:rPr>
      </w:pPr>
    </w:p>
    <w:p>
      <w:pPr>
        <w:ind w:right="680" w:firstLine="333"/>
        <w:spacing w:after="0" w:line="277" w:lineRule="auto"/>
        <w:tabs>
          <w:tab w:leader="none" w:pos="50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Intent to be Bound</w:t>
      </w:r>
      <w:r>
        <w:rPr>
          <w:rFonts w:ascii="Arial" w:cs="Arial" w:eastAsia="Arial" w:hAnsi="Arial"/>
          <w:sz w:val="18"/>
          <w:szCs w:val="18"/>
          <w:color w:val="auto"/>
        </w:rPr>
        <w:t>. The Parties have carefully read this Release in its entirety; fully understand and agree to its terms and provisions; and intend and agree that it is final and binding on all Parties.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IN WITNESS WHEREOF, and intending to be legally bound, the Parties have executed the foregoing on the dates shown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ARDELYX, INC.</w:t>
            </w:r>
          </w:p>
        </w:tc>
        <w:tc>
          <w:tcPr>
            <w:tcW w:w="0" w:type="dxa"/>
            <w:vAlign w:val="bottom"/>
          </w:tcPr>
          <w:p>
            <w:pPr>
              <w:spacing w:after="0"/>
              <w:rPr>
                <w:sz w:val="1"/>
                <w:szCs w:val="1"/>
                <w:color w:val="auto"/>
              </w:rPr>
            </w:pPr>
          </w:p>
        </w:tc>
      </w:tr>
      <w:tr>
        <w:trPr>
          <w:trHeight w:val="445"/>
        </w:trPr>
        <w:tc>
          <w:tcPr>
            <w:tcW w:w="20" w:type="dxa"/>
            <w:vAlign w:val="bottom"/>
            <w:vMerge w:val="restart"/>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Mark Kaufmann</w:t>
            </w:r>
          </w:p>
        </w:tc>
        <w:tc>
          <w:tcPr>
            <w:tcW w:w="22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By: Mike Raab</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Title: President &amp; CEO</w:t>
            </w: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Date:</w:t>
            </w:r>
          </w:p>
        </w:tc>
        <w:tc>
          <w:tcPr>
            <w:tcW w:w="2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9</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5" w:right="99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SUBSIDIARIES OF THE REGISTRANT</w:t>
      </w:r>
    </w:p>
    <w:p>
      <w:pPr>
        <w:spacing w:after="0" w:line="256"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Jurisdiction</w:t>
      </w:r>
    </w:p>
    <w:p>
      <w:pPr>
        <w:spacing w:after="0" w:line="333" w:lineRule="exact"/>
        <w:rPr>
          <w:sz w:val="20"/>
          <w:szCs w:val="20"/>
          <w:color w:val="auto"/>
        </w:rPr>
      </w:pPr>
    </w:p>
    <w:p>
      <w:pPr>
        <w:jc w:val="center"/>
        <w:ind w:right="300"/>
        <w:spacing w:after="0"/>
        <w:rPr>
          <w:sz w:val="20"/>
          <w:szCs w:val="20"/>
          <w:color w:val="auto"/>
        </w:rPr>
      </w:pPr>
      <w:r>
        <w:rPr>
          <w:rFonts w:ascii="Arial" w:cs="Arial" w:eastAsia="Arial" w:hAnsi="Arial"/>
          <w:sz w:val="18"/>
          <w:szCs w:val="18"/>
          <w:i w:val="1"/>
          <w:i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511810</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1020" w:top="121" w:right="999" w:bottom="1440" w:gutter="0" w:footer="0" w:header="0"/>
        </w:sectPr>
      </w:pPr>
    </w:p>
    <w:bookmarkStart w:id="140" w:name="page141"/>
    <w:bookmarkEnd w:id="140"/>
    <w:p>
      <w:pPr>
        <w:jc w:val="right"/>
        <w:ind w:right="59"/>
        <w:spacing w:after="0"/>
        <w:rPr>
          <w:sz w:val="20"/>
          <w:szCs w:val="20"/>
          <w:color w:val="auto"/>
        </w:rPr>
      </w:pPr>
      <w:r>
        <w:rPr>
          <w:rFonts w:ascii="Arial" w:cs="Arial" w:eastAsia="Arial" w:hAnsi="Arial"/>
          <w:sz w:val="18"/>
          <w:szCs w:val="18"/>
          <w:b w:val="1"/>
          <w:bCs w:val="1"/>
          <w:color w:val="231F20"/>
        </w:rPr>
        <w:t>Exhibit 23.1</w:t>
      </w:r>
    </w:p>
    <w:p>
      <w:pPr>
        <w:spacing w:after="0" w:line="18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231F20"/>
        </w:rPr>
        <w:t>Consent of Independent Registered Public Accounting Firm</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We consent to the incorporation by reference in the following Registration Statements:</w:t>
      </w:r>
    </w:p>
    <w:p>
      <w:pPr>
        <w:spacing w:after="0" w:line="185" w:lineRule="exact"/>
        <w:rPr>
          <w:sz w:val="20"/>
          <w:szCs w:val="20"/>
          <w:color w:val="auto"/>
        </w:rPr>
      </w:pPr>
    </w:p>
    <w:p>
      <w:pPr>
        <w:ind w:left="860" w:right="79" w:hanging="492"/>
        <w:spacing w:after="0" w:line="342" w:lineRule="auto"/>
        <w:tabs>
          <w:tab w:leader="none" w:pos="848" w:val="left"/>
        </w:tabs>
        <w:numPr>
          <w:ilvl w:val="0"/>
          <w:numId w:val="103"/>
        </w:numPr>
        <w:rPr>
          <w:rFonts w:ascii="Arial" w:cs="Arial" w:eastAsia="Arial" w:hAnsi="Arial"/>
          <w:sz w:val="16"/>
          <w:szCs w:val="16"/>
          <w:color w:val="231F20"/>
        </w:rPr>
      </w:pPr>
      <w:r>
        <w:rPr>
          <w:rFonts w:ascii="Arial" w:cs="Arial" w:eastAsia="Arial" w:hAnsi="Arial"/>
          <w:sz w:val="16"/>
          <w:szCs w:val="16"/>
          <w:color w:val="231F20"/>
        </w:rPr>
        <w:t>Registration Statement on Form S-8 (No. 333-197408) pertaining to the 2008 Stock Incentive Plan, as amended, the 2014 Equity Incentive Award Plan and the 2014 Employee Stock Purchase Plan of Ardelyx, Inc.</w:t>
      </w:r>
    </w:p>
    <w:p>
      <w:pPr>
        <w:spacing w:after="0" w:line="83" w:lineRule="exact"/>
        <w:rPr>
          <w:rFonts w:ascii="Arial" w:cs="Arial" w:eastAsia="Arial" w:hAnsi="Arial"/>
          <w:sz w:val="16"/>
          <w:szCs w:val="16"/>
          <w:color w:val="231F20"/>
        </w:rPr>
      </w:pPr>
    </w:p>
    <w:p>
      <w:pPr>
        <w:ind w:left="860" w:right="719" w:hanging="492"/>
        <w:spacing w:after="0" w:line="308" w:lineRule="auto"/>
        <w:tabs>
          <w:tab w:leader="none" w:pos="848" w:val="left"/>
        </w:tabs>
        <w:numPr>
          <w:ilvl w:val="0"/>
          <w:numId w:val="103"/>
        </w:numPr>
        <w:rPr>
          <w:rFonts w:ascii="Arial" w:cs="Arial" w:eastAsia="Arial" w:hAnsi="Arial"/>
          <w:sz w:val="17"/>
          <w:szCs w:val="17"/>
          <w:color w:val="231F20"/>
        </w:rPr>
      </w:pPr>
      <w:r>
        <w:rPr>
          <w:rFonts w:ascii="Arial" w:cs="Arial" w:eastAsia="Arial" w:hAnsi="Arial"/>
          <w:sz w:val="17"/>
          <w:szCs w:val="17"/>
          <w:color w:val="231F20"/>
        </w:rPr>
        <w:t>Registration Statements on Form S-8 (Nos. 333-202663 and 333-230156) pertaining to the 2014 Equity Incentive Award Plan and the 2014 Employee Stock Purchase Plan of Ardelyx, Inc.</w:t>
      </w:r>
    </w:p>
    <w:p>
      <w:pPr>
        <w:spacing w:after="0" w:line="119" w:lineRule="exact"/>
        <w:rPr>
          <w:rFonts w:ascii="Arial" w:cs="Arial" w:eastAsia="Arial" w:hAnsi="Arial"/>
          <w:sz w:val="17"/>
          <w:szCs w:val="17"/>
          <w:color w:val="231F20"/>
        </w:rPr>
      </w:pPr>
    </w:p>
    <w:p>
      <w:pPr>
        <w:ind w:left="840" w:hanging="472"/>
        <w:spacing w:after="0"/>
        <w:tabs>
          <w:tab w:leader="none" w:pos="840" w:val="left"/>
        </w:tabs>
        <w:numPr>
          <w:ilvl w:val="0"/>
          <w:numId w:val="103"/>
        </w:numPr>
        <w:rPr>
          <w:rFonts w:ascii="Arial" w:cs="Arial" w:eastAsia="Arial" w:hAnsi="Arial"/>
          <w:sz w:val="17"/>
          <w:szCs w:val="17"/>
          <w:color w:val="231F20"/>
        </w:rPr>
      </w:pPr>
      <w:r>
        <w:rPr>
          <w:rFonts w:ascii="Arial" w:cs="Arial" w:eastAsia="Arial" w:hAnsi="Arial"/>
          <w:sz w:val="17"/>
          <w:szCs w:val="17"/>
          <w:color w:val="231F20"/>
        </w:rPr>
        <w:t>Registration Statements on Form S-3 (Nos. 333-205630, 333-213085 and 333-217441) of Ardelyx, Inc.</w:t>
      </w:r>
    </w:p>
    <w:p>
      <w:pPr>
        <w:spacing w:after="0" w:line="196" w:lineRule="exact"/>
        <w:rPr>
          <w:rFonts w:ascii="Arial" w:cs="Arial" w:eastAsia="Arial" w:hAnsi="Arial"/>
          <w:sz w:val="17"/>
          <w:szCs w:val="17"/>
          <w:color w:val="231F20"/>
        </w:rPr>
      </w:pPr>
    </w:p>
    <w:p>
      <w:pPr>
        <w:ind w:left="860" w:right="279" w:hanging="492"/>
        <w:spacing w:after="0" w:line="277" w:lineRule="auto"/>
        <w:tabs>
          <w:tab w:leader="none" w:pos="848" w:val="left"/>
        </w:tabs>
        <w:numPr>
          <w:ilvl w:val="0"/>
          <w:numId w:val="103"/>
        </w:numPr>
        <w:rPr>
          <w:rFonts w:ascii="Arial" w:cs="Arial" w:eastAsia="Arial" w:hAnsi="Arial"/>
          <w:sz w:val="18"/>
          <w:szCs w:val="18"/>
          <w:color w:val="231F20"/>
        </w:rPr>
      </w:pPr>
      <w:r>
        <w:rPr>
          <w:rFonts w:ascii="Arial" w:cs="Arial" w:eastAsia="Arial" w:hAnsi="Arial"/>
          <w:sz w:val="18"/>
          <w:szCs w:val="18"/>
          <w:color w:val="231F20"/>
        </w:rPr>
        <w:t>Registration Statements on Form S-8 (Nos. 333-210079, 333-216154 and 333-223694) pertaining to the 2014 Equity Incentive Award Plan of Ardelyx, Inc.</w:t>
      </w:r>
    </w:p>
    <w:p>
      <w:pPr>
        <w:spacing w:after="0" w:line="129" w:lineRule="exact"/>
        <w:rPr>
          <w:rFonts w:ascii="Arial" w:cs="Arial" w:eastAsia="Arial" w:hAnsi="Arial"/>
          <w:sz w:val="18"/>
          <w:szCs w:val="18"/>
          <w:color w:val="231F20"/>
        </w:rPr>
      </w:pPr>
    </w:p>
    <w:p>
      <w:pPr>
        <w:ind w:left="860" w:right="399" w:hanging="492"/>
        <w:spacing w:after="0" w:line="277" w:lineRule="auto"/>
        <w:tabs>
          <w:tab w:leader="none" w:pos="848" w:val="left"/>
        </w:tabs>
        <w:numPr>
          <w:ilvl w:val="0"/>
          <w:numId w:val="103"/>
        </w:numPr>
        <w:rPr>
          <w:rFonts w:ascii="Arial" w:cs="Arial" w:eastAsia="Arial" w:hAnsi="Arial"/>
          <w:sz w:val="18"/>
          <w:szCs w:val="18"/>
          <w:color w:val="231F20"/>
        </w:rPr>
      </w:pPr>
      <w:r>
        <w:rPr>
          <w:rFonts w:ascii="Arial" w:cs="Arial" w:eastAsia="Arial" w:hAnsi="Arial"/>
          <w:sz w:val="18"/>
          <w:szCs w:val="18"/>
          <w:color w:val="auto"/>
        </w:rPr>
        <w:t>Registration Statement on Form S-8 (No. 333-214538) pertaining to the 2016 Employment Commencement Incentive Plan of Ardelyx, Inc.</w:t>
      </w:r>
    </w:p>
    <w:p>
      <w:pPr>
        <w:spacing w:after="0" w:line="143" w:lineRule="exact"/>
        <w:rPr>
          <w:sz w:val="20"/>
          <w:szCs w:val="20"/>
          <w:color w:val="auto"/>
        </w:rPr>
      </w:pPr>
    </w:p>
    <w:p>
      <w:pPr>
        <w:ind w:left="40" w:right="259"/>
        <w:spacing w:after="0" w:line="263" w:lineRule="auto"/>
        <w:rPr>
          <w:sz w:val="20"/>
          <w:szCs w:val="20"/>
          <w:color w:val="auto"/>
        </w:rPr>
      </w:pPr>
      <w:r>
        <w:rPr>
          <w:rFonts w:ascii="Arial" w:cs="Arial" w:eastAsia="Arial" w:hAnsi="Arial"/>
          <w:sz w:val="18"/>
          <w:szCs w:val="18"/>
          <w:color w:val="231F20"/>
        </w:rPr>
        <w:t>of our reports dated March 6, 2020, with respect to the financial statements of Ardelyx, Inc. and the effectiveness of internal control over financial reporting of Ardelyx, Inc. included in this Annual Report (Form 10-K) of Ardelyx, Inc. for the year ended December 31, 2019.</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/s/ Ernst &amp; Young LLP</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Redwood City, California</w:t>
      </w:r>
    </w:p>
    <w:p>
      <w:pPr>
        <w:ind w:left="40"/>
        <w:spacing w:after="0"/>
        <w:rPr>
          <w:sz w:val="20"/>
          <w:szCs w:val="20"/>
          <w:color w:val="auto"/>
        </w:rPr>
      </w:pPr>
      <w:r>
        <w:rPr>
          <w:rFonts w:ascii="Arial" w:cs="Arial" w:eastAsia="Arial" w:hAnsi="Arial"/>
          <w:sz w:val="18"/>
          <w:szCs w:val="18"/>
          <w:color w:val="231F20"/>
        </w:rPr>
        <w:t>March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758825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41" w:name="page142"/>
    <w:bookmarkEnd w:id="141"/>
    <w:p>
      <w:pPr>
        <w:jc w:val="right"/>
        <w:ind w:right="59"/>
        <w:spacing w:after="0"/>
        <w:rPr>
          <w:sz w:val="20"/>
          <w:szCs w:val="20"/>
          <w:color w:val="auto"/>
        </w:rPr>
      </w:pPr>
      <w:r>
        <w:rPr>
          <w:rFonts w:ascii="Arial" w:cs="Arial" w:eastAsia="Arial" w:hAnsi="Arial"/>
          <w:sz w:val="18"/>
          <w:szCs w:val="18"/>
          <w:b w:val="1"/>
          <w:bCs w:val="1"/>
          <w:color w:val="231F20"/>
        </w:rPr>
        <w:t>Exhibit 31.1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CERTIFICATION</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I, Michael Raab, certify that:</w:t>
      </w:r>
    </w:p>
    <w:p>
      <w:pPr>
        <w:spacing w:after="0" w:line="185" w:lineRule="exact"/>
        <w:rPr>
          <w:sz w:val="20"/>
          <w:szCs w:val="20"/>
          <w:color w:val="auto"/>
        </w:rPr>
      </w:pPr>
    </w:p>
    <w:p>
      <w:pPr>
        <w:ind w:left="360" w:hanging="316"/>
        <w:spacing w:after="0"/>
        <w:tabs>
          <w:tab w:leader="none" w:pos="360" w:val="left"/>
        </w:tabs>
        <w:numPr>
          <w:ilvl w:val="0"/>
          <w:numId w:val="104"/>
        </w:numPr>
        <w:rPr>
          <w:rFonts w:ascii="Arial" w:cs="Arial" w:eastAsia="Arial" w:hAnsi="Arial"/>
          <w:sz w:val="18"/>
          <w:szCs w:val="18"/>
          <w:color w:val="231F20"/>
        </w:rPr>
      </w:pPr>
      <w:r>
        <w:rPr>
          <w:rFonts w:ascii="Arial" w:cs="Arial" w:eastAsia="Arial" w:hAnsi="Arial"/>
          <w:sz w:val="18"/>
          <w:szCs w:val="18"/>
          <w:color w:val="231F20"/>
        </w:rPr>
        <w:t>I have reviewed this Annual Report on Form 10-K of Ardelyx, Inc.;</w:t>
      </w:r>
    </w:p>
    <w:p>
      <w:pPr>
        <w:spacing w:after="0" w:line="184" w:lineRule="exact"/>
        <w:rPr>
          <w:rFonts w:ascii="Arial" w:cs="Arial" w:eastAsia="Arial" w:hAnsi="Arial"/>
          <w:sz w:val="18"/>
          <w:szCs w:val="18"/>
          <w:color w:val="231F20"/>
        </w:rPr>
      </w:pPr>
    </w:p>
    <w:p>
      <w:pPr>
        <w:jc w:val="both"/>
        <w:ind w:left="360" w:right="119" w:hanging="316"/>
        <w:spacing w:after="0" w:line="263" w:lineRule="auto"/>
        <w:tabs>
          <w:tab w:leader="none" w:pos="360" w:val="left"/>
        </w:tabs>
        <w:numPr>
          <w:ilvl w:val="0"/>
          <w:numId w:val="104"/>
        </w:numPr>
        <w:rPr>
          <w:rFonts w:ascii="Arial" w:cs="Arial" w:eastAsia="Arial" w:hAnsi="Arial"/>
          <w:sz w:val="18"/>
          <w:szCs w:val="18"/>
          <w:color w:val="231F20"/>
        </w:rPr>
      </w:pPr>
      <w:r>
        <w:rPr>
          <w:rFonts w:ascii="Arial" w:cs="Arial" w:eastAsia="Arial" w:hAnsi="Arial"/>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231F20"/>
        </w:rPr>
      </w:pPr>
    </w:p>
    <w:p>
      <w:pPr>
        <w:ind w:left="360" w:right="79" w:hanging="316"/>
        <w:spacing w:after="0" w:line="263" w:lineRule="auto"/>
        <w:tabs>
          <w:tab w:leader="none" w:pos="360" w:val="left"/>
        </w:tabs>
        <w:numPr>
          <w:ilvl w:val="0"/>
          <w:numId w:val="104"/>
        </w:numPr>
        <w:rPr>
          <w:rFonts w:ascii="Arial" w:cs="Arial" w:eastAsia="Arial" w:hAnsi="Arial"/>
          <w:sz w:val="18"/>
          <w:szCs w:val="18"/>
          <w:color w:val="231F20"/>
        </w:rPr>
      </w:pPr>
      <w:r>
        <w:rPr>
          <w:rFonts w:ascii="Arial" w:cs="Arial" w:eastAsia="Arial" w:hAnsi="Arial"/>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231F20"/>
        </w:rPr>
      </w:pPr>
    </w:p>
    <w:p>
      <w:pPr>
        <w:ind w:left="360" w:right="359" w:hanging="316"/>
        <w:spacing w:after="0" w:line="286" w:lineRule="auto"/>
        <w:tabs>
          <w:tab w:leader="none" w:pos="360" w:val="left"/>
        </w:tabs>
        <w:numPr>
          <w:ilvl w:val="0"/>
          <w:numId w:val="104"/>
        </w:numPr>
        <w:rPr>
          <w:rFonts w:ascii="Arial" w:cs="Arial" w:eastAsia="Arial" w:hAnsi="Arial"/>
          <w:sz w:val="17"/>
          <w:szCs w:val="17"/>
          <w:color w:val="231F20"/>
        </w:rPr>
      </w:pPr>
      <w:r>
        <w:rPr>
          <w:rFonts w:ascii="Arial" w:cs="Arial" w:eastAsia="Arial" w:hAnsi="Arial"/>
          <w:sz w:val="17"/>
          <w:szCs w:val="17"/>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231F20"/>
        </w:rPr>
      </w:pPr>
    </w:p>
    <w:p>
      <w:pPr>
        <w:ind w:left="1020" w:right="219" w:hanging="652"/>
        <w:spacing w:after="0" w:line="259" w:lineRule="auto"/>
        <w:tabs>
          <w:tab w:leader="none" w:pos="1020" w:val="left"/>
        </w:tabs>
        <w:numPr>
          <w:ilvl w:val="1"/>
          <w:numId w:val="104"/>
        </w:numPr>
        <w:rPr>
          <w:rFonts w:ascii="Arial" w:cs="Arial" w:eastAsia="Arial" w:hAnsi="Arial"/>
          <w:sz w:val="18"/>
          <w:szCs w:val="18"/>
          <w:color w:val="231F20"/>
        </w:rPr>
      </w:pPr>
      <w:r>
        <w:rPr>
          <w:rFonts w:ascii="Arial" w:cs="Arial" w:eastAsia="Arial" w:hAnsi="Arial"/>
          <w:sz w:val="18"/>
          <w:szCs w:val="18"/>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231F20"/>
        </w:rPr>
      </w:pPr>
    </w:p>
    <w:p>
      <w:pPr>
        <w:ind w:left="1020" w:right="319" w:hanging="652"/>
        <w:spacing w:after="0" w:line="259" w:lineRule="auto"/>
        <w:tabs>
          <w:tab w:leader="none" w:pos="1020" w:val="left"/>
        </w:tabs>
        <w:numPr>
          <w:ilvl w:val="1"/>
          <w:numId w:val="104"/>
        </w:numPr>
        <w:rPr>
          <w:rFonts w:ascii="Arial" w:cs="Arial" w:eastAsia="Arial" w:hAnsi="Arial"/>
          <w:sz w:val="18"/>
          <w:szCs w:val="18"/>
          <w:color w:val="231F20"/>
        </w:rPr>
      </w:pPr>
      <w:r>
        <w:rPr>
          <w:rFonts w:ascii="Arial" w:cs="Arial" w:eastAsia="Arial" w:hAnsi="Arial"/>
          <w:sz w:val="18"/>
          <w:szCs w:val="18"/>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231F20"/>
        </w:rPr>
      </w:pPr>
    </w:p>
    <w:p>
      <w:pPr>
        <w:jc w:val="both"/>
        <w:ind w:left="1020" w:right="79" w:hanging="652"/>
        <w:spacing w:after="0" w:line="263" w:lineRule="auto"/>
        <w:tabs>
          <w:tab w:leader="none" w:pos="1020" w:val="left"/>
        </w:tabs>
        <w:numPr>
          <w:ilvl w:val="1"/>
          <w:numId w:val="104"/>
        </w:numPr>
        <w:rPr>
          <w:rFonts w:ascii="Arial" w:cs="Arial" w:eastAsia="Arial" w:hAnsi="Arial"/>
          <w:sz w:val="18"/>
          <w:szCs w:val="18"/>
          <w:color w:val="231F20"/>
        </w:rPr>
      </w:pPr>
      <w:r>
        <w:rPr>
          <w:rFonts w:ascii="Arial" w:cs="Arial" w:eastAsia="Arial" w:hAnsi="Arial"/>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231F20"/>
        </w:rPr>
      </w:pPr>
    </w:p>
    <w:p>
      <w:pPr>
        <w:jc w:val="both"/>
        <w:ind w:left="1020" w:right="59" w:hanging="652"/>
        <w:spacing w:after="0" w:line="259" w:lineRule="auto"/>
        <w:tabs>
          <w:tab w:leader="none" w:pos="1020" w:val="left"/>
        </w:tabs>
        <w:numPr>
          <w:ilvl w:val="1"/>
          <w:numId w:val="104"/>
        </w:numPr>
        <w:rPr>
          <w:rFonts w:ascii="Arial" w:cs="Arial" w:eastAsia="Arial" w:hAnsi="Arial"/>
          <w:sz w:val="18"/>
          <w:szCs w:val="18"/>
          <w:color w:val="231F20"/>
        </w:rPr>
      </w:pPr>
      <w:r>
        <w:rPr>
          <w:rFonts w:ascii="Arial" w:cs="Arial" w:eastAsia="Arial" w:hAnsi="Arial"/>
          <w:sz w:val="18"/>
          <w:szCs w:val="18"/>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231F20"/>
        </w:rPr>
      </w:pPr>
    </w:p>
    <w:p>
      <w:pPr>
        <w:jc w:val="both"/>
        <w:ind w:left="360" w:right="319" w:hanging="316"/>
        <w:spacing w:after="0" w:line="263" w:lineRule="auto"/>
        <w:tabs>
          <w:tab w:leader="none" w:pos="360" w:val="left"/>
        </w:tabs>
        <w:numPr>
          <w:ilvl w:val="0"/>
          <w:numId w:val="104"/>
        </w:numPr>
        <w:rPr>
          <w:rFonts w:ascii="Arial" w:cs="Arial" w:eastAsia="Arial" w:hAnsi="Arial"/>
          <w:sz w:val="18"/>
          <w:szCs w:val="18"/>
          <w:color w:val="231F20"/>
        </w:rPr>
      </w:pPr>
      <w:r>
        <w:rPr>
          <w:rFonts w:ascii="Arial" w:cs="Arial" w:eastAsia="Arial" w:hAnsi="Arial"/>
          <w:sz w:val="18"/>
          <w:szCs w:val="18"/>
          <w:color w:val="231F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231F20"/>
        </w:rPr>
      </w:pPr>
    </w:p>
    <w:p>
      <w:pPr>
        <w:jc w:val="both"/>
        <w:ind w:left="1020" w:right="59" w:hanging="652"/>
        <w:spacing w:after="0" w:line="263" w:lineRule="auto"/>
        <w:tabs>
          <w:tab w:leader="none" w:pos="1020" w:val="left"/>
        </w:tabs>
        <w:numPr>
          <w:ilvl w:val="1"/>
          <w:numId w:val="104"/>
        </w:numPr>
        <w:rPr>
          <w:rFonts w:ascii="Arial" w:cs="Arial" w:eastAsia="Arial" w:hAnsi="Arial"/>
          <w:sz w:val="18"/>
          <w:szCs w:val="18"/>
          <w:color w:val="231F20"/>
        </w:rPr>
      </w:pPr>
      <w:r>
        <w:rPr>
          <w:rFonts w:ascii="Arial" w:cs="Arial" w:eastAsia="Arial" w:hAnsi="Arial"/>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231F20"/>
        </w:rPr>
      </w:pPr>
    </w:p>
    <w:p>
      <w:pPr>
        <w:ind w:left="1020" w:right="79" w:hanging="652"/>
        <w:spacing w:after="0" w:line="277" w:lineRule="auto"/>
        <w:tabs>
          <w:tab w:leader="none" w:pos="1020" w:val="left"/>
        </w:tabs>
        <w:numPr>
          <w:ilvl w:val="1"/>
          <w:numId w:val="104"/>
        </w:numPr>
        <w:rPr>
          <w:rFonts w:ascii="Arial" w:cs="Arial" w:eastAsia="Arial" w:hAnsi="Arial"/>
          <w:sz w:val="18"/>
          <w:szCs w:val="18"/>
          <w:color w:val="231F20"/>
        </w:rPr>
      </w:pPr>
      <w:r>
        <w:rPr>
          <w:rFonts w:ascii="Arial" w:cs="Arial" w:eastAsia="Arial" w:hAnsi="Arial"/>
          <w:sz w:val="18"/>
          <w:szCs w:val="18"/>
          <w:color w:val="231F20"/>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tabs>
          <w:tab w:leader="none" w:pos="4240" w:val="left"/>
          <w:tab w:leader="none" w:pos="6100" w:val="left"/>
        </w:tabs>
        <w:rPr>
          <w:sz w:val="20"/>
          <w:szCs w:val="20"/>
          <w:color w:val="auto"/>
        </w:rPr>
      </w:pPr>
      <w:r>
        <w:rPr>
          <w:rFonts w:ascii="Arial" w:cs="Arial" w:eastAsia="Arial" w:hAnsi="Arial"/>
          <w:sz w:val="18"/>
          <w:szCs w:val="18"/>
          <w:color w:val="auto"/>
        </w:rPr>
        <w:t>Date: March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14605</wp:posOffset>
            </wp:positionV>
            <wp:extent cx="27603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3" w:lineRule="exact"/>
        <w:rPr>
          <w:sz w:val="20"/>
          <w:szCs w:val="20"/>
          <w:color w:val="auto"/>
        </w:rPr>
      </w:pPr>
    </w:p>
    <w:p>
      <w:pPr>
        <w:jc w:val="center"/>
        <w:ind w:left="4440"/>
        <w:spacing w:after="0"/>
        <w:rPr>
          <w:sz w:val="20"/>
          <w:szCs w:val="20"/>
          <w:color w:val="auto"/>
        </w:rPr>
      </w:pPr>
      <w:r>
        <w:rPr>
          <w:rFonts w:ascii="Arial" w:cs="Arial" w:eastAsia="Arial" w:hAnsi="Arial"/>
          <w:sz w:val="18"/>
          <w:szCs w:val="18"/>
          <w:b w:val="1"/>
          <w:bCs w:val="1"/>
          <w:color w:val="auto"/>
        </w:rPr>
        <w:t>Michael Raab</w:t>
      </w:r>
    </w:p>
    <w:p>
      <w:pPr>
        <w:spacing w:after="0" w:line="23" w:lineRule="exact"/>
        <w:rPr>
          <w:sz w:val="20"/>
          <w:szCs w:val="20"/>
          <w:color w:val="auto"/>
        </w:rPr>
      </w:pPr>
    </w:p>
    <w:p>
      <w:pPr>
        <w:jc w:val="center"/>
        <w:ind w:left="44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44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2" w:name="page143"/>
    <w:bookmarkEnd w:id="142"/>
    <w:p>
      <w:pPr>
        <w:jc w:val="right"/>
        <w:ind w:right="59"/>
        <w:spacing w:after="0"/>
        <w:rPr>
          <w:sz w:val="20"/>
          <w:szCs w:val="20"/>
          <w:color w:val="auto"/>
        </w:rPr>
      </w:pPr>
      <w:r>
        <w:rPr>
          <w:rFonts w:ascii="Arial" w:cs="Arial" w:eastAsia="Arial" w:hAnsi="Arial"/>
          <w:sz w:val="18"/>
          <w:szCs w:val="18"/>
          <w:b w:val="1"/>
          <w:bCs w:val="1"/>
          <w:color w:val="231F20"/>
        </w:rPr>
        <w:t>Exhibit 31.2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CERTIFICATION</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I, Mark Kaufmann, certify that:</w:t>
      </w:r>
    </w:p>
    <w:p>
      <w:pPr>
        <w:spacing w:after="0" w:line="185" w:lineRule="exact"/>
        <w:rPr>
          <w:sz w:val="20"/>
          <w:szCs w:val="20"/>
          <w:color w:val="auto"/>
        </w:rPr>
      </w:pPr>
    </w:p>
    <w:p>
      <w:pPr>
        <w:ind w:left="360" w:hanging="316"/>
        <w:spacing w:after="0"/>
        <w:tabs>
          <w:tab w:leader="none" w:pos="360" w:val="left"/>
        </w:tabs>
        <w:numPr>
          <w:ilvl w:val="0"/>
          <w:numId w:val="105"/>
        </w:numPr>
        <w:rPr>
          <w:rFonts w:ascii="Arial" w:cs="Arial" w:eastAsia="Arial" w:hAnsi="Arial"/>
          <w:sz w:val="18"/>
          <w:szCs w:val="18"/>
          <w:color w:val="231F20"/>
        </w:rPr>
      </w:pPr>
      <w:r>
        <w:rPr>
          <w:rFonts w:ascii="Arial" w:cs="Arial" w:eastAsia="Arial" w:hAnsi="Arial"/>
          <w:sz w:val="18"/>
          <w:szCs w:val="18"/>
          <w:color w:val="231F20"/>
        </w:rPr>
        <w:t>I have reviewed this Annual Report on Form 10-K of Ardelyx, Inc.;</w:t>
      </w:r>
    </w:p>
    <w:p>
      <w:pPr>
        <w:spacing w:after="0" w:line="184" w:lineRule="exact"/>
        <w:rPr>
          <w:rFonts w:ascii="Arial" w:cs="Arial" w:eastAsia="Arial" w:hAnsi="Arial"/>
          <w:sz w:val="18"/>
          <w:szCs w:val="18"/>
          <w:color w:val="231F20"/>
        </w:rPr>
      </w:pPr>
    </w:p>
    <w:p>
      <w:pPr>
        <w:jc w:val="both"/>
        <w:ind w:left="360" w:right="119" w:hanging="316"/>
        <w:spacing w:after="0" w:line="263" w:lineRule="auto"/>
        <w:tabs>
          <w:tab w:leader="none" w:pos="360" w:val="left"/>
        </w:tabs>
        <w:numPr>
          <w:ilvl w:val="0"/>
          <w:numId w:val="105"/>
        </w:numPr>
        <w:rPr>
          <w:rFonts w:ascii="Arial" w:cs="Arial" w:eastAsia="Arial" w:hAnsi="Arial"/>
          <w:sz w:val="18"/>
          <w:szCs w:val="18"/>
          <w:color w:val="231F20"/>
        </w:rPr>
      </w:pPr>
      <w:r>
        <w:rPr>
          <w:rFonts w:ascii="Arial" w:cs="Arial" w:eastAsia="Arial" w:hAnsi="Arial"/>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231F20"/>
        </w:rPr>
      </w:pPr>
    </w:p>
    <w:p>
      <w:pPr>
        <w:ind w:left="360" w:right="79" w:hanging="316"/>
        <w:spacing w:after="0" w:line="263" w:lineRule="auto"/>
        <w:tabs>
          <w:tab w:leader="none" w:pos="360" w:val="left"/>
        </w:tabs>
        <w:numPr>
          <w:ilvl w:val="0"/>
          <w:numId w:val="105"/>
        </w:numPr>
        <w:rPr>
          <w:rFonts w:ascii="Arial" w:cs="Arial" w:eastAsia="Arial" w:hAnsi="Arial"/>
          <w:sz w:val="18"/>
          <w:szCs w:val="18"/>
          <w:color w:val="231F20"/>
        </w:rPr>
      </w:pPr>
      <w:r>
        <w:rPr>
          <w:rFonts w:ascii="Arial" w:cs="Arial" w:eastAsia="Arial" w:hAnsi="Arial"/>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231F20"/>
        </w:rPr>
      </w:pPr>
    </w:p>
    <w:p>
      <w:pPr>
        <w:ind w:left="360" w:right="359" w:hanging="316"/>
        <w:spacing w:after="0" w:line="286" w:lineRule="auto"/>
        <w:tabs>
          <w:tab w:leader="none" w:pos="360" w:val="left"/>
        </w:tabs>
        <w:numPr>
          <w:ilvl w:val="0"/>
          <w:numId w:val="105"/>
        </w:numPr>
        <w:rPr>
          <w:rFonts w:ascii="Arial" w:cs="Arial" w:eastAsia="Arial" w:hAnsi="Arial"/>
          <w:sz w:val="17"/>
          <w:szCs w:val="17"/>
          <w:color w:val="231F20"/>
        </w:rPr>
      </w:pPr>
      <w:r>
        <w:rPr>
          <w:rFonts w:ascii="Arial" w:cs="Arial" w:eastAsia="Arial" w:hAnsi="Arial"/>
          <w:sz w:val="17"/>
          <w:szCs w:val="17"/>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231F20"/>
        </w:rPr>
      </w:pPr>
    </w:p>
    <w:p>
      <w:pPr>
        <w:ind w:left="1020" w:right="219" w:hanging="652"/>
        <w:spacing w:after="0" w:line="259" w:lineRule="auto"/>
        <w:tabs>
          <w:tab w:leader="none" w:pos="1020" w:val="left"/>
        </w:tabs>
        <w:numPr>
          <w:ilvl w:val="1"/>
          <w:numId w:val="105"/>
        </w:numPr>
        <w:rPr>
          <w:rFonts w:ascii="Arial" w:cs="Arial" w:eastAsia="Arial" w:hAnsi="Arial"/>
          <w:sz w:val="18"/>
          <w:szCs w:val="18"/>
          <w:color w:val="231F20"/>
        </w:rPr>
      </w:pPr>
      <w:r>
        <w:rPr>
          <w:rFonts w:ascii="Arial" w:cs="Arial" w:eastAsia="Arial" w:hAnsi="Arial"/>
          <w:sz w:val="18"/>
          <w:szCs w:val="18"/>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231F20"/>
        </w:rPr>
      </w:pPr>
    </w:p>
    <w:p>
      <w:pPr>
        <w:ind w:left="1020" w:right="319" w:hanging="652"/>
        <w:spacing w:after="0" w:line="259" w:lineRule="auto"/>
        <w:tabs>
          <w:tab w:leader="none" w:pos="1020" w:val="left"/>
        </w:tabs>
        <w:numPr>
          <w:ilvl w:val="1"/>
          <w:numId w:val="105"/>
        </w:numPr>
        <w:rPr>
          <w:rFonts w:ascii="Arial" w:cs="Arial" w:eastAsia="Arial" w:hAnsi="Arial"/>
          <w:sz w:val="18"/>
          <w:szCs w:val="18"/>
          <w:color w:val="231F20"/>
        </w:rPr>
      </w:pPr>
      <w:r>
        <w:rPr>
          <w:rFonts w:ascii="Arial" w:cs="Arial" w:eastAsia="Arial" w:hAnsi="Arial"/>
          <w:sz w:val="18"/>
          <w:szCs w:val="18"/>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231F20"/>
        </w:rPr>
      </w:pPr>
    </w:p>
    <w:p>
      <w:pPr>
        <w:jc w:val="both"/>
        <w:ind w:left="1020" w:right="199" w:hanging="652"/>
        <w:spacing w:after="0" w:line="263" w:lineRule="auto"/>
        <w:tabs>
          <w:tab w:leader="none" w:pos="1020" w:val="left"/>
        </w:tabs>
        <w:numPr>
          <w:ilvl w:val="1"/>
          <w:numId w:val="105"/>
        </w:numPr>
        <w:rPr>
          <w:rFonts w:ascii="Arial" w:cs="Arial" w:eastAsia="Arial" w:hAnsi="Arial"/>
          <w:sz w:val="18"/>
          <w:szCs w:val="18"/>
          <w:color w:val="231F20"/>
        </w:rPr>
      </w:pPr>
      <w:r>
        <w:rPr>
          <w:rFonts w:ascii="Arial" w:cs="Arial" w:eastAsia="Arial" w:hAnsi="Arial"/>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231F20"/>
        </w:rPr>
      </w:pPr>
    </w:p>
    <w:p>
      <w:pPr>
        <w:ind w:left="1020" w:right="119" w:hanging="652"/>
        <w:spacing w:after="0" w:line="259" w:lineRule="auto"/>
        <w:tabs>
          <w:tab w:leader="none" w:pos="1020" w:val="left"/>
        </w:tabs>
        <w:numPr>
          <w:ilvl w:val="1"/>
          <w:numId w:val="105"/>
        </w:numPr>
        <w:rPr>
          <w:rFonts w:ascii="Arial" w:cs="Arial" w:eastAsia="Arial" w:hAnsi="Arial"/>
          <w:sz w:val="18"/>
          <w:szCs w:val="18"/>
          <w:color w:val="231F20"/>
        </w:rPr>
      </w:pPr>
      <w:r>
        <w:rPr>
          <w:rFonts w:ascii="Arial" w:cs="Arial" w:eastAsia="Arial" w:hAnsi="Arial"/>
          <w:sz w:val="18"/>
          <w:szCs w:val="18"/>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231F20"/>
        </w:rPr>
      </w:pPr>
    </w:p>
    <w:p>
      <w:pPr>
        <w:jc w:val="both"/>
        <w:ind w:left="360" w:right="59" w:hanging="316"/>
        <w:spacing w:after="0" w:line="263" w:lineRule="auto"/>
        <w:tabs>
          <w:tab w:leader="none" w:pos="360" w:val="left"/>
        </w:tabs>
        <w:numPr>
          <w:ilvl w:val="0"/>
          <w:numId w:val="105"/>
        </w:numPr>
        <w:rPr>
          <w:rFonts w:ascii="Arial" w:cs="Arial" w:eastAsia="Arial" w:hAnsi="Arial"/>
          <w:sz w:val="18"/>
          <w:szCs w:val="18"/>
          <w:color w:val="231F20"/>
        </w:rPr>
      </w:pPr>
      <w:r>
        <w:rPr>
          <w:rFonts w:ascii="Arial" w:cs="Arial" w:eastAsia="Arial" w:hAnsi="Arial"/>
          <w:sz w:val="18"/>
          <w:szCs w:val="18"/>
          <w:color w:val="231F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231F20"/>
        </w:rPr>
      </w:pPr>
    </w:p>
    <w:p>
      <w:pPr>
        <w:ind w:left="1020" w:right="299" w:hanging="652"/>
        <w:spacing w:after="0" w:line="263" w:lineRule="auto"/>
        <w:tabs>
          <w:tab w:leader="none" w:pos="1020" w:val="left"/>
        </w:tabs>
        <w:numPr>
          <w:ilvl w:val="1"/>
          <w:numId w:val="105"/>
        </w:numPr>
        <w:rPr>
          <w:rFonts w:ascii="Arial" w:cs="Arial" w:eastAsia="Arial" w:hAnsi="Arial"/>
          <w:sz w:val="18"/>
          <w:szCs w:val="18"/>
          <w:color w:val="231F20"/>
        </w:rPr>
      </w:pPr>
      <w:r>
        <w:rPr>
          <w:rFonts w:ascii="Arial" w:cs="Arial" w:eastAsia="Arial" w:hAnsi="Arial"/>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231F20"/>
        </w:rPr>
      </w:pPr>
    </w:p>
    <w:p>
      <w:pPr>
        <w:ind w:left="1020" w:right="99" w:hanging="652"/>
        <w:spacing w:after="0" w:line="277" w:lineRule="auto"/>
        <w:tabs>
          <w:tab w:leader="none" w:pos="1020" w:val="left"/>
        </w:tabs>
        <w:numPr>
          <w:ilvl w:val="1"/>
          <w:numId w:val="105"/>
        </w:numPr>
        <w:rPr>
          <w:rFonts w:ascii="Arial" w:cs="Arial" w:eastAsia="Arial" w:hAnsi="Arial"/>
          <w:sz w:val="18"/>
          <w:szCs w:val="18"/>
          <w:color w:val="231F20"/>
        </w:rPr>
      </w:pPr>
      <w:r>
        <w:rPr>
          <w:rFonts w:ascii="Arial" w:cs="Arial" w:eastAsia="Arial" w:hAnsi="Arial"/>
          <w:sz w:val="18"/>
          <w:szCs w:val="18"/>
          <w:color w:val="231F20"/>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tabs>
          <w:tab w:leader="none" w:pos="4240" w:val="left"/>
          <w:tab w:leader="none" w:pos="6040" w:val="left"/>
        </w:tabs>
        <w:rPr>
          <w:sz w:val="20"/>
          <w:szCs w:val="20"/>
          <w:color w:val="auto"/>
        </w:rPr>
      </w:pPr>
      <w:r>
        <w:rPr>
          <w:rFonts w:ascii="Arial" w:cs="Arial" w:eastAsia="Arial" w:hAnsi="Arial"/>
          <w:sz w:val="18"/>
          <w:szCs w:val="18"/>
          <w:color w:val="auto"/>
        </w:rPr>
        <w:t>Date: March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14605</wp:posOffset>
            </wp:positionV>
            <wp:extent cx="27089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3" w:lineRule="exact"/>
        <w:rPr>
          <w:sz w:val="20"/>
          <w:szCs w:val="20"/>
          <w:color w:val="auto"/>
        </w:rPr>
      </w:pPr>
    </w:p>
    <w:p>
      <w:pPr>
        <w:jc w:val="center"/>
        <w:ind w:left="4520"/>
        <w:spacing w:after="0"/>
        <w:rPr>
          <w:sz w:val="20"/>
          <w:szCs w:val="20"/>
          <w:color w:val="auto"/>
        </w:rPr>
      </w:pPr>
      <w:r>
        <w:rPr>
          <w:rFonts w:ascii="Arial" w:cs="Arial" w:eastAsia="Arial" w:hAnsi="Arial"/>
          <w:sz w:val="18"/>
          <w:szCs w:val="18"/>
          <w:b w:val="1"/>
          <w:bCs w:val="1"/>
          <w:color w:val="auto"/>
        </w:rPr>
        <w:t>Mark Kaufmann</w:t>
      </w:r>
    </w:p>
    <w:p>
      <w:pPr>
        <w:spacing w:after="0" w:line="23" w:lineRule="exact"/>
        <w:rPr>
          <w:sz w:val="20"/>
          <w:szCs w:val="20"/>
          <w:color w:val="auto"/>
        </w:rPr>
      </w:pPr>
    </w:p>
    <w:p>
      <w:pPr>
        <w:jc w:val="center"/>
        <w:ind w:left="45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45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3" w:name="page144"/>
    <w:bookmarkEnd w:id="143"/>
    <w:p>
      <w:pPr>
        <w:jc w:val="right"/>
        <w:ind w:right="59"/>
        <w:spacing w:after="0"/>
        <w:rPr>
          <w:sz w:val="20"/>
          <w:szCs w:val="20"/>
          <w:color w:val="auto"/>
        </w:rPr>
      </w:pPr>
      <w:r>
        <w:rPr>
          <w:rFonts w:ascii="Arial" w:cs="Arial" w:eastAsia="Arial" w:hAnsi="Arial"/>
          <w:sz w:val="18"/>
          <w:szCs w:val="18"/>
          <w:b w:val="1"/>
          <w:bCs w:val="1"/>
          <w:color w:val="231F20"/>
        </w:rPr>
        <w:t>Exhibit 32.1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18 U.S.C. SECTION 1350, AS ADOPTED PURSUANT TO SECTION 906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OF THE SARBANES-OXLEY ACT OF 2002</w:t>
      </w:r>
    </w:p>
    <w:p>
      <w:pPr>
        <w:spacing w:after="0" w:line="184" w:lineRule="exact"/>
        <w:rPr>
          <w:sz w:val="20"/>
          <w:szCs w:val="20"/>
          <w:color w:val="auto"/>
        </w:rPr>
      </w:pPr>
    </w:p>
    <w:p>
      <w:pPr>
        <w:ind w:left="40" w:right="219" w:firstLine="324"/>
        <w:spacing w:after="0" w:line="257" w:lineRule="auto"/>
        <w:rPr>
          <w:sz w:val="20"/>
          <w:szCs w:val="20"/>
          <w:color w:val="auto"/>
        </w:rPr>
      </w:pPr>
      <w:r>
        <w:rPr>
          <w:rFonts w:ascii="Arial" w:cs="Arial" w:eastAsia="Arial" w:hAnsi="Arial"/>
          <w:sz w:val="18"/>
          <w:szCs w:val="18"/>
          <w:color w:val="231F20"/>
        </w:rPr>
        <w:t>In connection with the Annual Report of Ardelyx, Inc. (the “Company”) on Form 10-K for the period ending December 31, 2019, as filed with the Securities and Exchange Commission on the date hereof (the “Report”), Michael Raab, President and Chief Executive Officer of the Company, and Mark Kaufmann, Chief Financial Officer of the Company, respectively, do each hereby certify, pursuant to 18 U.S.C. Section 1350, as adopted pursuant to Section 906 of the Sarbanes-Oxley Act of 2002, that:</w:t>
      </w:r>
    </w:p>
    <w:p>
      <w:pPr>
        <w:spacing w:after="0" w:line="147" w:lineRule="exact"/>
        <w:rPr>
          <w:sz w:val="20"/>
          <w:szCs w:val="20"/>
          <w:color w:val="auto"/>
        </w:rPr>
      </w:pPr>
    </w:p>
    <w:p>
      <w:pPr>
        <w:ind w:left="700" w:right="99" w:hanging="332"/>
        <w:spacing w:after="0" w:line="277" w:lineRule="auto"/>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231F20"/>
        </w:rPr>
        <w:t>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700" w:right="179" w:hanging="332"/>
        <w:spacing w:after="0" w:line="277" w:lineRule="auto"/>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231F20"/>
        </w:rPr>
        <w:t>The information contained in the Report fairly presents, in all material respects, the financial condition and result of operations of the Company.</w:t>
      </w:r>
    </w:p>
    <w:p>
      <w:pPr>
        <w:spacing w:after="0" w:line="130" w:lineRule="exact"/>
        <w:rPr>
          <w:sz w:val="20"/>
          <w:szCs w:val="20"/>
          <w:color w:val="auto"/>
        </w:rPr>
      </w:pPr>
    </w:p>
    <w:p>
      <w:pPr>
        <w:ind w:left="40"/>
        <w:spacing w:after="0"/>
        <w:tabs>
          <w:tab w:leader="none" w:pos="4540" w:val="left"/>
          <w:tab w:leader="none" w:pos="6260" w:val="left"/>
        </w:tabs>
        <w:rPr>
          <w:sz w:val="20"/>
          <w:szCs w:val="20"/>
          <w:color w:val="auto"/>
        </w:rPr>
      </w:pPr>
      <w:r>
        <w:rPr>
          <w:rFonts w:ascii="Arial" w:cs="Arial" w:eastAsia="Arial" w:hAnsi="Arial"/>
          <w:sz w:val="18"/>
          <w:szCs w:val="18"/>
          <w:color w:val="auto"/>
        </w:rPr>
        <w:t>Date: March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6231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 w:lineRule="exact"/>
        <w:rPr>
          <w:sz w:val="20"/>
          <w:szCs w:val="20"/>
          <w:color w:val="auto"/>
        </w:rPr>
      </w:pPr>
    </w:p>
    <w:p>
      <w:pPr>
        <w:jc w:val="center"/>
        <w:ind w:left="4760"/>
        <w:spacing w:after="0"/>
        <w:rPr>
          <w:sz w:val="20"/>
          <w:szCs w:val="20"/>
          <w:color w:val="auto"/>
        </w:rPr>
      </w:pPr>
      <w:r>
        <w:rPr>
          <w:rFonts w:ascii="Arial" w:cs="Arial" w:eastAsia="Arial" w:hAnsi="Arial"/>
          <w:sz w:val="18"/>
          <w:szCs w:val="18"/>
          <w:b w:val="1"/>
          <w:bCs w:val="1"/>
          <w:color w:val="auto"/>
        </w:rPr>
        <w:t>Michael Raab</w:t>
      </w:r>
    </w:p>
    <w:p>
      <w:pPr>
        <w:spacing w:after="0" w:line="23" w:lineRule="exact"/>
        <w:rPr>
          <w:sz w:val="20"/>
          <w:szCs w:val="20"/>
          <w:color w:val="auto"/>
        </w:rPr>
      </w:pPr>
    </w:p>
    <w:p>
      <w:pPr>
        <w:jc w:val="center"/>
        <w:ind w:left="47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476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tabs>
          <w:tab w:leader="none" w:pos="4540" w:val="left"/>
          <w:tab w:leader="none" w:pos="6160" w:val="left"/>
        </w:tabs>
        <w:rPr>
          <w:sz w:val="20"/>
          <w:szCs w:val="20"/>
          <w:color w:val="auto"/>
        </w:rPr>
      </w:pPr>
      <w:r>
        <w:rPr>
          <w:rFonts w:ascii="Arial" w:cs="Arial" w:eastAsia="Arial" w:hAnsi="Arial"/>
          <w:sz w:val="18"/>
          <w:szCs w:val="18"/>
          <w:color w:val="auto"/>
        </w:rPr>
        <w:t>Date: March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6231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 w:lineRule="exact"/>
        <w:rPr>
          <w:sz w:val="20"/>
          <w:szCs w:val="20"/>
          <w:color w:val="auto"/>
        </w:rPr>
      </w:pPr>
    </w:p>
    <w:p>
      <w:pPr>
        <w:jc w:val="center"/>
        <w:ind w:left="4760"/>
        <w:spacing w:after="0"/>
        <w:rPr>
          <w:sz w:val="20"/>
          <w:szCs w:val="20"/>
          <w:color w:val="auto"/>
        </w:rPr>
      </w:pPr>
      <w:r>
        <w:rPr>
          <w:rFonts w:ascii="Arial" w:cs="Arial" w:eastAsia="Arial" w:hAnsi="Arial"/>
          <w:sz w:val="18"/>
          <w:szCs w:val="18"/>
          <w:b w:val="1"/>
          <w:bCs w:val="1"/>
          <w:color w:val="auto"/>
        </w:rPr>
        <w:t>Mark Kaufmann</w:t>
      </w:r>
    </w:p>
    <w:p>
      <w:pPr>
        <w:spacing w:after="0" w:line="23" w:lineRule="exact"/>
        <w:rPr>
          <w:sz w:val="20"/>
          <w:szCs w:val="20"/>
          <w:color w:val="auto"/>
        </w:rPr>
      </w:pPr>
    </w:p>
    <w:p>
      <w:pPr>
        <w:jc w:val="center"/>
        <w:ind w:left="47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47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1)"/>
      <w:numFmt w:val="decimal"/>
      <w:start w:val="2"/>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1)"/>
      <w:numFmt w:val="lowerRoman"/>
      <w:start w:val="2"/>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1."/>
      <w:numFmt w:val="decimal"/>
      <w:start w:val="1"/>
    </w:lvl>
  </w:abstractNum>
  <w:abstractNum w:abstractNumId="47">
    <w:nsid w:val="11447B73"/>
    <w:multiLevelType w:val="hybridMultilevel"/>
    <w:lvl w:ilvl="0">
      <w:lvlJc w:val="left"/>
      <w:lvlText w:val="%1."/>
      <w:numFmt w:val="decimal"/>
      <w:start w:val="2"/>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1."/>
      <w:numFmt w:val="decimal"/>
      <w:start w:val="3"/>
    </w:lvl>
  </w:abstractNum>
  <w:abstractNum w:abstractNumId="50">
    <w:nsid w:val="8F2B15E"/>
    <w:multiLevelType w:val="hybridMultilevel"/>
    <w:lvl w:ilvl="0">
      <w:lvlJc w:val="left"/>
      <w:lvlText w:val="%1."/>
      <w:numFmt w:val="decimal"/>
      <w:start w:val="4"/>
    </w:lvl>
  </w:abstractNum>
  <w:abstractNum w:abstractNumId="51">
    <w:nsid w:val="1A32234B"/>
    <w:multiLevelType w:val="hybridMultilevel"/>
    <w:lvl w:ilvl="0">
      <w:lvlJc w:val="left"/>
      <w:lvlText w:val="%1."/>
      <w:numFmt w:val="decimal"/>
      <w:start w:val="5"/>
    </w:lvl>
  </w:abstractNum>
  <w:abstractNum w:abstractNumId="52">
    <w:nsid w:val="3B0FD379"/>
    <w:multiLevelType w:val="hybridMultilevel"/>
    <w:lvl w:ilvl="0">
      <w:lvlJc w:val="left"/>
      <w:lvlText w:val="%1."/>
      <w:numFmt w:val="decimal"/>
      <w:start w:val="6"/>
    </w:lvl>
  </w:abstractNum>
  <w:abstractNum w:abstractNumId="53">
    <w:nsid w:val="68EB2F63"/>
    <w:multiLevelType w:val="hybridMultilevel"/>
    <w:lvl w:ilvl="0">
      <w:lvlJc w:val="left"/>
      <w:lvlText w:val="%1."/>
      <w:numFmt w:val="decimal"/>
      <w:start w:val="7"/>
    </w:lvl>
  </w:abstractNum>
  <w:abstractNum w:abstractNumId="54">
    <w:nsid w:val="4962813B"/>
    <w:multiLevelType w:val="hybridMultilevel"/>
    <w:lvl w:ilvl="0">
      <w:lvlJc w:val="left"/>
      <w:lvlText w:val="%1."/>
      <w:numFmt w:val="decimal"/>
      <w:start w:val="8"/>
    </w:lvl>
  </w:abstractNum>
  <w:abstractNum w:abstractNumId="55">
    <w:nsid w:val="60B6DF70"/>
    <w:multiLevelType w:val="hybridMultilevel"/>
    <w:lvl w:ilvl="0">
      <w:lvlJc w:val="left"/>
      <w:lvlText w:val="(%1)"/>
      <w:numFmt w:val="lowerRoman"/>
      <w:start w:val="1"/>
    </w:lvl>
  </w:abstractNum>
  <w:abstractNum w:abstractNumId="56">
    <w:nsid w:val="6A5EE64"/>
    <w:multiLevelType w:val="hybridMultilevel"/>
    <w:lvl w:ilvl="0">
      <w:lvlJc w:val="left"/>
      <w:lvlText w:val="(%1)"/>
      <w:numFmt w:val="lowerRoman"/>
      <w:start w:val="1"/>
    </w:lvl>
  </w:abstractNum>
  <w:abstractNum w:abstractNumId="57">
    <w:nsid w:val="14330624"/>
    <w:multiLevelType w:val="hybridMultilevel"/>
    <w:lvl w:ilvl="0">
      <w:lvlJc w:val="left"/>
      <w:lvlText w:val="%1."/>
      <w:numFmt w:val="decimal"/>
      <w:start w:val="9"/>
    </w:lvl>
  </w:abstractNum>
  <w:abstractNum w:abstractNumId="58">
    <w:nsid w:val="7FFFCA11"/>
    <w:multiLevelType w:val="hybridMultilevel"/>
    <w:lvl w:ilvl="0">
      <w:lvlJc w:val="left"/>
      <w:lvlText w:val="%1."/>
      <w:numFmt w:val="decimal"/>
      <w:start w:val="11"/>
    </w:lvl>
  </w:abstractNum>
  <w:abstractNum w:abstractNumId="59">
    <w:nsid w:val="1A27709E"/>
    <w:multiLevelType w:val="hybridMultilevel"/>
    <w:lvl w:ilvl="0">
      <w:lvlJc w:val="left"/>
      <w:lvlText w:val="%1."/>
      <w:numFmt w:val="decimal"/>
      <w:start w:val="12"/>
    </w:lvl>
  </w:abstractNum>
  <w:abstractNum w:abstractNumId="60">
    <w:nsid w:val="71EA1109"/>
    <w:multiLevelType w:val="hybridMultilevel"/>
    <w:lvl w:ilvl="0">
      <w:lvlJc w:val="left"/>
      <w:lvlText w:val="%1."/>
      <w:numFmt w:val="decimal"/>
      <w:start w:val="13"/>
    </w:lvl>
  </w:abstractNum>
  <w:abstractNum w:abstractNumId="61">
    <w:nsid w:val="100F59DC"/>
    <w:multiLevelType w:val="hybridMultilevel"/>
    <w:lvl w:ilvl="0">
      <w:lvlJc w:val="left"/>
      <w:lvlText w:val="*"/>
      <w:numFmt w:val="bullet"/>
      <w:start w:val="1"/>
    </w:lvl>
  </w:abstractNum>
  <w:abstractNum w:abstractNumId="62">
    <w:nsid w:val="7FB7E0AA"/>
    <w:multiLevelType w:val="hybridMultilevel"/>
    <w:lvl w:ilvl="0">
      <w:lvlJc w:val="left"/>
      <w:lvlText w:val="%1."/>
      <w:numFmt w:val="decimal"/>
      <w:start w:val="14"/>
    </w:lvl>
  </w:abstractNum>
  <w:abstractNum w:abstractNumId="63">
    <w:nsid w:val="6EB5BD4"/>
    <w:multiLevelType w:val="hybridMultilevel"/>
    <w:lvl w:ilvl="0">
      <w:lvlJc w:val="left"/>
      <w:lvlText w:val="%1."/>
      <w:numFmt w:val="decimal"/>
      <w:start w:val="15"/>
    </w:lvl>
  </w:abstractNum>
  <w:abstractNum w:abstractNumId="64">
    <w:nsid w:val="6F6DD9AC"/>
    <w:multiLevelType w:val="hybridMultilevel"/>
    <w:lvl w:ilvl="0">
      <w:lvlJc w:val="left"/>
      <w:lvlText w:val="(%1)"/>
      <w:numFmt w:val="decimal"/>
      <w:start w:val="1"/>
    </w:lvl>
  </w:abstractNum>
  <w:abstractNum w:abstractNumId="65">
    <w:nsid w:val="94211F2"/>
    <w:multiLevelType w:val="hybridMultilevel"/>
    <w:lvl w:ilvl="0">
      <w:lvlJc w:val="left"/>
      <w:lvlText w:val="%1."/>
      <w:numFmt w:val="decimal"/>
      <w:start w:val="16"/>
    </w:lvl>
  </w:abstractNum>
  <w:abstractNum w:abstractNumId="66">
    <w:nsid w:val="885E1B"/>
    <w:multiLevelType w:val="hybridMultilevel"/>
    <w:lvl w:ilvl="0">
      <w:lvlJc w:val="left"/>
      <w:lvlText w:val="%1."/>
      <w:numFmt w:val="decimal"/>
      <w:start w:val="17"/>
    </w:lvl>
  </w:abstractNum>
  <w:abstractNum w:abstractNumId="67">
    <w:nsid w:val="76272110"/>
    <w:multiLevelType w:val="hybridMultilevel"/>
    <w:lvl w:ilvl="0">
      <w:lvlJc w:val="left"/>
      <w:lvlText w:val="%1."/>
      <w:numFmt w:val="decimal"/>
      <w:start w:val="18"/>
    </w:lvl>
  </w:abstractNum>
  <w:abstractNum w:abstractNumId="68">
    <w:nsid w:val="4C04A8AF"/>
    <w:multiLevelType w:val="hybridMultilevel"/>
    <w:lvl w:ilvl="0">
      <w:lvlJc w:val="left"/>
      <w:lvlText w:val="·"/>
      <w:numFmt w:val="bullet"/>
      <w:start w:val="1"/>
    </w:lvl>
  </w:abstractNum>
  <w:abstractNum w:abstractNumId="69">
    <w:nsid w:val="1716703B"/>
    <w:multiLevelType w:val="hybridMultilevel"/>
    <w:lvl w:ilvl="0">
      <w:lvlJc w:val="left"/>
      <w:lvlText w:val="·"/>
      <w:numFmt w:val="bullet"/>
      <w:start w:val="1"/>
    </w:lvl>
  </w:abstractNum>
  <w:abstractNum w:abstractNumId="70">
    <w:nsid w:val="14E17E33"/>
    <w:multiLevelType w:val="hybridMultilevel"/>
    <w:lvl w:ilvl="0">
      <w:lvlJc w:val="left"/>
      <w:lvlText w:val="%1."/>
      <w:numFmt w:val="decimal"/>
      <w:start w:val="1"/>
    </w:lvl>
  </w:abstractNum>
  <w:abstractNum w:abstractNumId="71">
    <w:nsid w:val="3222E7CD"/>
    <w:multiLevelType w:val="hybridMultilevel"/>
    <w:lvl w:ilvl="0">
      <w:lvlJc w:val="left"/>
      <w:lvlText w:val="%1."/>
      <w:numFmt w:val="decimal"/>
      <w:start w:val="2"/>
    </w:lvl>
  </w:abstractNum>
  <w:abstractNum w:abstractNumId="72">
    <w:nsid w:val="74DE0EE3"/>
    <w:multiLevelType w:val="hybridMultilevel"/>
    <w:lvl w:ilvl="0">
      <w:lvlJc w:val="left"/>
      <w:lvlText w:val="%1."/>
      <w:numFmt w:val="decimal"/>
      <w:start w:val="3"/>
    </w:lvl>
  </w:abstractNum>
  <w:abstractNum w:abstractNumId="73">
    <w:nsid w:val="68EBC550"/>
    <w:multiLevelType w:val="hybridMultilevel"/>
    <w:lvl w:ilvl="0">
      <w:lvlJc w:val="left"/>
      <w:lvlText w:val="†"/>
      <w:numFmt w:val="bullet"/>
      <w:start w:val="1"/>
    </w:lvl>
  </w:abstractNum>
  <w:abstractNum w:abstractNumId="74">
    <w:nsid w:val="2DF6D648"/>
    <w:multiLevelType w:val="hybridMultilevel"/>
    <w:lvl w:ilvl="0">
      <w:lvlJc w:val="left"/>
      <w:lvlText w:val="††"/>
      <w:numFmt w:val="bullet"/>
      <w:start w:val="1"/>
    </w:lvl>
  </w:abstractNum>
  <w:abstractNum w:abstractNumId="75">
    <w:nsid w:val="46B7D447"/>
    <w:multiLevelType w:val="hybridMultilevel"/>
    <w:lvl w:ilvl="0">
      <w:lvlJc w:val="left"/>
      <w:lvlText w:val="#"/>
      <w:numFmt w:val="bullet"/>
      <w:start w:val="1"/>
    </w:lvl>
  </w:abstractNum>
  <w:abstractNum w:abstractNumId="76">
    <w:nsid w:val="4A2AC315"/>
    <w:multiLevelType w:val="hybridMultilevel"/>
    <w:lvl w:ilvl="0">
      <w:lvlJc w:val="left"/>
      <w:lvlText w:val="%1."/>
      <w:numFmt w:val="decimal"/>
      <w:start w:val="1"/>
    </w:lvl>
  </w:abstractNum>
  <w:abstractNum w:abstractNumId="77">
    <w:nsid w:val="39EE015C"/>
    <w:multiLevelType w:val="hybridMultilevel"/>
    <w:lvl w:ilvl="0">
      <w:lvlJc w:val="left"/>
      <w:lvlText w:val="(%1)"/>
      <w:numFmt w:val="lowerLetter"/>
      <w:start w:val="1"/>
    </w:lvl>
  </w:abstractNum>
  <w:abstractNum w:abstractNumId="78">
    <w:nsid w:val="57FC4FBB"/>
    <w:multiLevelType w:val="hybridMultilevel"/>
    <w:lvl w:ilvl="0">
      <w:lvlJc w:val="left"/>
      <w:lvlText w:val="(%1)"/>
      <w:numFmt w:val="lowerLetter"/>
      <w:start w:val="3"/>
    </w:lvl>
  </w:abstractNum>
  <w:abstractNum w:abstractNumId="79">
    <w:nsid w:val="CC1016F"/>
    <w:multiLevelType w:val="hybridMultilevel"/>
    <w:lvl w:ilvl="0">
      <w:lvlJc w:val="left"/>
      <w:lvlText w:val="%1."/>
      <w:numFmt w:val="decimal"/>
      <w:start w:val="3"/>
    </w:lvl>
  </w:abstractNum>
  <w:abstractNum w:abstractNumId="80">
    <w:nsid w:val="43F18422"/>
    <w:multiLevelType w:val="hybridMultilevel"/>
    <w:lvl w:ilvl="0">
      <w:lvlJc w:val="left"/>
      <w:lvlText w:val="(%1)"/>
      <w:numFmt w:val="lowerLetter"/>
      <w:start w:val="1"/>
    </w:lvl>
  </w:abstractNum>
  <w:abstractNum w:abstractNumId="81">
    <w:nsid w:val="60EF0119"/>
    <w:multiLevelType w:val="hybridMultilevel"/>
    <w:lvl w:ilvl="0">
      <w:lvlJc w:val="left"/>
      <w:lvlText w:val="%1."/>
      <w:numFmt w:val="decimal"/>
      <w:start w:val="5"/>
    </w:lvl>
  </w:abstractNum>
  <w:abstractNum w:abstractNumId="82">
    <w:nsid w:val="26F324BA"/>
    <w:multiLevelType w:val="hybridMultilevel"/>
    <w:lvl w:ilvl="0">
      <w:lvlJc w:val="left"/>
      <w:lvlText w:val="%1."/>
      <w:numFmt w:val="decimal"/>
      <w:start w:val="6"/>
    </w:lvl>
  </w:abstractNum>
  <w:abstractNum w:abstractNumId="83">
    <w:nsid w:val="7F01579B"/>
    <w:multiLevelType w:val="hybridMultilevel"/>
    <w:lvl w:ilvl="0">
      <w:lvlJc w:val="left"/>
      <w:lvlText w:val="(%1)"/>
      <w:numFmt w:val="lowerLetter"/>
      <w:start w:val="1"/>
    </w:lvl>
    <w:lvl w:ilvl="1">
      <w:lvlJc w:val="left"/>
      <w:lvlText w:val="(%2)"/>
      <w:numFmt w:val="lowerRoman"/>
      <w:start w:val="1"/>
    </w:lvl>
  </w:abstractNum>
  <w:abstractNum w:abstractNumId="84">
    <w:nsid w:val="49DA307D"/>
    <w:multiLevelType w:val="hybridMultilevel"/>
    <w:lvl w:ilvl="0">
      <w:lvlJc w:val="left"/>
      <w:lvlText w:val="(%1)"/>
      <w:numFmt w:val="lowerLetter"/>
      <w:start w:val="2"/>
    </w:lvl>
  </w:abstractNum>
  <w:abstractNum w:abstractNumId="85">
    <w:nsid w:val="7055A5F5"/>
    <w:multiLevelType w:val="hybridMultilevel"/>
    <w:lvl w:ilvl="0">
      <w:lvlJc w:val="left"/>
      <w:lvlText w:val="%1."/>
      <w:numFmt w:val="decimal"/>
      <w:start w:val="7"/>
    </w:lvl>
  </w:abstractNum>
  <w:abstractNum w:abstractNumId="86">
    <w:nsid w:val="5FB8370B"/>
    <w:multiLevelType w:val="hybridMultilevel"/>
    <w:lvl w:ilvl="0">
      <w:lvlJc w:val="left"/>
      <w:lvlText w:val="(%1)"/>
      <w:numFmt w:val="lowerLetter"/>
      <w:start w:val="1"/>
    </w:lvl>
  </w:abstractNum>
  <w:abstractNum w:abstractNumId="87">
    <w:nsid w:val="50801EE1"/>
    <w:multiLevelType w:val="hybridMultilevel"/>
    <w:lvl w:ilvl="0">
      <w:lvlJc w:val="left"/>
      <w:lvlText w:val="%1."/>
      <w:numFmt w:val="decimal"/>
      <w:start w:val="8"/>
    </w:lvl>
    <w:lvl w:ilvl="1">
      <w:lvlJc w:val="left"/>
      <w:lvlText w:val="(%2)"/>
      <w:numFmt w:val="lowerLetter"/>
      <w:start w:val="9"/>
    </w:lvl>
  </w:abstractNum>
  <w:abstractNum w:abstractNumId="88">
    <w:nsid w:val="488AC1A"/>
    <w:multiLevelType w:val="hybridMultilevel"/>
    <w:lvl w:ilvl="0">
      <w:lvlJc w:val="left"/>
      <w:lvlText w:val="%1"/>
      <w:numFmt w:val="lowerLetter"/>
      <w:start w:val="1"/>
    </w:lvl>
    <w:lvl w:ilvl="1">
      <w:lvlJc w:val="left"/>
      <w:lvlText w:val="(%2)"/>
      <w:numFmt w:val="lowerLetter"/>
      <w:start w:val="35"/>
    </w:lvl>
  </w:abstractNum>
  <w:abstractNum w:abstractNumId="89">
    <w:nsid w:val="5FB8011C"/>
    <w:multiLevelType w:val="hybridMultilevel"/>
    <w:lvl w:ilvl="0">
      <w:lvlJc w:val="left"/>
      <w:lvlText w:val="(%1)"/>
      <w:numFmt w:val="lowerLetter"/>
      <w:start w:val="2"/>
    </w:lvl>
    <w:lvl w:ilvl="1">
      <w:lvlJc w:val="left"/>
      <w:lvlText w:val="%2"/>
      <w:numFmt w:val="lowerLetter"/>
      <w:start w:val="1"/>
    </w:lvl>
  </w:abstractNum>
  <w:abstractNum w:abstractNumId="90">
    <w:nsid w:val="6AA78F7F"/>
    <w:multiLevelType w:val="hybridMultilevel"/>
    <w:lvl w:ilvl="0">
      <w:lvlJc w:val="left"/>
      <w:lvlText w:val="%1."/>
      <w:numFmt w:val="decimal"/>
      <w:start w:val="9"/>
    </w:lvl>
  </w:abstractNum>
  <w:abstractNum w:abstractNumId="91">
    <w:nsid w:val="7672BD23"/>
    <w:multiLevelType w:val="hybridMultilevel"/>
    <w:lvl w:ilvl="0">
      <w:lvlJc w:val="left"/>
      <w:lvlText w:val="%1."/>
      <w:numFmt w:val="decimal"/>
      <w:start w:val="11"/>
    </w:lvl>
  </w:abstractNum>
  <w:abstractNum w:abstractNumId="92">
    <w:nsid w:val="6FC75AF8"/>
    <w:multiLevelType w:val="hybridMultilevel"/>
    <w:lvl w:ilvl="0">
      <w:lvlJc w:val="left"/>
      <w:lvlText w:val="(%1)"/>
      <w:numFmt w:val="lowerLetter"/>
      <w:start w:val="1"/>
    </w:lvl>
  </w:abstractNum>
  <w:abstractNum w:abstractNumId="93">
    <w:nsid w:val="6A5F7029"/>
    <w:multiLevelType w:val="hybridMultilevel"/>
    <w:lvl w:ilvl="0">
      <w:lvlJc w:val="left"/>
      <w:lvlText w:val="%1."/>
      <w:numFmt w:val="decimal"/>
      <w:start w:val="1"/>
    </w:lvl>
  </w:abstractNum>
  <w:abstractNum w:abstractNumId="94">
    <w:nsid w:val="7D5E18F8"/>
    <w:multiLevelType w:val="hybridMultilevel"/>
    <w:lvl w:ilvl="0">
      <w:lvlJc w:val="left"/>
      <w:lvlText w:val="(%1)"/>
      <w:numFmt w:val="lowerLetter"/>
      <w:start w:val="1"/>
    </w:lvl>
  </w:abstractNum>
  <w:abstractNum w:abstractNumId="95">
    <w:nsid w:val="5F3534A4"/>
    <w:multiLevelType w:val="hybridMultilevel"/>
    <w:lvl w:ilvl="0">
      <w:lvlJc w:val="left"/>
      <w:lvlText w:val="(%1)"/>
      <w:numFmt w:val="lowerRoman"/>
      <w:start w:val="1"/>
    </w:lvl>
  </w:abstractNum>
  <w:abstractNum w:abstractNumId="96">
    <w:nsid w:val="73A1821B"/>
    <w:multiLevelType w:val="hybridMultilevel"/>
    <w:lvl w:ilvl="0">
      <w:lvlJc w:val="left"/>
      <w:lvlText w:val="(%1)"/>
      <w:numFmt w:val="lowerLetter"/>
      <w:start w:val="2"/>
    </w:lvl>
  </w:abstractNum>
  <w:abstractNum w:abstractNumId="97">
    <w:nsid w:val="7DE67713"/>
    <w:multiLevelType w:val="hybridMultilevel"/>
    <w:lvl w:ilvl="0">
      <w:lvlJc w:val="left"/>
      <w:lvlText w:val="%1"/>
      <w:numFmt w:val="lowerLetter"/>
      <w:start w:val="1"/>
    </w:lvl>
    <w:lvl w:ilvl="1">
      <w:lvlJc w:val="left"/>
      <w:lvlText w:val="(%2)"/>
      <w:numFmt w:val="lowerLetter"/>
      <w:start w:val="3"/>
    </w:lvl>
  </w:abstractNum>
  <w:abstractNum w:abstractNumId="98">
    <w:nsid w:val="555C55B5"/>
    <w:multiLevelType w:val="hybridMultilevel"/>
    <w:lvl w:ilvl="0">
      <w:lvlJc w:val="left"/>
      <w:lvlText w:val="(%1)"/>
      <w:numFmt w:val="lowerLetter"/>
      <w:start w:val="3"/>
    </w:lvl>
    <w:lvl w:ilvl="1">
      <w:lvlJc w:val="left"/>
      <w:lvlText w:val="(%2)"/>
      <w:numFmt w:val="lowerLetter"/>
      <w:start w:val="4"/>
    </w:lvl>
  </w:abstractNum>
  <w:abstractNum w:abstractNumId="99">
    <w:nsid w:val="3FA62ACA"/>
    <w:multiLevelType w:val="hybridMultilevel"/>
    <w:lvl w:ilvl="0">
      <w:lvlJc w:val="left"/>
      <w:lvlText w:val="(%1)"/>
      <w:numFmt w:val="lowerLetter"/>
      <w:start w:val="1"/>
    </w:lvl>
  </w:abstractNum>
  <w:abstractNum w:abstractNumId="100">
    <w:nsid w:val="14FCE74E"/>
    <w:multiLevelType w:val="hybridMultilevel"/>
    <w:lvl w:ilvl="0">
      <w:lvlJc w:val="left"/>
      <w:lvlText w:val="(%1)"/>
      <w:numFmt w:val="lowerLetter"/>
      <w:start w:val="5"/>
    </w:lvl>
  </w:abstractNum>
  <w:abstractNum w:abstractNumId="101">
    <w:nsid w:val="6A3DD3E8"/>
    <w:multiLevelType w:val="hybridMultilevel"/>
    <w:lvl w:ilvl="0">
      <w:lvlJc w:val="left"/>
      <w:lvlText w:val="%1."/>
      <w:numFmt w:val="decimal"/>
      <w:start w:val="3"/>
    </w:lvl>
  </w:abstractNum>
  <w:abstractNum w:abstractNumId="102">
    <w:nsid w:val="71C91298"/>
    <w:multiLevelType w:val="hybridMultilevel"/>
    <w:lvl w:ilvl="0">
      <w:lvlJc w:val="left"/>
      <w:lvlText w:val="(%1)"/>
      <w:numFmt w:val="decimal"/>
      <w:start w:val="1"/>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decimal"/>
      <w:start w:val="1"/>
    </w:lvl>
    <w:lvl w:ilvl="1">
      <w:lvlJc w:val="left"/>
      <w:lvlText w:val="(%2)"/>
      <w:numFmt w:val="lowerLetter"/>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61" Type="http://schemas.openxmlformats.org/officeDocument/2006/relationships/image" Target="media/image134.png"/><Relationship Id="rId183" Type="http://schemas.openxmlformats.org/officeDocument/2006/relationships/image" Target="media/image135.png"/><Relationship Id="rId187" Type="http://schemas.openxmlformats.org/officeDocument/2006/relationships/image" Target="media/image136.png"/><Relationship Id="rId188"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141" Type="http://schemas.openxmlformats.org/officeDocument/2006/relationships/hyperlink" Target="http://www.sec.gov/Archives/edgar/data/1437402/000119312514247380/d748616dex31.htm" TargetMode="External"/><Relationship Id="rId142" Type="http://schemas.openxmlformats.org/officeDocument/2006/relationships/hyperlink" Target="http://www.sec.gov/Archives/edgar/data/1437402/000119312514247380/d748616dex32.htm" TargetMode="External"/><Relationship Id="rId143" Type="http://schemas.openxmlformats.org/officeDocument/2006/relationships/hyperlink" Target="http://www.sec.gov/Archives/edgar/data/1437402/000119312514240520/d704770dex42.htm" TargetMode="External"/><Relationship Id="rId144" Type="http://schemas.openxmlformats.org/officeDocument/2006/relationships/hyperlink" Target="http://www.sec.gov/Archives/edgar/data/1437402/000119312515250831/d44646dex43.htm" TargetMode="External"/><Relationship Id="rId145" Type="http://schemas.openxmlformats.org/officeDocument/2006/relationships/hyperlink" Target="http://www.sec.gov/Archives/edgar/data/1437402/000119312515288082/d948397dex101.htm" TargetMode="External"/><Relationship Id="rId146" Type="http://schemas.openxmlformats.org/officeDocument/2006/relationships/hyperlink" Target="http://www.sec.gov/Archives/edgar/data/1437402/000119312516493375/d133887dex101d.htm" TargetMode="External"/><Relationship Id="rId147" Type="http://schemas.openxmlformats.org/officeDocument/2006/relationships/hyperlink" Target="http://www.sec.gov/Archives/edgar/data/1437402/000119312514204985/d704770dex104a.htm" TargetMode="External"/><Relationship Id="rId148" Type="http://schemas.openxmlformats.org/officeDocument/2006/relationships/hyperlink" Target="http://www.sec.gov/Archives/edgar/data/1437402/000119312514204985/d704770dex104b.htm" TargetMode="External"/><Relationship Id="rId149" Type="http://schemas.openxmlformats.org/officeDocument/2006/relationships/hyperlink" Target="http://www.sec.gov/Archives/edgar/data/1437402/000119312514336840/d786507dex101.htm" TargetMode="External"/><Relationship Id="rId150" Type="http://schemas.openxmlformats.org/officeDocument/2006/relationships/hyperlink" Target="http://www.sec.gov/Archives/edgar/data/1437402/000119312516675135/d201246dex103.htm" TargetMode="External"/><Relationship Id="rId151" Type="http://schemas.openxmlformats.org/officeDocument/2006/relationships/hyperlink" Target="http://www.sec.gov/Archives/edgar/data/1437402/000119312514204985/d704770dex105a.htm" TargetMode="External"/><Relationship Id="rId152" Type="http://schemas.openxmlformats.org/officeDocument/2006/relationships/hyperlink" Target="http://www.sec.gov/Archives/edgar/data/1437402/000119312514204985/d704770dex105b.htm" TargetMode="External"/><Relationship Id="rId153" Type="http://schemas.openxmlformats.org/officeDocument/2006/relationships/hyperlink" Target="http://www.sec.gov/Archives/edgar/data/1437402/000119312514204985/d704770dex105c.htm" TargetMode="External"/><Relationship Id="rId154" Type="http://schemas.openxmlformats.org/officeDocument/2006/relationships/hyperlink" Target="http://www.sec.gov/Archives/edgar/data/1437402/000119312514267896/d758186dex993.htm" TargetMode="External"/><Relationship Id="rId155" Type="http://schemas.openxmlformats.org/officeDocument/2006/relationships/hyperlink" Target="http://www.sec.gov/Archives/edgar/data/1437402/000119312514229371/d704770dex106b.htm" TargetMode="External"/><Relationship Id="rId156" Type="http://schemas.openxmlformats.org/officeDocument/2006/relationships/hyperlink" Target="http://www.sec.gov/Archives/edgar/data/1437402/000119312514229371/d704770dex106c.htm" TargetMode="External"/><Relationship Id="rId157" Type="http://schemas.openxmlformats.org/officeDocument/2006/relationships/hyperlink" Target="http://www.sec.gov/Archives/edgar/data/1437402/000119312514229371/d704770dex107.htm" TargetMode="External"/><Relationship Id="rId158" Type="http://schemas.openxmlformats.org/officeDocument/2006/relationships/hyperlink" Target="http://www.sec.gov/Archives/edgar/data/1437402/000119312514229371/d704770dex108.htm" TargetMode="External"/><Relationship Id="rId159" Type="http://schemas.openxmlformats.org/officeDocument/2006/relationships/hyperlink" Target="http://www.sec.gov/Archives/edgar/data/1437402/000119312514229371/d704770dex1015.htm" TargetMode="External"/><Relationship Id="rId160" Type="http://schemas.openxmlformats.org/officeDocument/2006/relationships/hyperlink" Target="http://www.sec.gov/Archives/edgar/data/1437402/000119312514229371/d704770dex1017.htm" TargetMode="External"/><Relationship Id="rId162" Type="http://schemas.openxmlformats.org/officeDocument/2006/relationships/hyperlink" Target="http://www.sec.gov/Archives/edgar/data/1437402/000119312514229371/d704770dex1010.htm" TargetMode="External"/><Relationship Id="rId163" Type="http://schemas.openxmlformats.org/officeDocument/2006/relationships/hyperlink" Target="http://www.sec.gov/Archives/edgar/data/1437402/000119312514229371/d704770dex1012.htm" TargetMode="External"/><Relationship Id="rId164" Type="http://schemas.openxmlformats.org/officeDocument/2006/relationships/hyperlink" Target="http://www.sec.gov/Archives/edgar/data/1437402/000119312514229371/d704770dex1013.htm" TargetMode="External"/><Relationship Id="rId165" Type="http://schemas.openxmlformats.org/officeDocument/2006/relationships/hyperlink" Target="http://www.sec.gov/Archives/edgar/data/1437402/000119312514229371/d704770dex1014.htm" TargetMode="External"/><Relationship Id="rId166" Type="http://schemas.openxmlformats.org/officeDocument/2006/relationships/hyperlink" Target="http://www.sec.gov/Archives/edgar/data/1437402/000119312514267896/d758186dex996.htm" TargetMode="External"/><Relationship Id="rId167" Type="http://schemas.openxmlformats.org/officeDocument/2006/relationships/hyperlink" Target="http://www.sec.gov/Archives/edgar/data/1437402/000119312514229371/d704770dex1021.htm" TargetMode="External"/><Relationship Id="rId168" Type="http://schemas.openxmlformats.org/officeDocument/2006/relationships/hyperlink" Target="http://www.sec.gov/Archives/edgar/data/1437402/000119312517077089/d133384d8k.htm" TargetMode="External"/><Relationship Id="rId169" Type="http://schemas.openxmlformats.org/officeDocument/2006/relationships/hyperlink" Target="http://www.sec.gov/Archives/edgar/data/1437402/000119312515288082/d948397dex102.htm" TargetMode="External"/><Relationship Id="rId170" Type="http://schemas.openxmlformats.org/officeDocument/2006/relationships/hyperlink" Target="http://www.sec.gov/Archives/edgar/data/1437402/000119312515250831/d44646dex991.htm" TargetMode="External"/><Relationship Id="rId171" Type="http://schemas.openxmlformats.org/officeDocument/2006/relationships/hyperlink" Target="http://www.sec.gov/Archives/edgar/data/1437402/000119312516675135/d201246dex101.htm" TargetMode="External"/><Relationship Id="rId172" Type="http://schemas.openxmlformats.org/officeDocument/2006/relationships/hyperlink" Target="http://www.sec.gov/Archives/edgar/data/1437402/000119312516675135/d201246dex102.htm" TargetMode="External"/><Relationship Id="rId173" Type="http://schemas.openxmlformats.org/officeDocument/2006/relationships/hyperlink" Target="http://www.sec.gov/Archives/edgar/data/1437402/000119312516764653/d276142dex991.htm" TargetMode="External"/><Relationship Id="rId174" Type="http://schemas.openxmlformats.org/officeDocument/2006/relationships/hyperlink" Target="http://www.sec.gov/Archives/edgar/data/1437402/000119312516764653/d276142dex992.htm" TargetMode="External"/><Relationship Id="rId175" Type="http://schemas.openxmlformats.org/officeDocument/2006/relationships/hyperlink" Target="http://www.sec.gov/Archives/edgar/data/1437402/000119312516764653/d276142dex993.htm" TargetMode="External"/><Relationship Id="rId176" Type="http://schemas.openxmlformats.org/officeDocument/2006/relationships/hyperlink" Target="http://www.sec.gov/Archives/edgar/data/1437402/000119312516764653/d276142dex994.htm" TargetMode="External"/><Relationship Id="rId177" Type="http://schemas.openxmlformats.org/officeDocument/2006/relationships/hyperlink" Target="http://www.sec.gov/Archives/edgar/data/1437402/000119312517334997/d469480dex101.htm" TargetMode="External"/><Relationship Id="rId178" Type="http://schemas.openxmlformats.org/officeDocument/2006/relationships/hyperlink" Target="http://www.sec.gov/Archives/edgar/data/1437402/000155837018002056/ardx-20171231ex10353fabf.htm" TargetMode="External"/><Relationship Id="rId179" Type="http://schemas.openxmlformats.org/officeDocument/2006/relationships/hyperlink" Target="http://www.sec.gov/Archives/edgar/data/1437402/000155837018002056/ardx-20171231ex103695c56.htm" TargetMode="External"/><Relationship Id="rId180" Type="http://schemas.openxmlformats.org/officeDocument/2006/relationships/hyperlink" Target="http://www.sec.gov/Archives/edgar/data/1437402/000155837018004307/ardx-20180331ex100e97155.htm" TargetMode="External"/><Relationship Id="rId181" Type="http://schemas.openxmlformats.org/officeDocument/2006/relationships/hyperlink" Target="http://www.sec.gov/Archives/edgar/data/1437402/000155837018004307/ardx-20180331ex101b83033.htm" TargetMode="External"/><Relationship Id="rId182" Type="http://schemas.openxmlformats.org/officeDocument/2006/relationships/hyperlink" Target="http://www.sec.gov/Archives/edgar/data/1437402/000155837018006606/ardx-20180630ex101bb8c88.htm" TargetMode="External"/><Relationship Id="rId184" Type="http://schemas.openxmlformats.org/officeDocument/2006/relationships/hyperlink" Target="http://www.sec.gov/Archives/edgar/data/1437402/000155837018006606/ardx-20180630ex102467e2d.htm" TargetMode="External"/><Relationship Id="rId185" Type="http://schemas.openxmlformats.org/officeDocument/2006/relationships/hyperlink" Target="http://www.sec.gov/Archives/edgar/data/1437402/000155837018006606/ardx-20180630ex1031a451a.htm" TargetMode="External"/><Relationship Id="rId186" Type="http://schemas.openxmlformats.org/officeDocument/2006/relationships/hyperlink" Target="http://www.sec.gov/Archives/edgar/data/1437402/000155837019004249/ardx-20190331ex101320fc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2020-03-06T15:12:08Z</dcterms:created>
  <dcterms:modified xsi:type="dcterms:W3CDTF">2020-03-06T15:12:08Z</dcterms:modified>
</cp:coreProperties>
</file>