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Rosenbaum David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ARDELYX,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SVP, Drug Development</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620" w:type="dxa"/>
            <w:vAlign w:val="bottom"/>
            <w:gridSpan w:val="6"/>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7"/>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gridSpan w:val="2"/>
          </w:tcPr>
          <w:p>
            <w:pPr>
              <w:ind w:left="52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FREMONT</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94555</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20" w:type="dxa"/>
            <w:vAlign w:val="bottom"/>
            <w:gridSpan w:val="5"/>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restart"/>
          </w:tcPr>
          <w:p>
            <w:pPr>
              <w:ind w:left="22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5780" w:type="dxa"/>
            <w:vAlign w:val="bottom"/>
            <w:tcBorders>
              <w:bottom w:val="single" w:sz="8" w:color="2C2C2C"/>
            </w:tcBorders>
            <w:gridSpan w:val="11"/>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13"/>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40" w:type="dxa"/>
            <w:vAlign w:val="bottom"/>
            <w:gridSpan w:val="3"/>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40" w:type="dxa"/>
            <w:vAlign w:val="bottom"/>
            <w:gridSpan w:val="3"/>
            <w:vMerge w:val="restart"/>
          </w:tcPr>
          <w:p>
            <w:pPr>
              <w:ind w:left="680"/>
              <w:spacing w:after="0"/>
              <w:rPr>
                <w:sz w:val="20"/>
                <w:szCs w:val="20"/>
                <w:color w:val="auto"/>
              </w:rPr>
            </w:pPr>
            <w:r>
              <w:rPr>
                <w:rFonts w:ascii="Arial" w:cs="Arial" w:eastAsia="Arial" w:hAnsi="Arial"/>
                <w:sz w:val="18"/>
                <w:szCs w:val="18"/>
                <w:color w:val="0000FF"/>
              </w:rPr>
              <w:t>03/10/2017</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ind w:left="120"/>
              <w:spacing w:after="0"/>
              <w:rPr>
                <w:sz w:val="20"/>
                <w:szCs w:val="20"/>
                <w:color w:val="auto"/>
              </w:rPr>
            </w:pPr>
            <w:r>
              <w:rPr>
                <w:rFonts w:ascii="Arial" w:cs="Arial" w:eastAsia="Arial" w:hAnsi="Arial"/>
                <w:sz w:val="18"/>
                <w:szCs w:val="18"/>
                <w:color w:val="0000FF"/>
              </w:rPr>
              <w:t>1,000</w:t>
            </w:r>
            <w:r>
              <w:rPr>
                <w:rFonts w:ascii="Arial" w:cs="Arial" w:eastAsia="Arial" w:hAnsi="Arial"/>
                <w:sz w:val="22"/>
                <w:szCs w:val="22"/>
                <w:color w:val="008000"/>
                <w:vertAlign w:val="superscript"/>
              </w:rPr>
              <w:t>(1)</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860" w:type="dxa"/>
            <w:vAlign w:val="bottom"/>
            <w:gridSpan w:val="2"/>
            <w:vMerge w:val="restart"/>
          </w:tcPr>
          <w:p>
            <w:pPr>
              <w:ind w:left="1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13.4823</w:t>
            </w:r>
          </w:p>
        </w:tc>
        <w:tc>
          <w:tcPr>
            <w:tcW w:w="124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2"/>
              </w:rPr>
              <w:t>1,277</w:t>
            </w:r>
            <w:r>
              <w:rPr>
                <w:rFonts w:ascii="Arial" w:cs="Arial" w:eastAsia="Arial" w:hAnsi="Arial"/>
                <w:sz w:val="22"/>
                <w:szCs w:val="22"/>
                <w:color w:val="008000"/>
                <w:w w:val="82"/>
                <w:vertAlign w:val="superscript"/>
              </w:rPr>
              <w:t>(2)</w:t>
            </w:r>
          </w:p>
        </w:tc>
        <w:tc>
          <w:tcPr>
            <w:tcW w:w="920" w:type="dxa"/>
            <w:vAlign w:val="bottom"/>
            <w:vMerge w:val="restart"/>
          </w:tcPr>
          <w:p>
            <w:pPr>
              <w:jc w:val="center"/>
              <w:ind w:right="32"/>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top w:val="single" w:sz="8" w:color="2C2C2C"/>
              <w:bottom w:val="single" w:sz="8" w:color="2C2C2C"/>
            </w:tcBorders>
          </w:tcPr>
          <w:p>
            <w:pPr>
              <w:spacing w:after="0"/>
              <w:rPr>
                <w:sz w:val="24"/>
                <w:szCs w:val="24"/>
                <w:color w:val="auto"/>
              </w:rPr>
            </w:pPr>
          </w:p>
        </w:tc>
        <w:tc>
          <w:tcPr>
            <w:tcW w:w="102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40" w:type="dxa"/>
            <w:vAlign w:val="bottom"/>
            <w:tcBorders>
              <w:top w:val="single" w:sz="8" w:color="2C2C2C"/>
              <w:bottom w:val="single" w:sz="8" w:color="2C2C2C"/>
            </w:tcBorders>
          </w:tcPr>
          <w:p>
            <w:pPr>
              <w:spacing w:after="0"/>
              <w:rPr>
                <w:sz w:val="24"/>
                <w:szCs w:val="24"/>
                <w:color w:val="auto"/>
              </w:rPr>
            </w:pPr>
          </w:p>
        </w:tc>
        <w:tc>
          <w:tcPr>
            <w:tcW w:w="1240" w:type="dxa"/>
            <w:vAlign w:val="bottom"/>
            <w:tcBorders>
              <w:top w:val="single" w:sz="8" w:color="2C2C2C"/>
              <w:bottom w:val="single" w:sz="8" w:color="2C2C2C"/>
            </w:tcBorders>
            <w:gridSpan w:val="2"/>
          </w:tcPr>
          <w:p>
            <w:pPr>
              <w:jc w:val="center"/>
              <w:ind w:right="19"/>
              <w:spacing w:after="0"/>
              <w:rPr>
                <w:sz w:val="20"/>
                <w:szCs w:val="20"/>
                <w:color w:val="auto"/>
              </w:rPr>
            </w:pPr>
            <w:r>
              <w:rPr>
                <w:rFonts w:ascii="Arial" w:cs="Arial" w:eastAsia="Arial" w:hAnsi="Arial"/>
                <w:sz w:val="18"/>
                <w:szCs w:val="18"/>
                <w:color w:val="0000FF"/>
                <w:w w:val="82"/>
              </w:rPr>
              <w:t>42,180</w:t>
            </w:r>
            <w:r>
              <w:rPr>
                <w:rFonts w:ascii="Arial" w:cs="Arial" w:eastAsia="Arial" w:hAnsi="Arial"/>
                <w:sz w:val="22"/>
                <w:szCs w:val="22"/>
                <w:color w:val="008000"/>
                <w:w w:val="82"/>
                <w:vertAlign w:val="superscript"/>
              </w:rPr>
              <w:t>(4)</w:t>
            </w:r>
          </w:p>
        </w:tc>
        <w:tc>
          <w:tcPr>
            <w:tcW w:w="920" w:type="dxa"/>
            <w:vAlign w:val="bottom"/>
            <w:tcBorders>
              <w:top w:val="single" w:sz="8" w:color="2C2C2C"/>
              <w:bottom w:val="single" w:sz="8" w:color="2C2C2C"/>
            </w:tcBorders>
          </w:tcPr>
          <w:p>
            <w:pPr>
              <w:jc w:val="center"/>
              <w:ind w:right="52"/>
              <w:spacing w:after="0"/>
              <w:rPr>
                <w:sz w:val="20"/>
                <w:szCs w:val="20"/>
                <w:color w:val="auto"/>
              </w:rPr>
            </w:pPr>
            <w:r>
              <w:rPr>
                <w:rFonts w:ascii="Arial" w:cs="Arial" w:eastAsia="Arial" w:hAnsi="Arial"/>
                <w:sz w:val="18"/>
                <w:szCs w:val="18"/>
                <w:color w:val="0000FF"/>
                <w:w w:val="91"/>
              </w:rPr>
              <w:t>D</w:t>
            </w:r>
          </w:p>
        </w:tc>
        <w:tc>
          <w:tcPr>
            <w:tcW w:w="84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7"/>
              </w:rPr>
              <w:t>77,592</w:t>
            </w:r>
          </w:p>
        </w:tc>
        <w:tc>
          <w:tcPr>
            <w:tcW w:w="920" w:type="dxa"/>
            <w:vAlign w:val="bottom"/>
            <w:vMerge w:val="restart"/>
          </w:tcPr>
          <w:p>
            <w:pPr>
              <w:jc w:val="center"/>
              <w:ind w:right="32"/>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(5)</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9"/>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364 shares acquired under the Issuer's Employee Stock Purchase Plan on February 28, 2017.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1,277 shares acquired under the Issuer's Employee Stock Purchase Plan on February 28, 2017.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are directly held by the Reporting Person's wife.</w:t>
      </w:r>
    </w:p>
    <w:p>
      <w:pPr>
        <w:spacing w:after="0" w:line="41"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(i) 2,051 shares acquired under the Issuer's Employee Stock Purchase Plan on February 28, 2017 and (ii) 17,985 restricted stock units ("RSUs"). The Reporting Person is entitled to receive one (1) shares of Common Stock for each one (1) RSU upon the vesting thereof.</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are directly held by David Paul Rosenbaum and Susan Edelstein Rosenbaum, Trustees of the David Paul Rosenbaum Family Trust.</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325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325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David</w:t>
      </w:r>
      <w:r>
        <w:rPr>
          <w:sz w:val="20"/>
          <w:szCs w:val="20"/>
          <w:color w:val="auto"/>
        </w:rPr>
        <w:tab/>
      </w:r>
      <w:r>
        <w:rPr>
          <w:rFonts w:ascii="Arial" w:cs="Arial" w:eastAsia="Arial" w:hAnsi="Arial"/>
          <w:sz w:val="15"/>
          <w:szCs w:val="15"/>
          <w:color w:val="0000FF"/>
        </w:rPr>
        <w:t>03/14/2017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Rosenbaum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26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2641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13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2019-12-04T01:58:17Z</dcterms:created>
  <dcterms:modified xsi:type="dcterms:W3CDTF">2019-12-04T01:58:17Z</dcterms:modified>
</cp:coreProperties>
</file>