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-232410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55880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jc w:val="center"/>
        <w:ind w:right="-20"/>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81915</wp:posOffset>
            </wp:positionV>
            <wp:extent cx="5394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156" w:lineRule="exact"/>
        <w:rPr>
          <w:sz w:val="24"/>
          <w:szCs w:val="24"/>
          <w:color w:val="auto"/>
        </w:rPr>
      </w:pPr>
    </w:p>
    <w:p>
      <w:pPr>
        <w:ind w:left="260"/>
        <w:spacing w:after="0" w:line="207" w:lineRule="exact"/>
        <w:tabs>
          <w:tab w:leader="none" w:pos="28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80" w:hanging="618"/>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880" w:hanging="618"/>
        <w:spacing w:after="0" w:line="207" w:lineRule="exact"/>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22" w:lineRule="exact"/>
        <w:rPr>
          <w:rFonts w:ascii="MS PGothic" w:cs="MS PGothic" w:eastAsia="MS PGothic" w:hAnsi="MS PGothic"/>
          <w:sz w:val="18"/>
          <w:szCs w:val="18"/>
          <w:color w:val="auto"/>
        </w:rPr>
      </w:pPr>
    </w:p>
    <w:p>
      <w:pPr>
        <w:ind w:left="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27" w:lineRule="exact"/>
        <w:rPr>
          <w:rFonts w:ascii="MS PGothic" w:cs="MS PGothic" w:eastAsia="MS PGothic" w:hAnsi="MS PGothic"/>
          <w:sz w:val="18"/>
          <w:szCs w:val="18"/>
          <w:color w:val="auto"/>
        </w:rPr>
      </w:pPr>
    </w:p>
    <w:p>
      <w:pPr>
        <w:ind w:left="880" w:hanging="618"/>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1" w:lineRule="exact"/>
        <w:rPr>
          <w:rFonts w:ascii="MS PGothic" w:cs="MS PGothic" w:eastAsia="MS PGothic" w:hAnsi="MS PGothic"/>
          <w:sz w:val="18"/>
          <w:szCs w:val="18"/>
          <w:color w:val="auto"/>
        </w:rPr>
      </w:pPr>
    </w:p>
    <w:p>
      <w:pPr>
        <w:ind w:left="880" w:hanging="618"/>
        <w:spacing w:after="0" w:line="207" w:lineRule="exact"/>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0"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760" w:hanging="49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760" w:hanging="498"/>
        <w:spacing w:after="0" w:line="207" w:lineRule="exact"/>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76" w:lineRule="exact"/>
        <w:rPr>
          <w:rFonts w:ascii="MS PGothic" w:cs="MS PGothic" w:eastAsia="MS PGothic" w:hAnsi="MS PGothic"/>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240" w:right="479" w:hanging="478"/>
        <w:spacing w:after="0" w:line="224" w:lineRule="exact"/>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r>
        <w:rPr>
          <w:rFonts w:ascii="MS PGothic" w:cs="MS PGothic" w:eastAsia="MS PGothic" w:hAnsi="MS PGothic"/>
          <w:sz w:val="17"/>
          <w:szCs w:val="17"/>
          <w:color w:val="auto"/>
        </w:rPr>
        <w:t>‑</w:t>
      </w:r>
      <w:r>
        <w:rPr>
          <w:rFonts w:ascii="Arial" w:cs="Arial" w:eastAsia="Arial" w:hAnsi="Arial"/>
          <w:sz w:val="17"/>
          <w:szCs w:val="17"/>
          <w:color w:val="auto"/>
        </w:rPr>
        <w:t>11 (set forth the amount on which the filing fee is calculated and state how it was determined):</w:t>
      </w:r>
    </w:p>
    <w:p>
      <w:pPr>
        <w:spacing w:after="0" w:line="174" w:lineRule="exact"/>
        <w:rPr>
          <w:rFonts w:ascii="Arial" w:cs="Arial" w:eastAsia="Arial" w:hAnsi="Arial"/>
          <w:sz w:val="17"/>
          <w:szCs w:val="17"/>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760" w:hanging="498"/>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760" w:right="339" w:hanging="498"/>
        <w:spacing w:after="0" w:line="221" w:lineRule="exact"/>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240" w:hanging="478"/>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795020</wp:posOffset>
            </wp:positionH>
            <wp:positionV relativeFrom="paragraph">
              <wp:posOffset>126365</wp:posOffset>
            </wp:positionV>
            <wp:extent cx="4768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-130175</wp:posOffset>
            </wp:positionV>
            <wp:extent cx="4768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-387350</wp:posOffset>
            </wp:positionV>
            <wp:extent cx="4768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-644525</wp:posOffset>
            </wp:positionV>
            <wp:extent cx="4768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-1570990</wp:posOffset>
            </wp:positionV>
            <wp:extent cx="4768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-1828165</wp:posOffset>
            </wp:positionV>
            <wp:extent cx="4768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-2085340</wp:posOffset>
            </wp:positionV>
            <wp:extent cx="4768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-2480310</wp:posOffset>
            </wp:positionV>
            <wp:extent cx="4768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-2737485</wp:posOffset>
            </wp:positionV>
            <wp:extent cx="4768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461010</wp:posOffset>
            </wp:positionV>
            <wp:extent cx="539432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358140</wp:posOffset>
            </wp:positionV>
            <wp:extent cx="1500505"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JUNE 13, 2018</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the Stockholders of Ardelyx, Inc.:</w:t>
      </w:r>
    </w:p>
    <w:p>
      <w:pPr>
        <w:spacing w:after="0" w:line="117" w:lineRule="exact"/>
        <w:rPr>
          <w:sz w:val="20"/>
          <w:szCs w:val="20"/>
          <w:color w:val="auto"/>
        </w:rPr>
      </w:pPr>
    </w:p>
    <w:p>
      <w:pPr>
        <w:ind w:left="260" w:right="279"/>
        <w:spacing w:after="0" w:line="286" w:lineRule="auto"/>
        <w:rPr>
          <w:sz w:val="20"/>
          <w:szCs w:val="20"/>
          <w:color w:val="auto"/>
        </w:rPr>
      </w:pPr>
      <w:r>
        <w:rPr>
          <w:rFonts w:ascii="Arial" w:cs="Arial" w:eastAsia="Arial" w:hAnsi="Arial"/>
          <w:sz w:val="17"/>
          <w:szCs w:val="17"/>
          <w:color w:val="auto"/>
        </w:rPr>
        <w:t>The 2018 Annual Meeting of Stockholders, or the 2018 Annual Meeting, of Ardelyx, Inc., a Delaware corporation, or the Company, will be held on June 13, 2018 at 8:30 a.m. local time at the Company’s headquarters at 34175 Ardenwood Blvd., Suite 200 (2nd Floor), Fremont, CA 94555 for the following purposes:</w:t>
      </w:r>
    </w:p>
    <w:p>
      <w:pPr>
        <w:spacing w:after="0" w:line="57" w:lineRule="exact"/>
        <w:rPr>
          <w:sz w:val="20"/>
          <w:szCs w:val="20"/>
          <w:color w:val="auto"/>
        </w:rPr>
      </w:pPr>
    </w:p>
    <w:p>
      <w:pPr>
        <w:ind w:left="920" w:right="399" w:hanging="33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 directors to hold office until the 2021 Annual Meeting of Stockholders and until their successors are elected and qualified;</w:t>
      </w:r>
    </w:p>
    <w:p>
      <w:pPr>
        <w:spacing w:after="0" w:line="62" w:lineRule="exact"/>
        <w:rPr>
          <w:rFonts w:ascii="Arial" w:cs="Arial" w:eastAsia="Arial" w:hAnsi="Arial"/>
          <w:sz w:val="18"/>
          <w:szCs w:val="18"/>
          <w:color w:val="auto"/>
        </w:rPr>
      </w:pPr>
    </w:p>
    <w:p>
      <w:pPr>
        <w:jc w:val="both"/>
        <w:ind w:left="920" w:right="639" w:hanging="333"/>
        <w:spacing w:after="0" w:line="26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our Board of Directors, of Ernst &amp; Young LLP as the independent registered public accounting firm of the Company for the fiscal year ending December 31, 2018; and</w:t>
      </w:r>
    </w:p>
    <w:p>
      <w:pPr>
        <w:spacing w:after="0" w:line="73" w:lineRule="exact"/>
        <w:rPr>
          <w:rFonts w:ascii="Arial" w:cs="Arial" w:eastAsia="Arial" w:hAnsi="Arial"/>
          <w:sz w:val="18"/>
          <w:szCs w:val="18"/>
          <w:color w:val="auto"/>
        </w:rPr>
      </w:pPr>
    </w:p>
    <w:p>
      <w:pPr>
        <w:ind w:left="920" w:right="379" w:hanging="33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2018 Annual Meeting or any adjournment or postponement thereof.</w:t>
      </w:r>
    </w:p>
    <w:p>
      <w:pPr>
        <w:spacing w:after="0" w:line="62" w:lineRule="exact"/>
        <w:rPr>
          <w:sz w:val="20"/>
          <w:szCs w:val="20"/>
          <w:color w:val="auto"/>
        </w:rPr>
      </w:pPr>
    </w:p>
    <w:p>
      <w:pPr>
        <w:ind w:left="260" w:right="299"/>
        <w:spacing w:after="0" w:line="286" w:lineRule="auto"/>
        <w:rPr>
          <w:sz w:val="20"/>
          <w:szCs w:val="20"/>
          <w:color w:val="auto"/>
        </w:rPr>
      </w:pPr>
      <w:r>
        <w:rPr>
          <w:rFonts w:ascii="Arial" w:cs="Arial" w:eastAsia="Arial" w:hAnsi="Arial"/>
          <w:sz w:val="17"/>
          <w:szCs w:val="17"/>
          <w:color w:val="auto"/>
        </w:rPr>
        <w:t>The foregoing items of business are more fully described in the proxy statement accompanying this Notice of Annual Meeting of Stockholders. Only stockholders who owned the Company’s common stock at the close of business on April 20, 2018 may vote at the 2018 Annual Meeting or any adjournments that take place.</w:t>
      </w:r>
    </w:p>
    <w:p>
      <w:pPr>
        <w:spacing w:after="0" w:line="57" w:lineRule="exact"/>
        <w:rPr>
          <w:sz w:val="20"/>
          <w:szCs w:val="20"/>
          <w:color w:val="auto"/>
        </w:rPr>
      </w:pPr>
    </w:p>
    <w:p>
      <w:pPr>
        <w:ind w:left="260" w:right="279"/>
        <w:spacing w:after="0" w:line="270" w:lineRule="auto"/>
        <w:rPr>
          <w:sz w:val="20"/>
          <w:szCs w:val="20"/>
          <w:color w:val="auto"/>
        </w:rPr>
      </w:pPr>
      <w:r>
        <w:rPr>
          <w:rFonts w:ascii="Arial" w:cs="Arial" w:eastAsia="Arial" w:hAnsi="Arial"/>
          <w:sz w:val="17"/>
          <w:szCs w:val="17"/>
          <w:color w:val="auto"/>
        </w:rPr>
        <w:t>We have elected to provide our proxy materials to our stockholders over the internet as permitted by the rules of the U.S. Securities and Exchange Commission. As a result, we are mailing most of our stockholders a paper copy of the Notice of Internet Availability of Proxy Materials, or the Notice, but not a paper copy of our proxy statement and our 2017 Annual Report to Stockholders.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those documents over the internet. The Notice also contains instructions on how to request a paper copy of our proxy materials, including this proxy statement, our 2017 Annual Report to Stockholders and a form of proxy card or voting instruction card. All stockholders who have previously requested a paper copy of our proxy materials will continue to receive a paper copy of the proxy materials by mail.</w:t>
      </w:r>
    </w:p>
    <w:p>
      <w:pPr>
        <w:spacing w:after="0" w:line="70" w:lineRule="exact"/>
        <w:rPr>
          <w:sz w:val="20"/>
          <w:szCs w:val="20"/>
          <w:color w:val="auto"/>
        </w:rPr>
      </w:pPr>
    </w:p>
    <w:p>
      <w:pPr>
        <w:ind w:left="260" w:right="319"/>
        <w:spacing w:after="0" w:line="273" w:lineRule="auto"/>
        <w:rPr>
          <w:sz w:val="20"/>
          <w:szCs w:val="20"/>
          <w:color w:val="auto"/>
        </w:rPr>
      </w:pPr>
      <w:r>
        <w:rPr>
          <w:rFonts w:ascii="Arial" w:cs="Arial" w:eastAsia="Arial" w:hAnsi="Arial"/>
          <w:sz w:val="17"/>
          <w:szCs w:val="17"/>
          <w:color w:val="auto"/>
        </w:rPr>
        <w:t>You are cordially invited to attend the 2018 Annual Meeting in person. Whether or not you plan to attend the 2018 Annual Meeting, please vote as soon as possible. You may vote over the internet or by a toll-free telephone number. If, however, you requested to receive paper proxy materials, then you may also vote by mailing a complete, signed and dated proxy card or voting instruction card in the envelope provided. Please note that any stockholder attending the 2018 Annual Meeting may vote in person, even if the stockholder has already voted over the internet or by phone or returned a proxy card or voting instruction card by mail.</w:t>
      </w:r>
    </w:p>
    <w:p>
      <w:pPr>
        <w:spacing w:after="0" w:line="66" w:lineRule="exact"/>
        <w:rPr>
          <w:sz w:val="20"/>
          <w:szCs w:val="20"/>
          <w:color w:val="auto"/>
        </w:rPr>
      </w:pPr>
    </w:p>
    <w:p>
      <w:pPr>
        <w:ind w:left="260" w:right="559"/>
        <w:spacing w:after="0" w:line="289" w:lineRule="auto"/>
        <w:rPr>
          <w:sz w:val="20"/>
          <w:szCs w:val="20"/>
          <w:color w:val="auto"/>
        </w:rPr>
      </w:pPr>
      <w:r>
        <w:rPr>
          <w:rFonts w:ascii="Arial" w:cs="Arial" w:eastAsia="Arial" w:hAnsi="Arial"/>
          <w:sz w:val="17"/>
          <w:szCs w:val="17"/>
          <w:color w:val="auto"/>
        </w:rPr>
        <w:t>Our board of directors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the director nominees named in Proposal No. 1 of the proxy statement and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Ernst &amp; Young LLP as our independent registered public accounting firm as described in Proposal No. 2 of the proxy statement.</w:t>
      </w:r>
    </w:p>
    <w:p>
      <w:pPr>
        <w:spacing w:after="0" w:line="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6350</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4520"/>
        <w:spacing w:after="0" w:line="232" w:lineRule="auto"/>
        <w:rPr>
          <w:sz w:val="20"/>
          <w:szCs w:val="20"/>
          <w:color w:val="auto"/>
        </w:rPr>
      </w:pPr>
      <w:r>
        <w:rPr>
          <w:rFonts w:ascii="Arial" w:cs="Arial" w:eastAsia="Arial" w:hAnsi="Arial"/>
          <w:sz w:val="18"/>
          <w:szCs w:val="18"/>
          <w:color w:val="auto"/>
        </w:rPr>
        <w:t>Elizabeth Grammer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and General Counsel</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Fremont, California</w:t>
      </w:r>
    </w:p>
    <w:p>
      <w:pPr>
        <w:ind w:left="260"/>
        <w:spacing w:after="0"/>
        <w:rPr>
          <w:sz w:val="20"/>
          <w:szCs w:val="20"/>
          <w:color w:val="auto"/>
        </w:rPr>
      </w:pPr>
      <w:r>
        <w:rPr>
          <w:rFonts w:ascii="Arial" w:cs="Arial" w:eastAsia="Arial" w:hAnsi="Arial"/>
          <w:sz w:val="18"/>
          <w:szCs w:val="18"/>
          <w:color w:val="auto"/>
        </w:rPr>
        <w:t>April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347980</wp:posOffset>
            </wp:positionV>
            <wp:extent cx="539432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8040" w:type="dxa"/>
            <w:vAlign w:val="bottom"/>
            <w:gridSpan w:val="15"/>
            <w:vMerge w:val="restart"/>
          </w:tcPr>
          <w:p>
            <w:pPr>
              <w:spacing w:after="0"/>
              <w:rPr>
                <w:rFonts w:ascii="Arial" w:cs="Arial" w:eastAsia="Arial" w:hAnsi="Arial"/>
                <w:sz w:val="22"/>
                <w:szCs w:val="22"/>
                <w:color w:val="0000EE"/>
                <w:w w:val="99"/>
              </w:rPr>
            </w:pPr>
            <w:hyperlink w:anchor="page4">
              <w:r>
                <w:rPr>
                  <w:rFonts w:ascii="Arial" w:cs="Arial" w:eastAsia="Arial" w:hAnsi="Arial"/>
                  <w:sz w:val="22"/>
                  <w:szCs w:val="22"/>
                  <w:color w:val="0000EE"/>
                  <w:w w:val="99"/>
                </w:rPr>
                <w:t>QUESTIONS AND ANSWERS REGARDING THE PROXY MATERIALS AND THE</w:t>
              </w:r>
            </w:hyperlink>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8040" w:type="dxa"/>
            <w:vAlign w:val="bottom"/>
            <w:gridSpan w:val="15"/>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0000EE"/>
            </w:tcBorders>
          </w:tcPr>
          <w:p>
            <w:pPr>
              <w:spacing w:after="0"/>
              <w:rPr>
                <w:sz w:val="19"/>
                <w:szCs w:val="19"/>
                <w:color w:val="auto"/>
              </w:rPr>
            </w:pPr>
          </w:p>
        </w:tc>
        <w:tc>
          <w:tcPr>
            <w:tcW w:w="182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0"/>
              </w:rPr>
            </w:pPr>
            <w:hyperlink w:anchor="page4">
              <w:r>
                <w:rPr>
                  <w:rFonts w:ascii="Arial" w:cs="Arial" w:eastAsia="Arial" w:hAnsi="Arial"/>
                  <w:sz w:val="22"/>
                  <w:szCs w:val="22"/>
                  <w:color w:val="0000EE"/>
                  <w:w w:val="90"/>
                </w:rPr>
                <w:t>VOTING PROCESS</w:t>
              </w:r>
            </w:hyperlink>
          </w:p>
        </w:tc>
        <w:tc>
          <w:tcPr>
            <w:tcW w:w="5640" w:type="dxa"/>
            <w:vAlign w:val="bottom"/>
            <w:tcBorders>
              <w:top w:val="single" w:sz="8" w:color="0000EE"/>
            </w:tcBorders>
            <w:gridSpan w:val="11"/>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8040" w:type="dxa"/>
            <w:vAlign w:val="bottom"/>
            <w:gridSpan w:val="15"/>
          </w:tcPr>
          <w:p>
            <w:pPr>
              <w:spacing w:after="0"/>
              <w:rPr>
                <w:rFonts w:ascii="Arial" w:cs="Arial" w:eastAsia="Arial" w:hAnsi="Arial"/>
                <w:sz w:val="22"/>
                <w:szCs w:val="22"/>
                <w:color w:val="0000EE"/>
              </w:rPr>
            </w:pPr>
            <w:hyperlink w:anchor="page10">
              <w:r>
                <w:rPr>
                  <w:rFonts w:ascii="Arial" w:cs="Arial" w:eastAsia="Arial" w:hAnsi="Arial"/>
                  <w:sz w:val="22"/>
                  <w:szCs w:val="22"/>
                  <w:color w:val="0000EE"/>
                </w:rPr>
                <w:t>PROPOSAL NO. 1 ELECTION OF DIRECTORS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40" w:type="dxa"/>
            <w:vAlign w:val="bottom"/>
            <w:tcBorders>
              <w:bottom w:val="single" w:sz="8" w:color="0000EE"/>
            </w:tcBorders>
            <w:gridSpan w:val="15"/>
          </w:tcPr>
          <w:p>
            <w:pPr>
              <w:spacing w:after="0"/>
              <w:rPr>
                <w:rFonts w:ascii="Arial" w:cs="Arial" w:eastAsia="Arial" w:hAnsi="Arial"/>
                <w:sz w:val="22"/>
                <w:szCs w:val="22"/>
                <w:color w:val="0000EE"/>
                <w:w w:val="93"/>
              </w:rPr>
            </w:pPr>
            <w:hyperlink w:anchor="page14">
              <w:r>
                <w:rPr>
                  <w:rFonts w:ascii="Arial" w:cs="Arial" w:eastAsia="Arial" w:hAnsi="Arial"/>
                  <w:sz w:val="22"/>
                  <w:szCs w:val="22"/>
                  <w:color w:val="0000EE"/>
                  <w:w w:val="93"/>
                </w:rPr>
                <w:t>PROPOSAL NO. 2 RATIFICATION OF SELECTION OF INDEPENDENT REGISTERED</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840" w:type="dxa"/>
            <w:vAlign w:val="bottom"/>
            <w:tcBorders>
              <w:bottom w:val="single" w:sz="8" w:color="0000EE"/>
            </w:tcBorders>
            <w:gridSpan w:val="6"/>
          </w:tcPr>
          <w:p>
            <w:pPr>
              <w:spacing w:after="0" w:line="223" w:lineRule="exact"/>
              <w:rPr>
                <w:rFonts w:ascii="Arial" w:cs="Arial" w:eastAsia="Arial" w:hAnsi="Arial"/>
                <w:sz w:val="22"/>
                <w:szCs w:val="22"/>
                <w:color w:val="0000EE"/>
                <w:w w:val="96"/>
              </w:rPr>
            </w:pPr>
            <w:hyperlink w:anchor="page14">
              <w:r>
                <w:rPr>
                  <w:rFonts w:ascii="Arial" w:cs="Arial" w:eastAsia="Arial" w:hAnsi="Arial"/>
                  <w:sz w:val="22"/>
                  <w:szCs w:val="22"/>
                  <w:color w:val="0000EE"/>
                  <w:w w:val="96"/>
                </w:rPr>
                <w:t>PUBLIC ACCOUNTING FIRM</w:t>
              </w:r>
            </w:hyperlink>
          </w:p>
        </w:tc>
        <w:tc>
          <w:tcPr>
            <w:tcW w:w="5000" w:type="dxa"/>
            <w:vAlign w:val="bottom"/>
            <w:gridSpan w:val="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9"/>
        </w:trPr>
        <w:tc>
          <w:tcPr>
            <w:tcW w:w="8040" w:type="dxa"/>
            <w:vAlign w:val="bottom"/>
            <w:gridSpan w:val="15"/>
          </w:tcPr>
          <w:p>
            <w:pPr>
              <w:spacing w:after="0"/>
              <w:rPr>
                <w:rFonts w:ascii="Arial" w:cs="Arial" w:eastAsia="Arial" w:hAnsi="Arial"/>
                <w:sz w:val="22"/>
                <w:szCs w:val="22"/>
                <w:color w:val="0000EE"/>
              </w:rPr>
            </w:pPr>
            <w:hyperlink w:anchor="page16">
              <w:r>
                <w:rPr>
                  <w:rFonts w:ascii="Arial" w:cs="Arial" w:eastAsia="Arial" w:hAnsi="Arial"/>
                  <w:sz w:val="22"/>
                  <w:szCs w:val="22"/>
                  <w:color w:val="0000EE"/>
                </w:rPr>
                <w:t>REPORT OF THE AUDIT COMMITTEE OF THE BOARD OF DIRECTORS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9"/>
        </w:trPr>
        <w:tc>
          <w:tcPr>
            <w:tcW w:w="6880" w:type="dxa"/>
            <w:vAlign w:val="bottom"/>
            <w:tcBorders>
              <w:top w:val="single" w:sz="8" w:color="0000EE"/>
            </w:tcBorders>
            <w:gridSpan w:val="13"/>
          </w:tcPr>
          <w:p>
            <w:pPr>
              <w:spacing w:after="0"/>
              <w:rPr>
                <w:rFonts w:ascii="Arial" w:cs="Arial" w:eastAsia="Arial" w:hAnsi="Arial"/>
                <w:sz w:val="22"/>
                <w:szCs w:val="22"/>
                <w:color w:val="0000EE"/>
              </w:rPr>
            </w:pPr>
            <w:hyperlink w:anchor="page17">
              <w:r>
                <w:rPr>
                  <w:rFonts w:ascii="Arial" w:cs="Arial" w:eastAsia="Arial" w:hAnsi="Arial"/>
                  <w:sz w:val="22"/>
                  <w:szCs w:val="22"/>
                  <w:color w:val="0000EE"/>
                </w:rPr>
                <w:t>CORPORATE GOVERNANCE</w:t>
              </w:r>
            </w:hyperlink>
          </w:p>
        </w:tc>
        <w:tc>
          <w:tcPr>
            <w:tcW w:w="116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80" w:type="dxa"/>
            <w:vAlign w:val="bottom"/>
            <w:tcBorders>
              <w:bottom w:val="single" w:sz="8" w:color="0000EE"/>
            </w:tcBorders>
            <w:gridSpan w:val="11"/>
          </w:tcPr>
          <w:p>
            <w:pPr>
              <w:spacing w:after="0"/>
              <w:rPr>
                <w:rFonts w:ascii="Arial" w:cs="Arial" w:eastAsia="Arial" w:hAnsi="Arial"/>
                <w:sz w:val="22"/>
                <w:szCs w:val="22"/>
                <w:color w:val="0000EE"/>
                <w:w w:val="94"/>
              </w:rPr>
            </w:pPr>
            <w:hyperlink w:anchor="page22">
              <w:r>
                <w:rPr>
                  <w:rFonts w:ascii="Arial" w:cs="Arial" w:eastAsia="Arial" w:hAnsi="Arial"/>
                  <w:sz w:val="22"/>
                  <w:szCs w:val="22"/>
                  <w:color w:val="0000EE"/>
                  <w:w w:val="94"/>
                </w:rPr>
                <w:t>CERTAIN RELATIONSHIPS AND RELATED PARTY TRANSACTIONS</w:t>
              </w:r>
            </w:hyperlink>
          </w:p>
        </w:tc>
        <w:tc>
          <w:tcPr>
            <w:tcW w:w="14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9"/>
        </w:trPr>
        <w:tc>
          <w:tcPr>
            <w:tcW w:w="4560" w:type="dxa"/>
            <w:vAlign w:val="bottom"/>
            <w:tcBorders>
              <w:bottom w:val="single" w:sz="8" w:color="0000EE"/>
            </w:tcBorders>
            <w:gridSpan w:val="9"/>
          </w:tcPr>
          <w:p>
            <w:pPr>
              <w:spacing w:after="0"/>
              <w:rPr>
                <w:rFonts w:ascii="Arial" w:cs="Arial" w:eastAsia="Arial" w:hAnsi="Arial"/>
                <w:sz w:val="22"/>
                <w:szCs w:val="22"/>
                <w:color w:val="0000EE"/>
                <w:w w:val="94"/>
              </w:rPr>
            </w:pPr>
            <w:hyperlink w:anchor="page23">
              <w:r>
                <w:rPr>
                  <w:rFonts w:ascii="Arial" w:cs="Arial" w:eastAsia="Arial" w:hAnsi="Arial"/>
                  <w:sz w:val="22"/>
                  <w:szCs w:val="22"/>
                  <w:color w:val="0000EE"/>
                  <w:w w:val="94"/>
                </w:rPr>
                <w:t>NON-EMPLOYEE DIRECTOR COMPENSATION</w:t>
              </w:r>
            </w:hyperlink>
          </w:p>
        </w:tc>
        <w:tc>
          <w:tcPr>
            <w:tcW w:w="34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8040" w:type="dxa"/>
            <w:vAlign w:val="bottom"/>
            <w:gridSpan w:val="15"/>
          </w:tcPr>
          <w:p>
            <w:pPr>
              <w:spacing w:after="0"/>
              <w:rPr>
                <w:rFonts w:ascii="Arial" w:cs="Arial" w:eastAsia="Arial" w:hAnsi="Arial"/>
                <w:sz w:val="22"/>
                <w:szCs w:val="22"/>
                <w:color w:val="0000EE"/>
              </w:rPr>
            </w:pPr>
            <w:hyperlink w:anchor="page25">
              <w:r>
                <w:rPr>
                  <w:rFonts w:ascii="Arial" w:cs="Arial" w:eastAsia="Arial" w:hAnsi="Arial"/>
                  <w:sz w:val="22"/>
                  <w:szCs w:val="22"/>
                  <w:color w:val="0000EE"/>
                </w:rPr>
                <w:t>EXECUTIVE OFFICERS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40" w:type="dxa"/>
            <w:vAlign w:val="bottom"/>
            <w:gridSpan w:val="15"/>
          </w:tcPr>
          <w:p>
            <w:pPr>
              <w:spacing w:after="0"/>
              <w:rPr>
                <w:rFonts w:ascii="Arial" w:cs="Arial" w:eastAsia="Arial" w:hAnsi="Arial"/>
                <w:sz w:val="22"/>
                <w:szCs w:val="22"/>
                <w:color w:val="0000EE"/>
              </w:rPr>
            </w:pPr>
            <w:hyperlink w:anchor="page26">
              <w:r>
                <w:rPr>
                  <w:rFonts w:ascii="Arial" w:cs="Arial" w:eastAsia="Arial" w:hAnsi="Arial"/>
                  <w:sz w:val="22"/>
                  <w:szCs w:val="22"/>
                  <w:color w:val="0000EE"/>
                </w:rPr>
                <w:t>EXECUTIVE COMPENSATION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tcBorders>
              <w:bottom w:val="single" w:sz="8" w:color="0000EE"/>
            </w:tcBorders>
            <w:gridSpan w:val="10"/>
          </w:tcPr>
          <w:p>
            <w:pPr>
              <w:spacing w:after="0"/>
              <w:rPr>
                <w:rFonts w:ascii="Arial" w:cs="Arial" w:eastAsia="Arial" w:hAnsi="Arial"/>
                <w:sz w:val="22"/>
                <w:szCs w:val="22"/>
                <w:color w:val="0000EE"/>
                <w:w w:val="94"/>
              </w:rPr>
            </w:pPr>
            <w:hyperlink w:anchor="page32">
              <w:r>
                <w:rPr>
                  <w:rFonts w:ascii="Arial" w:cs="Arial" w:eastAsia="Arial" w:hAnsi="Arial"/>
                  <w:sz w:val="22"/>
                  <w:szCs w:val="22"/>
                  <w:color w:val="0000EE"/>
                  <w:w w:val="94"/>
                </w:rPr>
                <w:t>SECURITY OWNERSHIP OF CERTAIN BENEFICIAL OWNERS AND</w:t>
              </w:r>
            </w:hyperlink>
          </w:p>
        </w:tc>
        <w:tc>
          <w:tcPr>
            <w:tcW w:w="156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40" w:type="dxa"/>
            <w:vAlign w:val="bottom"/>
            <w:gridSpan w:val="15"/>
          </w:tcPr>
          <w:p>
            <w:pPr>
              <w:spacing w:after="0" w:line="223" w:lineRule="exact"/>
              <w:rPr>
                <w:rFonts w:ascii="Arial" w:cs="Arial" w:eastAsia="Arial" w:hAnsi="Arial"/>
                <w:sz w:val="22"/>
                <w:szCs w:val="22"/>
                <w:color w:val="0000EE"/>
              </w:rPr>
            </w:pPr>
            <w:hyperlink w:anchor="page32">
              <w:r>
                <w:rPr>
                  <w:rFonts w:ascii="Arial" w:cs="Arial" w:eastAsia="Arial" w:hAnsi="Arial"/>
                  <w:sz w:val="22"/>
                  <w:szCs w:val="22"/>
                  <w:color w:val="0000EE"/>
                </w:rPr>
                <w:t>MANAGEMENT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40" w:type="dxa"/>
            <w:vAlign w:val="bottom"/>
            <w:gridSpan w:val="15"/>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SECTION 16(a) BENEFICIAL OWNERSHIP REPORTING COMPLIANCE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9"/>
        </w:trPr>
        <w:tc>
          <w:tcPr>
            <w:tcW w:w="6760" w:type="dxa"/>
            <w:vAlign w:val="bottom"/>
            <w:tcBorders>
              <w:top w:val="single" w:sz="8" w:color="0000EE"/>
            </w:tcBorders>
            <w:gridSpan w:val="12"/>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ADDITIONAL INFORMATION</w:t>
              </w:r>
            </w:hyperlink>
          </w:p>
        </w:tc>
        <w:tc>
          <w:tcPr>
            <w:tcW w:w="128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43"/>
        </w:trPr>
        <w:tc>
          <w:tcPr>
            <w:tcW w:w="20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JUNE 13, 2018</w:t>
      </w:r>
    </w:p>
    <w:p>
      <w:pPr>
        <w:spacing w:after="0" w:line="207" w:lineRule="exact"/>
        <w:rPr>
          <w:sz w:val="20"/>
          <w:szCs w:val="20"/>
          <w:color w:val="auto"/>
        </w:rPr>
      </w:pPr>
    </w:p>
    <w:p>
      <w:pPr>
        <w:jc w:val="center"/>
        <w:ind w:left="1720" w:right="30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TO BE HELD ON JUNE 13, 2018</w:t>
      </w:r>
    </w:p>
    <w:p>
      <w:pPr>
        <w:spacing w:after="0" w:line="166" w:lineRule="exact"/>
        <w:rPr>
          <w:sz w:val="20"/>
          <w:szCs w:val="20"/>
          <w:color w:val="auto"/>
        </w:rPr>
      </w:pPr>
    </w:p>
    <w:p>
      <w:pPr>
        <w:ind w:left="260" w:right="319"/>
        <w:spacing w:after="0" w:line="221" w:lineRule="exact"/>
        <w:rPr>
          <w:sz w:val="20"/>
          <w:szCs w:val="20"/>
          <w:color w:val="auto"/>
        </w:rPr>
      </w:pPr>
      <w:r>
        <w:rPr>
          <w:rFonts w:ascii="Arial" w:cs="Arial" w:eastAsia="Arial" w:hAnsi="Arial"/>
          <w:sz w:val="18"/>
          <w:szCs w:val="18"/>
          <w:color w:val="auto"/>
        </w:rPr>
        <w:t>This proxy statement and our 2017 Annual Report to Stockholders, which includes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2017 are available at our website at www.ardelyx.com and at www.astproxyportal.com/ast/19476.</w:t>
      </w:r>
    </w:p>
    <w:p>
      <w:pPr>
        <w:spacing w:after="0" w:line="202" w:lineRule="exact"/>
        <w:rPr>
          <w:sz w:val="20"/>
          <w:szCs w:val="20"/>
          <w:color w:val="auto"/>
        </w:rPr>
      </w:pPr>
    </w:p>
    <w:p>
      <w:pPr>
        <w:ind w:left="260" w:right="819"/>
        <w:spacing w:after="0" w:line="277" w:lineRule="auto"/>
        <w:rPr>
          <w:sz w:val="20"/>
          <w:szCs w:val="20"/>
          <w:color w:val="auto"/>
        </w:rPr>
      </w:pPr>
      <w:r>
        <w:rPr>
          <w:rFonts w:ascii="Arial" w:cs="Arial" w:eastAsia="Arial" w:hAnsi="Arial"/>
          <w:sz w:val="18"/>
          <w:szCs w:val="18"/>
          <w:color w:val="auto"/>
        </w:rPr>
        <w:t>Unless the context requires otherwise, in this proxy statement the terms “Ardelyx,” “we,” “us,” “our” and “the Company” refer to Ardelyx, Inc.</w:t>
      </w:r>
    </w:p>
    <w:p>
      <w:pPr>
        <w:spacing w:after="0" w:line="166" w:lineRule="exact"/>
        <w:rPr>
          <w:sz w:val="20"/>
          <w:szCs w:val="20"/>
          <w:color w:val="auto"/>
        </w:rPr>
      </w:pPr>
    </w:p>
    <w:p>
      <w:pPr>
        <w:ind w:left="260" w:right="439"/>
        <w:spacing w:after="0" w:line="378" w:lineRule="auto"/>
        <w:rPr>
          <w:sz w:val="20"/>
          <w:szCs w:val="20"/>
          <w:color w:val="auto"/>
        </w:rPr>
      </w:pPr>
      <w:r>
        <w:rPr>
          <w:rFonts w:ascii="Arial" w:cs="Arial" w:eastAsia="Arial" w:hAnsi="Arial"/>
          <w:sz w:val="18"/>
          <w:szCs w:val="18"/>
          <w:b w:val="1"/>
          <w:bCs w:val="1"/>
          <w:color w:val="auto"/>
        </w:rPr>
        <w:t>QUESTIONS AND ANSWERS REGARDING THE PROXY MATERIALS AND THE VOTING PROCESS Why am I receiving these proxy materials?</w:t>
      </w:r>
    </w:p>
    <w:p>
      <w:pPr>
        <w:ind w:left="260" w:right="379"/>
        <w:spacing w:after="0" w:line="272" w:lineRule="auto"/>
        <w:rPr>
          <w:sz w:val="20"/>
          <w:szCs w:val="20"/>
          <w:color w:val="auto"/>
        </w:rPr>
      </w:pPr>
      <w:r>
        <w:rPr>
          <w:rFonts w:ascii="Arial" w:cs="Arial" w:eastAsia="Arial" w:hAnsi="Arial"/>
          <w:sz w:val="17"/>
          <w:szCs w:val="17"/>
          <w:color w:val="auto"/>
        </w:rPr>
        <w:t>We have made these proxy materials available to you on the internet or, upon your request, have delivered paper proxy materials to you, because the board of directors of Ardelyx is soliciting your proxy to vote at the 2018 Annual Meeting of Stockholders, or the 2018 Annual Meeting, or any adjournments that take place. The 2018 Annual Meeting will be held on June 13, 2018 at 8:30 a.m. local time at the Company’s headquarters at 34175 Ardenwood Blvd., Suite 200 (2nd Floor), Fremont, CA 94555. As a stockholder, you are invited to attend the 2018 Annual Meeting and are requested to vote on the proposals described in this proxy statement. However, you do not need to attend the 2018 Annual Meeting to vote.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proxy materials include:</w:t>
      </w:r>
    </w:p>
    <w:p>
      <w:pPr>
        <w:spacing w:after="0" w:line="117" w:lineRule="exact"/>
        <w:rPr>
          <w:sz w:val="20"/>
          <w:szCs w:val="20"/>
          <w:color w:val="auto"/>
        </w:rPr>
      </w:pPr>
    </w:p>
    <w:p>
      <w:pPr>
        <w:ind w:left="1080" w:right="379" w:hanging="331"/>
        <w:spacing w:after="0" w:line="26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2018 Annual Meeting, the voting process, corporate governance, the compensation of our directors and certain executive officers, and other required information;</w:t>
      </w:r>
    </w:p>
    <w:p>
      <w:pPr>
        <w:spacing w:after="0" w:line="73" w:lineRule="exact"/>
        <w:rPr>
          <w:rFonts w:ascii="Arial" w:cs="Arial" w:eastAsia="Arial" w:hAnsi="Arial"/>
          <w:sz w:val="18"/>
          <w:szCs w:val="18"/>
          <w:color w:val="auto"/>
        </w:rPr>
      </w:pPr>
    </w:p>
    <w:p>
      <w:pPr>
        <w:ind w:left="1080" w:right="819" w:hanging="331"/>
        <w:spacing w:after="0" w:line="223" w:lineRule="exact"/>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2017 Annual Report to Stockholders, which includes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2017; and</w:t>
      </w:r>
    </w:p>
    <w:p>
      <w:pPr>
        <w:spacing w:after="0" w:line="95" w:lineRule="exact"/>
        <w:rPr>
          <w:rFonts w:ascii="Arial" w:cs="Arial" w:eastAsia="Arial" w:hAnsi="Arial"/>
          <w:sz w:val="18"/>
          <w:szCs w:val="18"/>
          <w:color w:val="auto"/>
        </w:rPr>
      </w:pPr>
    </w:p>
    <w:p>
      <w:pPr>
        <w:ind w:left="1080" w:hanging="331"/>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2018 Annual Meeting.</w:t>
      </w:r>
    </w:p>
    <w:p>
      <w:pPr>
        <w:spacing w:after="0" w:line="225" w:lineRule="exact"/>
        <w:rPr>
          <w:sz w:val="20"/>
          <w:szCs w:val="20"/>
          <w:color w:val="auto"/>
        </w:rPr>
      </w:pPr>
    </w:p>
    <w:p>
      <w:pPr>
        <w:ind w:left="260" w:right="319"/>
        <w:spacing w:after="0" w:line="277" w:lineRule="auto"/>
        <w:rPr>
          <w:sz w:val="20"/>
          <w:szCs w:val="20"/>
          <w:color w:val="auto"/>
        </w:rPr>
      </w:pPr>
      <w:r>
        <w:rPr>
          <w:rFonts w:ascii="Arial" w:cs="Arial" w:eastAsia="Arial" w:hAnsi="Arial"/>
          <w:sz w:val="18"/>
          <w:szCs w:val="18"/>
          <w:color w:val="auto"/>
        </w:rPr>
        <w:t>The proxy materials are being mailed or made available to stockholders on or about April 26, 2018, and are available at www.ardelyx.com.</w:t>
      </w:r>
    </w:p>
    <w:p>
      <w:pPr>
        <w:spacing w:after="0" w:line="166" w:lineRule="exact"/>
        <w:rPr>
          <w:sz w:val="20"/>
          <w:szCs w:val="20"/>
          <w:color w:val="auto"/>
        </w:rPr>
      </w:pPr>
    </w:p>
    <w:p>
      <w:pPr>
        <w:ind w:left="260" w:right="519"/>
        <w:spacing w:after="0" w:line="282" w:lineRule="auto"/>
        <w:rPr>
          <w:sz w:val="20"/>
          <w:szCs w:val="20"/>
          <w:color w:val="auto"/>
        </w:rPr>
      </w:pPr>
      <w:r>
        <w:rPr>
          <w:rFonts w:ascii="Arial" w:cs="Arial" w:eastAsia="Arial" w:hAnsi="Arial"/>
          <w:sz w:val="18"/>
          <w:szCs w:val="18"/>
          <w:b w:val="1"/>
          <w:bCs w:val="1"/>
          <w:color w:val="auto"/>
        </w:rPr>
        <w:t>Why did I receive a Notice of Internet Availability of Proxy Materials, or the Notice, in the mail instead of a complete set of paper proxy materials?</w:t>
      </w:r>
    </w:p>
    <w:p>
      <w:pPr>
        <w:spacing w:after="0" w:line="58" w:lineRule="exact"/>
        <w:rPr>
          <w:sz w:val="20"/>
          <w:szCs w:val="20"/>
          <w:color w:val="auto"/>
        </w:rPr>
      </w:pPr>
    </w:p>
    <w:p>
      <w:pPr>
        <w:ind w:left="260" w:right="279"/>
        <w:spacing w:after="0" w:line="276" w:lineRule="auto"/>
        <w:rPr>
          <w:sz w:val="20"/>
          <w:szCs w:val="20"/>
          <w:color w:val="auto"/>
        </w:rPr>
      </w:pPr>
      <w:r>
        <w:rPr>
          <w:rFonts w:ascii="Arial" w:cs="Arial" w:eastAsia="Arial" w:hAnsi="Arial"/>
          <w:sz w:val="17"/>
          <w:szCs w:val="17"/>
          <w:color w:val="auto"/>
        </w:rPr>
        <w:t>We have elected to provide our proxy materials to our stockholders over the internet as permitted by the rules of the U.S. Securities and Exchange Commission, or SEC.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The Notice</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459"/>
        <w:spacing w:after="0" w:line="312" w:lineRule="auto"/>
        <w:rPr>
          <w:sz w:val="20"/>
          <w:szCs w:val="20"/>
          <w:color w:val="auto"/>
        </w:rPr>
      </w:pPr>
      <w:r>
        <w:rPr>
          <w:rFonts w:ascii="Arial" w:cs="Arial" w:eastAsia="Arial" w:hAnsi="Arial"/>
          <w:sz w:val="16"/>
          <w:szCs w:val="16"/>
          <w:color w:val="auto"/>
        </w:rPr>
        <w:t>contains instructions on how to access the proxy materials over the internet, and how to request a paper copy of the proxy materials. All stockholders who have previously elected to receive a paper copy of our proxy materials will continue to receive a paper copy of the proxy materials by mail until the stockholder terminates such election.</w:t>
      </w:r>
    </w:p>
    <w:p>
      <w:pPr>
        <w:spacing w:after="0" w:line="143" w:lineRule="exact"/>
        <w:rPr>
          <w:sz w:val="20"/>
          <w:szCs w:val="20"/>
          <w:color w:val="auto"/>
        </w:rPr>
      </w:pPr>
    </w:p>
    <w:p>
      <w:pPr>
        <w:ind w:left="260" w:right="1139"/>
        <w:spacing w:after="0" w:line="282" w:lineRule="auto"/>
        <w:rPr>
          <w:sz w:val="20"/>
          <w:szCs w:val="20"/>
          <w:color w:val="auto"/>
        </w:rPr>
      </w:pPr>
      <w:r>
        <w:rPr>
          <w:rFonts w:ascii="Arial" w:cs="Arial" w:eastAsia="Arial" w:hAnsi="Arial"/>
          <w:sz w:val="18"/>
          <w:szCs w:val="18"/>
          <w:b w:val="1"/>
          <w:bCs w:val="1"/>
          <w:color w:val="auto"/>
        </w:rPr>
        <w:t>Why did I receive a complete set of paper proxy materials in the mail instead of a Notice of Internet Availability of Proxy Materials?</w:t>
      </w:r>
    </w:p>
    <w:p>
      <w:pPr>
        <w:spacing w:after="0" w:line="58" w:lineRule="exact"/>
        <w:rPr>
          <w:sz w:val="20"/>
          <w:szCs w:val="20"/>
          <w:color w:val="auto"/>
        </w:rPr>
      </w:pPr>
    </w:p>
    <w:p>
      <w:pPr>
        <w:ind w:left="260" w:right="459"/>
        <w:spacing w:after="0" w:line="276" w:lineRule="auto"/>
        <w:rPr>
          <w:sz w:val="20"/>
          <w:szCs w:val="20"/>
          <w:color w:val="auto"/>
        </w:rPr>
      </w:pPr>
      <w:r>
        <w:rPr>
          <w:rFonts w:ascii="Arial" w:cs="Arial" w:eastAsia="Arial" w:hAnsi="Arial"/>
          <w:sz w:val="17"/>
          <w:szCs w:val="17"/>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Who can vote at the 2018 Annual Meeting?</w:t>
      </w:r>
    </w:p>
    <w:p>
      <w:pPr>
        <w:spacing w:after="0" w:line="121" w:lineRule="exact"/>
        <w:rPr>
          <w:sz w:val="20"/>
          <w:szCs w:val="20"/>
          <w:color w:val="auto"/>
        </w:rPr>
      </w:pPr>
    </w:p>
    <w:p>
      <w:pPr>
        <w:ind w:left="260" w:right="619"/>
        <w:spacing w:after="0" w:line="342" w:lineRule="auto"/>
        <w:rPr>
          <w:sz w:val="20"/>
          <w:szCs w:val="20"/>
          <w:color w:val="auto"/>
        </w:rPr>
      </w:pPr>
      <w:r>
        <w:rPr>
          <w:rFonts w:ascii="Arial" w:cs="Arial" w:eastAsia="Arial" w:hAnsi="Arial"/>
          <w:sz w:val="16"/>
          <w:szCs w:val="16"/>
          <w:color w:val="auto"/>
        </w:rPr>
        <w:t>Only stockholders of record at the close of business on April 20, 2018 will be entitled to vote at the 2018 Annual Meeting. On this record date, there were 47,603,568 shares of common stock outstanding and entitled to vote.</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260" w:right="339"/>
        <w:spacing w:after="0" w:line="257" w:lineRule="auto"/>
        <w:rPr>
          <w:sz w:val="20"/>
          <w:szCs w:val="20"/>
          <w:color w:val="auto"/>
        </w:rPr>
      </w:pPr>
      <w:r>
        <w:rPr>
          <w:rFonts w:ascii="Arial" w:cs="Arial" w:eastAsia="Arial" w:hAnsi="Arial"/>
          <w:sz w:val="18"/>
          <w:szCs w:val="18"/>
          <w:color w:val="auto"/>
        </w:rPr>
        <w:t>If, at the close of business on April 20, 2018, your shares were registered directly in your name with our transfer agent, American Stock Transfer &amp; Trust Company, LLC, then you are a stockholder of record. As a stockholder of record, you may vote in person at the 2018 Annual Meeting or vote by proxy. Whether or not you plan to attend the 2018 Annual Meeting, please vote as soon as possible by internet, telephone or by mail as instructed below to ensure your vote is counted.</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or Bank</w:t>
      </w:r>
    </w:p>
    <w:p>
      <w:pPr>
        <w:spacing w:after="0" w:line="117" w:lineRule="exact"/>
        <w:rPr>
          <w:sz w:val="20"/>
          <w:szCs w:val="20"/>
          <w:color w:val="auto"/>
        </w:rPr>
      </w:pPr>
    </w:p>
    <w:p>
      <w:pPr>
        <w:ind w:left="260" w:right="279"/>
        <w:spacing w:after="0" w:line="254" w:lineRule="auto"/>
        <w:rPr>
          <w:sz w:val="20"/>
          <w:szCs w:val="20"/>
          <w:color w:val="auto"/>
        </w:rPr>
      </w:pPr>
      <w:r>
        <w:rPr>
          <w:rFonts w:ascii="Arial" w:cs="Arial" w:eastAsia="Arial" w:hAnsi="Arial"/>
          <w:sz w:val="18"/>
          <w:szCs w:val="18"/>
          <w:color w:val="auto"/>
        </w:rPr>
        <w:t>If, at the close of business on April 20, 2018,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2018 Annual Meeting. As a beneficial owner, you have the right to direct your broker or other agent how to vote the shares in your account. You are also invited to attend the 2018 Annual Meeting. However, because you are not the stockholder of record, you may not vote your shares in person at the 2018 Annual Meeting unless you request and obtain a valid proxy from your broker or other agent.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What proposals are scheduled for a vote?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are two proposals scheduled for a vote at the 2018 Annual Meeting:</w:t>
      </w:r>
    </w:p>
    <w:p>
      <w:pPr>
        <w:spacing w:after="0" w:line="117" w:lineRule="exact"/>
        <w:rPr>
          <w:sz w:val="20"/>
          <w:szCs w:val="20"/>
          <w:color w:val="auto"/>
        </w:rPr>
      </w:pPr>
    </w:p>
    <w:p>
      <w:pPr>
        <w:ind w:left="1080" w:right="939" w:hanging="331"/>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1 — To elect three Class I directors to hold office until the 2021 Annual Meeting of Stockholders and until their successors are elected and qualified; and</w:t>
      </w:r>
    </w:p>
    <w:p>
      <w:pPr>
        <w:spacing w:after="0" w:line="62" w:lineRule="exact"/>
        <w:rPr>
          <w:rFonts w:ascii="Arial" w:cs="Arial" w:eastAsia="Arial" w:hAnsi="Arial"/>
          <w:sz w:val="18"/>
          <w:szCs w:val="18"/>
          <w:color w:val="auto"/>
        </w:rPr>
      </w:pPr>
    </w:p>
    <w:p>
      <w:pPr>
        <w:ind w:left="1080" w:right="479" w:hanging="331"/>
        <w:spacing w:after="0" w:line="26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2 — To ratify the selection, by the Audit Committee of our Board of Directors, of Ernst &amp; Young LLP as the independent registered public accounting firm of the Company for the fiscal year ending December 31, 2018.</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How do I vote?</w:t>
      </w:r>
    </w:p>
    <w:p>
      <w:pPr>
        <w:spacing w:after="0" w:line="117" w:lineRule="exact"/>
        <w:rPr>
          <w:sz w:val="20"/>
          <w:szCs w:val="20"/>
          <w:color w:val="auto"/>
        </w:rPr>
      </w:pPr>
    </w:p>
    <w:p>
      <w:pPr>
        <w:ind w:left="260" w:right="319"/>
        <w:spacing w:after="0" w:line="266" w:lineRule="auto"/>
        <w:rPr>
          <w:sz w:val="20"/>
          <w:szCs w:val="20"/>
          <w:color w:val="auto"/>
        </w:rPr>
      </w:pPr>
      <w:r>
        <w:rPr>
          <w:rFonts w:ascii="Arial" w:cs="Arial" w:eastAsia="Arial" w:hAnsi="Arial"/>
          <w:sz w:val="18"/>
          <w:szCs w:val="18"/>
          <w:color w:val="auto"/>
        </w:rPr>
        <w:t>For Proposal No. 1, you may either vote “</w:t>
      </w:r>
      <w:r>
        <w:rPr>
          <w:rFonts w:ascii="Arial" w:cs="Arial" w:eastAsia="Arial" w:hAnsi="Arial"/>
          <w:sz w:val="18"/>
          <w:szCs w:val="18"/>
          <w:b w:val="1"/>
          <w:bCs w:val="1"/>
          <w:color w:val="auto"/>
        </w:rPr>
        <w:t>FOR</w:t>
      </w:r>
      <w:r>
        <w:rPr>
          <w:rFonts w:ascii="Arial" w:cs="Arial" w:eastAsia="Arial" w:hAnsi="Arial"/>
          <w:sz w:val="18"/>
          <w:szCs w:val="18"/>
          <w:color w:val="auto"/>
        </w:rPr>
        <w:t>” all nominees to the board of directors or you may “</w:t>
      </w:r>
      <w:r>
        <w:rPr>
          <w:rFonts w:ascii="Arial" w:cs="Arial" w:eastAsia="Arial" w:hAnsi="Arial"/>
          <w:sz w:val="18"/>
          <w:szCs w:val="18"/>
          <w:b w:val="1"/>
          <w:bCs w:val="1"/>
          <w:color w:val="auto"/>
        </w:rPr>
        <w:t>WITHHOLD</w:t>
      </w:r>
      <w:r>
        <w:rPr>
          <w:rFonts w:ascii="Arial" w:cs="Arial" w:eastAsia="Arial" w:hAnsi="Arial"/>
          <w:sz w:val="18"/>
          <w:szCs w:val="18"/>
          <w:color w:val="auto"/>
        </w:rPr>
        <w:t>” your vote for any nominee you specify. For Proposal No. 2,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you may abstain from voting.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260" w:right="339"/>
        <w:spacing w:after="0" w:line="259" w:lineRule="auto"/>
        <w:rPr>
          <w:sz w:val="20"/>
          <w:szCs w:val="20"/>
          <w:color w:val="auto"/>
        </w:rPr>
      </w:pPr>
      <w:r>
        <w:rPr>
          <w:rFonts w:ascii="Arial" w:cs="Arial" w:eastAsia="Arial" w:hAnsi="Arial"/>
          <w:sz w:val="18"/>
          <w:szCs w:val="18"/>
          <w:color w:val="auto"/>
        </w:rPr>
        <w:t>If you are a stockholder of record, you may vote in person at the 2018 Annual Meeting or vote by internet, telephone or by mail. Whether or not you plan to attend the 2018 Annual Meeting, please vote as soon as possible to ensure your vote is counted. You may still attend the 2018 Annual Meeting and vote in person even if you have already voted by proxy.</w:t>
      </w:r>
    </w:p>
    <w:p>
      <w:pPr>
        <w:spacing w:after="0" w:line="75" w:lineRule="exact"/>
        <w:rPr>
          <w:sz w:val="20"/>
          <w:szCs w:val="20"/>
          <w:color w:val="auto"/>
        </w:rPr>
      </w:pPr>
    </w:p>
    <w:p>
      <w:pPr>
        <w:ind w:left="1240" w:right="479" w:hanging="329"/>
        <w:spacing w:after="0" w:line="313"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To vote in person. </w:t>
      </w:r>
      <w:r>
        <w:rPr>
          <w:rFonts w:ascii="Arial" w:cs="Arial" w:eastAsia="Arial" w:hAnsi="Arial"/>
          <w:sz w:val="17"/>
          <w:szCs w:val="17"/>
          <w:color w:val="auto"/>
        </w:rPr>
        <w:t>You may attend the 2018 Annual Meeting and we will give you a ballot when you</w:t>
      </w:r>
      <w:r>
        <w:rPr>
          <w:rFonts w:ascii="Arial" w:cs="Arial" w:eastAsia="Arial" w:hAnsi="Arial"/>
          <w:sz w:val="17"/>
          <w:szCs w:val="17"/>
          <w:b w:val="1"/>
          <w:bCs w:val="1"/>
          <w:color w:val="auto"/>
        </w:rPr>
        <w:t xml:space="preserve"> </w:t>
      </w:r>
      <w:r>
        <w:rPr>
          <w:rFonts w:ascii="Arial" w:cs="Arial" w:eastAsia="Arial" w:hAnsi="Arial"/>
          <w:sz w:val="17"/>
          <w:szCs w:val="17"/>
          <w:color w:val="auto"/>
        </w:rPr>
        <w:t>arrive. If you need directions to the meeting, please visit www.ardelyx.com/contact.</w:t>
      </w:r>
    </w:p>
    <w:p>
      <w:pPr>
        <w:spacing w:after="0" w:line="30" w:lineRule="exact"/>
        <w:rPr>
          <w:rFonts w:ascii="Arial" w:cs="Arial" w:eastAsia="Arial" w:hAnsi="Arial"/>
          <w:sz w:val="17"/>
          <w:szCs w:val="17"/>
          <w:color w:val="auto"/>
        </w:rPr>
      </w:pPr>
    </w:p>
    <w:p>
      <w:pPr>
        <w:ind w:left="1240" w:right="399" w:hanging="329"/>
        <w:spacing w:after="0" w:line="261"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 vote by proxy by internet or telephone. </w:t>
      </w:r>
      <w:r>
        <w:rPr>
          <w:rFonts w:ascii="Arial" w:cs="Arial" w:eastAsia="Arial" w:hAnsi="Arial"/>
          <w:sz w:val="18"/>
          <w:szCs w:val="18"/>
          <w:color w:val="auto"/>
        </w:rPr>
        <w:t>If you have internet or telephone access, you may submit</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by following the instructions provided in the Notice, or if you received paper proxy materials by mail, by following the instructions provided with your proxy materials and on your proxy card or voting instruction card.</w:t>
      </w:r>
    </w:p>
    <w:p>
      <w:pPr>
        <w:spacing w:after="0" w:line="71" w:lineRule="exact"/>
        <w:rPr>
          <w:rFonts w:ascii="Arial" w:cs="Arial" w:eastAsia="Arial" w:hAnsi="Arial"/>
          <w:sz w:val="18"/>
          <w:szCs w:val="18"/>
          <w:color w:val="auto"/>
        </w:rPr>
      </w:pPr>
    </w:p>
    <w:p>
      <w:pPr>
        <w:ind w:left="1240" w:right="339" w:hanging="329"/>
        <w:spacing w:after="0" w:line="266"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 vote by proxy by mail. </w:t>
      </w:r>
      <w:r>
        <w:rPr>
          <w:rFonts w:ascii="Arial" w:cs="Arial" w:eastAsia="Arial" w:hAnsi="Arial"/>
          <w:sz w:val="18"/>
          <w:szCs w:val="18"/>
          <w:color w:val="auto"/>
        </w:rPr>
        <w:t>If you received paper proxy materials, you may submit your proxy by mail</w:t>
      </w:r>
      <w:r>
        <w:rPr>
          <w:rFonts w:ascii="Arial" w:cs="Arial" w:eastAsia="Arial" w:hAnsi="Arial"/>
          <w:sz w:val="18"/>
          <w:szCs w:val="18"/>
          <w:b w:val="1"/>
          <w:bCs w:val="1"/>
          <w:color w:val="auto"/>
        </w:rPr>
        <w:t xml:space="preserve"> </w:t>
      </w:r>
      <w:r>
        <w:rPr>
          <w:rFonts w:ascii="Arial" w:cs="Arial" w:eastAsia="Arial" w:hAnsi="Arial"/>
          <w:sz w:val="18"/>
          <w:szCs w:val="18"/>
          <w:color w:val="auto"/>
        </w:rPr>
        <w:t>by completing and signing your proxy card and mailing it in the enclosed envelope. Your shares will be voted as you have instructed.</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or Bank</w:t>
      </w:r>
    </w:p>
    <w:p>
      <w:pPr>
        <w:spacing w:after="0" w:line="117" w:lineRule="exact"/>
        <w:rPr>
          <w:sz w:val="20"/>
          <w:szCs w:val="20"/>
          <w:color w:val="auto"/>
        </w:rPr>
      </w:pPr>
    </w:p>
    <w:p>
      <w:pPr>
        <w:ind w:left="260" w:right="359"/>
        <w:spacing w:after="0" w:line="255" w:lineRule="auto"/>
        <w:rPr>
          <w:sz w:val="20"/>
          <w:szCs w:val="20"/>
          <w:color w:val="auto"/>
        </w:rPr>
      </w:pPr>
      <w:r>
        <w:rPr>
          <w:rFonts w:ascii="Arial" w:cs="Arial" w:eastAsia="Arial" w:hAnsi="Arial"/>
          <w:sz w:val="18"/>
          <w:szCs w:val="18"/>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in person at the 2018 Annual Meeting, you must obtain a valid proxy from your broker or other agent. Follow the instructions from your broker or other agent included with these proxy materials, or contact your broker or bank to request a proxy form.</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Can I vote my shares by completing and returning the Notice?</w:t>
      </w:r>
    </w:p>
    <w:p>
      <w:pPr>
        <w:spacing w:after="0" w:line="121" w:lineRule="exact"/>
        <w:rPr>
          <w:sz w:val="20"/>
          <w:szCs w:val="20"/>
          <w:color w:val="auto"/>
        </w:rPr>
      </w:pPr>
    </w:p>
    <w:p>
      <w:pPr>
        <w:jc w:val="both"/>
        <w:ind w:left="260" w:right="759"/>
        <w:spacing w:after="0" w:line="264" w:lineRule="auto"/>
        <w:rPr>
          <w:sz w:val="20"/>
          <w:szCs w:val="20"/>
          <w:color w:val="auto"/>
        </w:rPr>
      </w:pPr>
      <w:r>
        <w:rPr>
          <w:rFonts w:ascii="Arial" w:cs="Arial" w:eastAsia="Arial" w:hAnsi="Arial"/>
          <w:sz w:val="18"/>
          <w:szCs w:val="18"/>
          <w:color w:val="auto"/>
        </w:rPr>
        <w:t>No. The Notice will, however, provide instructions on how to vote by internet, by telephone, by requesting and returning a paper proxy card or voting instruction card, or by submitting a ballot in person at the 2018 Annual Meeting.</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260" w:right="299"/>
        <w:spacing w:after="0" w:line="277" w:lineRule="auto"/>
        <w:rPr>
          <w:sz w:val="20"/>
          <w:szCs w:val="20"/>
          <w:color w:val="auto"/>
        </w:rPr>
      </w:pPr>
      <w:r>
        <w:rPr>
          <w:rFonts w:ascii="Arial" w:cs="Arial" w:eastAsia="Arial" w:hAnsi="Arial"/>
          <w:sz w:val="18"/>
          <w:szCs w:val="18"/>
          <w:color w:val="auto"/>
        </w:rPr>
        <w:t>On each matter to be voted upon, you have one vote for each share of the Company’s common stock you owned as of April 20, 2018.</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260" w:right="359"/>
        <w:spacing w:after="0" w:line="298" w:lineRule="auto"/>
        <w:rPr>
          <w:sz w:val="20"/>
          <w:szCs w:val="20"/>
          <w:color w:val="auto"/>
        </w:rPr>
      </w:pPr>
      <w:r>
        <w:rPr>
          <w:rFonts w:ascii="Arial" w:cs="Arial" w:eastAsia="Arial" w:hAnsi="Arial"/>
          <w:sz w:val="16"/>
          <w:szCs w:val="16"/>
          <w:color w:val="auto"/>
        </w:rPr>
        <w:t>If you return a signed and dated proxy card without marking any voting selections,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nominee for director (Proposal No. 1) and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selection of Ernst &amp; Young LLP as the independent registered public accounting firm of the Company for the fiscal year ending December 31, 2018 (Proposal No. 2). If any other matter is properly presented at the 2018 Annual Meeting, your proxyholder (one of the individuals named on your proxy card) will vote your shares using his or her best judgment.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260" w:right="279"/>
        <w:spacing w:after="0" w:line="286" w:lineRule="auto"/>
        <w:rPr>
          <w:sz w:val="20"/>
          <w:szCs w:val="20"/>
          <w:color w:val="auto"/>
        </w:rPr>
      </w:pPr>
      <w:r>
        <w:rPr>
          <w:rFonts w:ascii="Arial" w:cs="Arial" w:eastAsia="Arial" w:hAnsi="Arial"/>
          <w:sz w:val="17"/>
          <w:szCs w:val="17"/>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What does it mean if I receive more than one Notice or proxy card?</w:t>
      </w:r>
    </w:p>
    <w:p>
      <w:pPr>
        <w:spacing w:after="0" w:line="121" w:lineRule="exact"/>
        <w:rPr>
          <w:sz w:val="20"/>
          <w:szCs w:val="20"/>
          <w:color w:val="auto"/>
        </w:rPr>
      </w:pPr>
    </w:p>
    <w:p>
      <w:pPr>
        <w:ind w:left="260" w:right="299"/>
        <w:spacing w:after="0" w:line="264" w:lineRule="auto"/>
        <w:rPr>
          <w:sz w:val="20"/>
          <w:szCs w:val="20"/>
          <w:color w:val="auto"/>
        </w:rPr>
      </w:pPr>
      <w:r>
        <w:rPr>
          <w:rFonts w:ascii="Arial" w:cs="Arial" w:eastAsia="Arial" w:hAnsi="Arial"/>
          <w:sz w:val="18"/>
          <w:szCs w:val="18"/>
          <w:color w:val="auto"/>
        </w:rPr>
        <w:t>If you receive more than one Notice or proxy card, your shares are registered in more than one name or are registered in different accounts. In order to vote all the shares you own, you must vote pursuant to the instructions on each Notice or return each proxy card.</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260" w:right="979"/>
        <w:spacing w:after="0" w:line="308" w:lineRule="auto"/>
        <w:rPr>
          <w:sz w:val="20"/>
          <w:szCs w:val="20"/>
          <w:color w:val="auto"/>
        </w:rPr>
      </w:pPr>
      <w:r>
        <w:rPr>
          <w:rFonts w:ascii="Arial" w:cs="Arial" w:eastAsia="Arial" w:hAnsi="Arial"/>
          <w:sz w:val="17"/>
          <w:szCs w:val="17"/>
          <w:color w:val="auto"/>
        </w:rPr>
        <w:t>Yes. You can revoke your proxy at any time before the final vote at the 2018 Annual Meeting. If you are the stockholder of record of your shares, you may revoke your proxy in any one of three ways:</w:t>
      </w:r>
    </w:p>
    <w:p>
      <w:pPr>
        <w:spacing w:after="0" w:line="38" w:lineRule="exact"/>
        <w:rPr>
          <w:sz w:val="20"/>
          <w:szCs w:val="20"/>
          <w:color w:val="auto"/>
        </w:rPr>
      </w:pPr>
    </w:p>
    <w:p>
      <w:pPr>
        <w:ind w:left="1360" w:right="479" w:hanging="314"/>
        <w:spacing w:after="0" w:line="277" w:lineRule="auto"/>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date later than the date of the original proxy.</w:t>
      </w:r>
    </w:p>
    <w:p>
      <w:pPr>
        <w:spacing w:after="0" w:line="62" w:lineRule="exact"/>
        <w:rPr>
          <w:rFonts w:ascii="Arial" w:cs="Arial" w:eastAsia="Arial" w:hAnsi="Arial"/>
          <w:sz w:val="18"/>
          <w:szCs w:val="18"/>
          <w:color w:val="auto"/>
        </w:rPr>
      </w:pPr>
    </w:p>
    <w:p>
      <w:pPr>
        <w:ind w:left="1360" w:right="339" w:hanging="314"/>
        <w:spacing w:after="0" w:line="264" w:lineRule="auto"/>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send a timely written notice, bearing a date later than the date of the original proxy, that you are revoking your proxy to the Company’s General Counsel at Ardelyx, Inc., 34175 Ardenwood Blvd., Suite 200, Fremont, CA 94555.</w:t>
      </w:r>
    </w:p>
    <w:p>
      <w:pPr>
        <w:spacing w:after="0" w:line="73" w:lineRule="exact"/>
        <w:rPr>
          <w:rFonts w:ascii="Arial" w:cs="Arial" w:eastAsia="Arial" w:hAnsi="Arial"/>
          <w:sz w:val="18"/>
          <w:szCs w:val="18"/>
          <w:color w:val="auto"/>
        </w:rPr>
      </w:pPr>
    </w:p>
    <w:p>
      <w:pPr>
        <w:ind w:left="1360" w:right="679" w:hanging="314"/>
        <w:spacing w:after="0" w:line="277" w:lineRule="auto"/>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attend the 2018 Annual Meeting and vote in person. Simply attending the 2018 Annual Meeting will not, by itself, revoke your proxy.</w:t>
      </w:r>
    </w:p>
    <w:p>
      <w:pPr>
        <w:spacing w:after="0" w:line="170" w:lineRule="exact"/>
        <w:rPr>
          <w:sz w:val="20"/>
          <w:szCs w:val="20"/>
          <w:color w:val="auto"/>
        </w:rPr>
      </w:pPr>
    </w:p>
    <w:p>
      <w:pPr>
        <w:ind w:left="260" w:right="319"/>
        <w:spacing w:after="0" w:line="277" w:lineRule="auto"/>
        <w:rPr>
          <w:sz w:val="20"/>
          <w:szCs w:val="20"/>
          <w:color w:val="auto"/>
        </w:rPr>
      </w:pPr>
      <w:r>
        <w:rPr>
          <w:rFonts w:ascii="Arial" w:cs="Arial" w:eastAsia="Arial" w:hAnsi="Arial"/>
          <w:sz w:val="18"/>
          <w:szCs w:val="18"/>
          <w:color w:val="auto"/>
        </w:rPr>
        <w:t>If your shares are held in “street name” by your broker or other agent, you should follow the instructions provided by your broker or agent to change your vote.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260" w:right="319"/>
        <w:spacing w:after="0" w:line="297"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2018 Annual Meeting. On the record date, there were 47,603,568 shares outstanding and entitled to vote. Accordingly, the holders of 23,801,785 shares must be present at the 2018 Annual Meeting to have a quorum. Your shares will be counted toward the quorum at the 2018 Annual Meeting only if you vote in person at the meeting, or you submit a valid proxy vote.</w:t>
      </w:r>
    </w:p>
    <w:p>
      <w:pPr>
        <w:spacing w:after="0" w:line="118" w:lineRule="exact"/>
        <w:rPr>
          <w:sz w:val="20"/>
          <w:szCs w:val="20"/>
          <w:color w:val="auto"/>
        </w:rPr>
      </w:pPr>
    </w:p>
    <w:p>
      <w:pPr>
        <w:ind w:left="260" w:right="459"/>
        <w:spacing w:after="0" w:line="312" w:lineRule="auto"/>
        <w:rPr>
          <w:sz w:val="20"/>
          <w:szCs w:val="20"/>
          <w:color w:val="auto"/>
        </w:rPr>
      </w:pPr>
      <w:r>
        <w:rPr>
          <w:rFonts w:ascii="Arial" w:cs="Arial" w:eastAsia="Arial" w:hAnsi="Arial"/>
          <w:sz w:val="16"/>
          <w:szCs w:val="16"/>
          <w:color w:val="auto"/>
        </w:rPr>
        <w:t>Abstentions and broker non-votes (as described below) will be counted towards the quorum requirement. If there is no quorum, the chairperson of the meeting or the holders of a majority of shares present and entitled to vote at the meeting in person or represented by proxy may adjourn the 2018 Annual Meeting to another date.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How are votes counted?</w:t>
      </w:r>
    </w:p>
    <w:p>
      <w:pPr>
        <w:spacing w:after="0" w:line="117" w:lineRule="exact"/>
        <w:rPr>
          <w:sz w:val="20"/>
          <w:szCs w:val="20"/>
          <w:color w:val="auto"/>
        </w:rPr>
      </w:pPr>
    </w:p>
    <w:p>
      <w:pPr>
        <w:ind w:left="260" w:right="279"/>
        <w:spacing w:after="0" w:line="261" w:lineRule="auto"/>
        <w:rPr>
          <w:sz w:val="20"/>
          <w:szCs w:val="20"/>
          <w:color w:val="auto"/>
        </w:rPr>
      </w:pPr>
      <w:r>
        <w:rPr>
          <w:rFonts w:ascii="Arial" w:cs="Arial" w:eastAsia="Arial" w:hAnsi="Arial"/>
          <w:sz w:val="18"/>
          <w:szCs w:val="18"/>
          <w:color w:val="auto"/>
        </w:rPr>
        <w:t>With respect to the election of directors (Proposal 1),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for each of the nominees for the Board. If you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With respect to the ratification of Ernst &amp; Young LLP as of our independent registered public accounting firm for</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year ending December 31, 2018 (Proposal 2),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If you</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ABSTAIN</w:t>
      </w:r>
      <w:r>
        <w:rPr>
          <w:rFonts w:ascii="Arial" w:cs="Arial" w:eastAsia="Arial" w:hAnsi="Arial"/>
          <w:sz w:val="16"/>
          <w:szCs w:val="16"/>
          <w:color w:val="auto"/>
        </w:rPr>
        <w:t>” from voting with respect to this proposal, your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proposal. Broker non-votes will have no effect on the vote for this proposal.</w:t>
      </w:r>
    </w:p>
    <w:p>
      <w:pPr>
        <w:spacing w:after="0" w:line="170" w:lineRule="exact"/>
        <w:rPr>
          <w:sz w:val="20"/>
          <w:szCs w:val="20"/>
          <w:color w:val="auto"/>
        </w:rPr>
      </w:pPr>
    </w:p>
    <w:p>
      <w:pPr>
        <w:ind w:left="260" w:right="379"/>
        <w:spacing w:after="0" w:line="302" w:lineRule="auto"/>
        <w:rPr>
          <w:sz w:val="20"/>
          <w:szCs w:val="20"/>
          <w:color w:val="auto"/>
        </w:rPr>
      </w:pPr>
      <w:r>
        <w:rPr>
          <w:rFonts w:ascii="Arial" w:cs="Arial" w:eastAsia="Arial" w:hAnsi="Arial"/>
          <w:sz w:val="16"/>
          <w:szCs w:val="16"/>
          <w:color w:val="auto"/>
        </w:rPr>
        <w:t>Votes will be counted by the Inspector of Elections appointed for the 2018 Annual Meeting. The Inspector of Elections will separately count “</w:t>
      </w:r>
      <w:r>
        <w:rPr>
          <w:rFonts w:ascii="Arial" w:cs="Arial" w:eastAsia="Arial" w:hAnsi="Arial"/>
          <w:sz w:val="16"/>
          <w:szCs w:val="16"/>
          <w:b w:val="1"/>
          <w:bCs w:val="1"/>
          <w:color w:val="auto"/>
        </w:rPr>
        <w:t>FOR</w:t>
      </w:r>
      <w:r>
        <w:rPr>
          <w:rFonts w:ascii="Arial" w:cs="Arial" w:eastAsia="Arial" w:hAnsi="Arial"/>
          <w:sz w:val="16"/>
          <w:szCs w:val="16"/>
          <w:color w:val="auto"/>
        </w:rPr>
        <w:t>” votes for the election of directors (Proposal 1) and “</w:t>
      </w:r>
      <w:r>
        <w:rPr>
          <w:rFonts w:ascii="Arial" w:cs="Arial" w:eastAsia="Arial" w:hAnsi="Arial"/>
          <w:sz w:val="16"/>
          <w:szCs w:val="16"/>
          <w:b w:val="1"/>
          <w:bCs w:val="1"/>
          <w:color w:val="auto"/>
        </w:rPr>
        <w:t>FOR</w:t>
      </w:r>
      <w:r>
        <w:rPr>
          <w:rFonts w:ascii="Arial" w:cs="Arial" w:eastAsia="Arial" w:hAnsi="Arial"/>
          <w:sz w:val="16"/>
          <w:szCs w:val="16"/>
          <w:color w:val="auto"/>
        </w:rPr>
        <w:t>” and “</w:t>
      </w:r>
      <w:r>
        <w:rPr>
          <w:rFonts w:ascii="Arial" w:cs="Arial" w:eastAsia="Arial" w:hAnsi="Arial"/>
          <w:sz w:val="16"/>
          <w:szCs w:val="16"/>
          <w:b w:val="1"/>
          <w:bCs w:val="1"/>
          <w:color w:val="auto"/>
        </w:rPr>
        <w:t>AGAINST</w:t>
      </w:r>
      <w:r>
        <w:rPr>
          <w:rFonts w:ascii="Arial" w:cs="Arial" w:eastAsia="Arial" w:hAnsi="Arial"/>
          <w:sz w:val="16"/>
          <w:szCs w:val="16"/>
          <w:color w:val="auto"/>
        </w:rPr>
        <w:t>” votes, abstentions and, if any, broker non-votes for the ratification of the selection of Ernst &amp; Young LLP as the independent registered accounting firm of the Company for the fiscal year ending December 31, 2018 (Proposal 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79"/>
        <w:spacing w:after="0" w:line="257" w:lineRule="auto"/>
        <w:rPr>
          <w:sz w:val="20"/>
          <w:szCs w:val="20"/>
          <w:color w:val="auto"/>
        </w:rPr>
      </w:pPr>
      <w:r>
        <w:rPr>
          <w:rFonts w:ascii="Arial" w:cs="Arial" w:eastAsia="Arial" w:hAnsi="Arial"/>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260" w:right="299"/>
        <w:spacing w:after="0" w:line="273" w:lineRule="auto"/>
        <w:rPr>
          <w:sz w:val="20"/>
          <w:szCs w:val="20"/>
          <w:color w:val="auto"/>
        </w:rPr>
      </w:pPr>
      <w:r>
        <w:rPr>
          <w:rFonts w:ascii="Arial" w:cs="Arial" w:eastAsia="Arial" w:hAnsi="Arial"/>
          <w:sz w:val="17"/>
          <w:szCs w:val="17"/>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is a non-routine matter, but Proposal No. 2 to ratify the selection of Ernst &amp; Young LLP as the independent registered public accounting firm for the Company for the fiscal year ending December 31, 2018 is a “routine” matter.</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960" w:right="339" w:hanging="319"/>
        <w:spacing w:after="0" w:line="25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No. 1 — To elect three Class I directors to hold office until the 2021 Annual Meeting of Stockholders and until their successors are elected and qualified. Directors shall be elected by a plurality of the votes cast, which means that the three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(from the votes of shares present in person or represented by proxy and entitled to vote on the election of directors) will be elected. “</w:t>
      </w:r>
      <w:r>
        <w:rPr>
          <w:rFonts w:ascii="Arial" w:cs="Arial" w:eastAsia="Arial" w:hAnsi="Arial"/>
          <w:sz w:val="18"/>
          <w:szCs w:val="18"/>
          <w:b w:val="1"/>
          <w:bCs w:val="1"/>
          <w:color w:val="auto"/>
        </w:rPr>
        <w:t>WITHHOLD</w:t>
      </w:r>
      <w:r>
        <w:rPr>
          <w:rFonts w:ascii="Arial" w:cs="Arial" w:eastAsia="Arial" w:hAnsi="Arial"/>
          <w:sz w:val="18"/>
          <w:szCs w:val="18"/>
          <w:color w:val="auto"/>
        </w:rPr>
        <w:t>” votes and broker non-votes will not be counted towards the vote total for this proposal.</w:t>
      </w:r>
    </w:p>
    <w:p>
      <w:pPr>
        <w:spacing w:after="0" w:line="85" w:lineRule="exact"/>
        <w:rPr>
          <w:rFonts w:ascii="Arial" w:cs="Arial" w:eastAsia="Arial" w:hAnsi="Arial"/>
          <w:sz w:val="18"/>
          <w:szCs w:val="18"/>
          <w:color w:val="auto"/>
        </w:rPr>
      </w:pPr>
    </w:p>
    <w:p>
      <w:pPr>
        <w:ind w:left="960" w:right="279" w:hanging="319"/>
        <w:spacing w:after="0" w:line="271"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 No. 2 — To ratify the selection of Ernst &amp; Young LLP as the independent registered public accounting firm of the Company for the fiscal year ending December 31, 2018. The ratification of our Ernst &amp; Young LLP as independent registered public accounting firm for the year ending December 31, 2018 requires the affirmative vote of the majority of the votes cast, which means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the proposal must exceed the number of shares voted “</w:t>
      </w:r>
      <w:r>
        <w:rPr>
          <w:rFonts w:ascii="Arial" w:cs="Arial" w:eastAsia="Arial" w:hAnsi="Arial"/>
          <w:sz w:val="17"/>
          <w:szCs w:val="17"/>
          <w:b w:val="1"/>
          <w:bCs w:val="1"/>
          <w:color w:val="auto"/>
        </w:rPr>
        <w:t>AGAINST</w:t>
      </w:r>
      <w:r>
        <w:rPr>
          <w:rFonts w:ascii="Arial" w:cs="Arial" w:eastAsia="Arial" w:hAnsi="Arial"/>
          <w:sz w:val="17"/>
          <w:szCs w:val="17"/>
          <w:color w:val="auto"/>
        </w:rPr>
        <w:t>” such proposal). Abstentions and broker non-votes are not considered votes cast for the foregoing purpose, and will have no effect on the vote for this proposal. Because Proposal No. 2 is considered a “routine” matter, no broker non-votes are expected in connection with this proposal.</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How can I find out the results of the voting at the 2018 Annual Meeting?</w:t>
      </w:r>
    </w:p>
    <w:p>
      <w:pPr>
        <w:spacing w:after="0" w:line="121" w:lineRule="exact"/>
        <w:rPr>
          <w:sz w:val="20"/>
          <w:szCs w:val="20"/>
          <w:color w:val="auto"/>
        </w:rPr>
      </w:pPr>
    </w:p>
    <w:p>
      <w:pPr>
        <w:ind w:left="260" w:right="439"/>
        <w:spacing w:after="0" w:line="220" w:lineRule="exact"/>
        <w:rPr>
          <w:sz w:val="20"/>
          <w:szCs w:val="20"/>
          <w:color w:val="auto"/>
        </w:rPr>
      </w:pPr>
      <w:r>
        <w:rPr>
          <w:rFonts w:ascii="Arial" w:cs="Arial" w:eastAsia="Arial" w:hAnsi="Arial"/>
          <w:sz w:val="18"/>
          <w:szCs w:val="18"/>
          <w:color w:val="auto"/>
        </w:rPr>
        <w:t>We will disclose final voting results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within four business days after the 2018 Annual Meeting. If final voting results are unavailable at that time, then we intend to file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to disclose preliminary voting results and file an amended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within four business days after the date the final voting results are available.</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60" w:right="299"/>
        <w:spacing w:after="0" w:line="270"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and, as such, have elected to comply with certain reduced public company reporting requirements. These reduced reporting requirements include reduced disclosure about the company’s executive compensation arrangements and no non-binding advisory votes on executive compensation.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left="260" w:right="539"/>
        <w:spacing w:after="0" w:line="342" w:lineRule="auto"/>
        <w:rPr>
          <w:sz w:val="20"/>
          <w:szCs w:val="20"/>
          <w:color w:val="auto"/>
        </w:rPr>
      </w:pPr>
      <w:r>
        <w:rPr>
          <w:rFonts w:ascii="Arial" w:cs="Arial" w:eastAsia="Arial" w:hAnsi="Arial"/>
          <w:sz w:val="16"/>
          <w:szCs w:val="16"/>
          <w:color w:val="auto"/>
        </w:rPr>
        <w:t>To be considered for inclusion in the proxy materials for the 2019 Annual Meeting of Stockholders, your proposal must be submitted in writing by December 27, 2018, to the Company’s Corporate Secretary or Assistant</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99"/>
        <w:spacing w:after="0" w:line="264" w:lineRule="auto"/>
        <w:rPr>
          <w:sz w:val="20"/>
          <w:szCs w:val="20"/>
          <w:color w:val="auto"/>
        </w:rPr>
      </w:pPr>
      <w:r>
        <w:rPr>
          <w:rFonts w:ascii="Arial" w:cs="Arial" w:eastAsia="Arial" w:hAnsi="Arial"/>
          <w:sz w:val="18"/>
          <w:szCs w:val="18"/>
          <w:color w:val="auto"/>
        </w:rPr>
        <w:t>Secretary at Ardelyx, Inc., 34175 Ardenwood Blvd., Suite 200, Fremont, CA 94555. However, if the meeting is more than 30 days from June 13, 2019, then the deadline will be a reasonable time before we begin to print and mail our proxy materials for that meeting.</w:t>
      </w:r>
    </w:p>
    <w:p>
      <w:pPr>
        <w:spacing w:after="0" w:line="141" w:lineRule="exact"/>
        <w:rPr>
          <w:sz w:val="20"/>
          <w:szCs w:val="20"/>
          <w:color w:val="auto"/>
        </w:rPr>
      </w:pPr>
    </w:p>
    <w:p>
      <w:pPr>
        <w:ind w:left="260" w:right="319"/>
        <w:spacing w:after="0" w:line="289" w:lineRule="auto"/>
        <w:rPr>
          <w:sz w:val="20"/>
          <w:szCs w:val="20"/>
          <w:color w:val="auto"/>
        </w:rPr>
      </w:pPr>
      <w:r>
        <w:rPr>
          <w:rFonts w:ascii="Arial" w:cs="Arial" w:eastAsia="Arial" w:hAnsi="Arial"/>
          <w:sz w:val="16"/>
          <w:szCs w:val="16"/>
          <w:color w:val="auto"/>
        </w:rPr>
        <w:t>If you wish to submit a proposal before the stockholders or nominate a director at the 2018 Annual Meeting of Stockholders, but you are not requesting that your proposal or nomination be included in the proxy materials for that meeting, then you must follow the procedures set forth in our bylaws and, among other things, notify the Company’s Corporate Secretary or Assistant Secretary in writing between February 19, 2019 and March 15, 2019. However, if the date of the 2019 Annual Meeting of Stockholders is more than 30 days before June 13, 2019, then you must give notice not later than the 90th day prior to that meeting, and if the date of the 2019 Annual Meeting of Stockholders is more than 60 days after June 13, 2019, you must give notice not later than the 10th day following the day on which public disclosure of that annual meeting date is first made. You are also advised to review our bylaws, which contain additional requirements regarding advance notice of stockholder proposals and director nominations.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260" w:right="339"/>
        <w:spacing w:after="0" w:line="293" w:lineRule="auto"/>
        <w:rPr>
          <w:sz w:val="20"/>
          <w:szCs w:val="20"/>
          <w:color w:val="auto"/>
        </w:rPr>
      </w:pPr>
      <w:r>
        <w:rPr>
          <w:rFonts w:ascii="Arial" w:cs="Arial" w:eastAsia="Arial" w:hAnsi="Arial"/>
          <w:sz w:val="16"/>
          <w:szCs w:val="16"/>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board of directors currently consists of eight directors and no vacancies, divided into the following three classes:</w:t>
      </w:r>
    </w:p>
    <w:p>
      <w:pPr>
        <w:spacing w:after="0" w:line="140" w:lineRule="exact"/>
        <w:rPr>
          <w:sz w:val="20"/>
          <w:szCs w:val="20"/>
          <w:color w:val="auto"/>
        </w:rPr>
      </w:pPr>
    </w:p>
    <w:p>
      <w:pPr>
        <w:ind w:left="920" w:right="579" w:hanging="333"/>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 directors are William Bertrand, Jr., Esq., Annalisa Jenkins, MBBS, FRCP and Jan Lundberg, Ph.D., and their terms will expire at the 2018 Annual Meeting;</w:t>
      </w:r>
    </w:p>
    <w:p>
      <w:pPr>
        <w:spacing w:after="0" w:line="62" w:lineRule="exact"/>
        <w:rPr>
          <w:rFonts w:ascii="Arial" w:cs="Arial" w:eastAsia="Arial" w:hAnsi="Arial"/>
          <w:sz w:val="18"/>
          <w:szCs w:val="18"/>
          <w:color w:val="auto"/>
        </w:rPr>
      </w:pPr>
    </w:p>
    <w:p>
      <w:pPr>
        <w:ind w:left="920" w:right="639" w:hanging="333"/>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II directors are David Mott and Michael Raab, and their terms will expire at the 2019 Annual Meeting of Stockholders; and</w:t>
      </w:r>
    </w:p>
    <w:p>
      <w:pPr>
        <w:spacing w:after="0" w:line="62" w:lineRule="exact"/>
        <w:rPr>
          <w:rFonts w:ascii="Arial" w:cs="Arial" w:eastAsia="Arial" w:hAnsi="Arial"/>
          <w:sz w:val="18"/>
          <w:szCs w:val="18"/>
          <w:color w:val="auto"/>
        </w:rPr>
      </w:pPr>
    </w:p>
    <w:p>
      <w:pPr>
        <w:ind w:left="920" w:right="419" w:hanging="333"/>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III directors are Robert Bazemore, Gordon Ringold, Ph.D. and Richard Rodgers, and their terms will expire at the 2020 Annual Meeting of Stockholders.</w:t>
      </w:r>
    </w:p>
    <w:p>
      <w:pPr>
        <w:spacing w:after="0" w:line="170" w:lineRule="exact"/>
        <w:rPr>
          <w:sz w:val="20"/>
          <w:szCs w:val="20"/>
          <w:color w:val="auto"/>
        </w:rPr>
      </w:pPr>
    </w:p>
    <w:p>
      <w:pPr>
        <w:ind w:left="260" w:right="379"/>
        <w:spacing w:after="0" w:line="257" w:lineRule="auto"/>
        <w:rPr>
          <w:sz w:val="20"/>
          <w:szCs w:val="20"/>
          <w:color w:val="auto"/>
        </w:rPr>
      </w:pPr>
      <w:r>
        <w:rPr>
          <w:rFonts w:ascii="Arial" w:cs="Arial" w:eastAsia="Arial" w:hAnsi="Arial"/>
          <w:sz w:val="18"/>
          <w:szCs w:val="18"/>
          <w:color w:val="auto"/>
        </w:rPr>
        <w:t>Our current Class I directors, William Bertrand, Jr., Esq., Annalisa Jenkins, MBBS, FRCP and Jan Lundberg, Ph.D., have been nominated to serve as Class I directors and have agreed to stand for election. If the nominees for Class I are elected at the 2018 Annual Meeting, then each nominee will serve for a three-year term expiring at the 2021 Annual Meeting of Stockholders, and until his or her successor is elected and qualified, or until his or her earlier death, resignation or removal.</w:t>
      </w:r>
    </w:p>
    <w:p>
      <w:pPr>
        <w:spacing w:after="0" w:line="188" w:lineRule="exact"/>
        <w:rPr>
          <w:sz w:val="20"/>
          <w:szCs w:val="20"/>
          <w:color w:val="auto"/>
        </w:rPr>
      </w:pPr>
    </w:p>
    <w:p>
      <w:pPr>
        <w:ind w:left="260" w:right="299"/>
        <w:spacing w:after="0" w:line="272" w:lineRule="auto"/>
        <w:rPr>
          <w:sz w:val="20"/>
          <w:szCs w:val="20"/>
          <w:color w:val="auto"/>
        </w:rPr>
      </w:pPr>
      <w:r>
        <w:rPr>
          <w:rFonts w:ascii="Arial" w:cs="Arial" w:eastAsia="Arial" w:hAnsi="Arial"/>
          <w:sz w:val="17"/>
          <w:szCs w:val="17"/>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the three nominees for Class 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178" w:lineRule="exact"/>
        <w:rPr>
          <w:sz w:val="20"/>
          <w:szCs w:val="20"/>
          <w:color w:val="auto"/>
        </w:rPr>
      </w:pPr>
    </w:p>
    <w:p>
      <w:pPr>
        <w:ind w:left="260" w:right="459"/>
        <w:spacing w:after="0" w:line="259" w:lineRule="auto"/>
        <w:rPr>
          <w:sz w:val="20"/>
          <w:szCs w:val="20"/>
          <w:color w:val="auto"/>
        </w:rPr>
      </w:pPr>
      <w:r>
        <w:rPr>
          <w:rFonts w:ascii="Arial" w:cs="Arial" w:eastAsia="Arial" w:hAnsi="Arial"/>
          <w:sz w:val="18"/>
          <w:szCs w:val="18"/>
          <w:color w:val="auto"/>
        </w:rPr>
        <w:t>The following is a brief biography and discussion of the specific attributes, qualifications, experience and skills of each nominee for director and each director whose term will continue after the 2018 Annual Meeting. Our board of directors and management encourage each nominee for director and each continuing director to attend the 2018 Annual Meeting.</w:t>
      </w:r>
    </w:p>
    <w:p>
      <w:pPr>
        <w:spacing w:after="0" w:line="399" w:lineRule="exact"/>
        <w:rPr>
          <w:sz w:val="20"/>
          <w:szCs w:val="20"/>
          <w:color w:val="auto"/>
        </w:rPr>
      </w:pPr>
    </w:p>
    <w:p>
      <w:pPr>
        <w:jc w:val="center"/>
        <w:ind w:left="1740" w:right="260"/>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THREE CLASS I NOMINEES FOR DIRECTOR.</w:t>
      </w:r>
    </w:p>
    <w:p>
      <w:pPr>
        <w:spacing w:after="0" w:line="162" w:lineRule="exact"/>
        <w:rPr>
          <w:sz w:val="20"/>
          <w:szCs w:val="20"/>
          <w:color w:val="auto"/>
        </w:rPr>
      </w:pPr>
    </w:p>
    <w:p>
      <w:pPr>
        <w:ind w:left="260" w:right="759"/>
        <w:spacing w:after="0" w:line="282" w:lineRule="auto"/>
        <w:rPr>
          <w:sz w:val="20"/>
          <w:szCs w:val="20"/>
          <w:color w:val="auto"/>
        </w:rPr>
      </w:pPr>
      <w:r>
        <w:rPr>
          <w:rFonts w:ascii="Arial" w:cs="Arial" w:eastAsia="Arial" w:hAnsi="Arial"/>
          <w:sz w:val="18"/>
          <w:szCs w:val="18"/>
          <w:b w:val="1"/>
          <w:bCs w:val="1"/>
          <w:color w:val="auto"/>
        </w:rPr>
        <w:t xml:space="preserve">CLASS I NOMINEES FOR DIRECTOR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be elected for a three-year term expiring at the 2021 Annual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Meeting of Stockholders</w:t>
      </w:r>
    </w:p>
    <w:p>
      <w:pPr>
        <w:spacing w:after="0" w:line="162" w:lineRule="exact"/>
        <w:rPr>
          <w:sz w:val="20"/>
          <w:szCs w:val="20"/>
          <w:color w:val="auto"/>
        </w:rPr>
      </w:pPr>
    </w:p>
    <w:p>
      <w:pPr>
        <w:ind w:left="260" w:right="299"/>
        <w:spacing w:after="0" w:line="274" w:lineRule="auto"/>
        <w:rPr>
          <w:sz w:val="20"/>
          <w:szCs w:val="20"/>
          <w:color w:val="auto"/>
        </w:rPr>
      </w:pPr>
      <w:r>
        <w:rPr>
          <w:rFonts w:ascii="Arial" w:cs="Arial" w:eastAsia="Arial" w:hAnsi="Arial"/>
          <w:sz w:val="17"/>
          <w:szCs w:val="17"/>
          <w:b w:val="1"/>
          <w:bCs w:val="1"/>
          <w:color w:val="auto"/>
        </w:rPr>
        <w:t>William Bertrand, Jr., Esq.</w:t>
      </w:r>
      <w:r>
        <w:rPr>
          <w:rFonts w:ascii="Arial" w:cs="Arial" w:eastAsia="Arial" w:hAnsi="Arial"/>
          <w:sz w:val="17"/>
          <w:szCs w:val="17"/>
          <w:color w:val="auto"/>
        </w:rPr>
        <w:t>, age 53, was appointed to our board of directors in October 2015. Mr. Bertrand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79"/>
        <w:spacing w:after="0" w:line="293" w:lineRule="auto"/>
        <w:rPr>
          <w:sz w:val="20"/>
          <w:szCs w:val="20"/>
          <w:color w:val="auto"/>
        </w:rPr>
      </w:pPr>
      <w:r>
        <w:rPr>
          <w:rFonts w:ascii="Arial" w:cs="Arial" w:eastAsia="Arial" w:hAnsi="Arial"/>
          <w:sz w:val="16"/>
          <w:szCs w:val="16"/>
          <w:color w:val="auto"/>
        </w:rPr>
        <w:t>following its acquisition by Valeant Pharmaceuticals International (NYSE: VRX) in April 2015. Prior to that, Mr. Bertrand pursued a 12 year career at Medimmune Limited, a biotechnology company and subsidiary of AstraZeneca Plc (NYSE:AZN) ,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161" w:lineRule="exact"/>
        <w:rPr>
          <w:sz w:val="20"/>
          <w:szCs w:val="20"/>
          <w:color w:val="auto"/>
        </w:rPr>
      </w:pPr>
    </w:p>
    <w:p>
      <w:pPr>
        <w:ind w:left="260" w:right="459"/>
        <w:spacing w:after="0" w:line="287" w:lineRule="auto"/>
        <w:rPr>
          <w:sz w:val="20"/>
          <w:szCs w:val="20"/>
          <w:color w:val="auto"/>
        </w:rPr>
      </w:pPr>
      <w:r>
        <w:rPr>
          <w:rFonts w:ascii="Arial" w:cs="Arial" w:eastAsia="Arial" w:hAnsi="Arial"/>
          <w:sz w:val="16"/>
          <w:szCs w:val="16"/>
          <w:b w:val="1"/>
          <w:bCs w:val="1"/>
          <w:color w:val="auto"/>
        </w:rPr>
        <w:t>Annalisa Jenkins, MBBS, FRCP</w:t>
      </w:r>
      <w:r>
        <w:rPr>
          <w:rFonts w:ascii="Arial" w:cs="Arial" w:eastAsia="Arial" w:hAnsi="Arial"/>
          <w:sz w:val="16"/>
          <w:szCs w:val="16"/>
          <w:color w:val="auto"/>
        </w:rPr>
        <w:t>, age 52, has served on our board of directors since April 2015. Dr. Jenkins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Chief Executive Officer of PlaqueTec Ltd. since November 2017. Prior to that, Dr. Jenkins served as the Chief Executive Officer and a member of the board of directors at Dimension Therapeutics, Inc. (Nasdaq: DMTX) from September 2014 through its acquisition by Ultragenyx in late 2017. From October 2013 to</w:t>
      </w:r>
    </w:p>
    <w:p>
      <w:pPr>
        <w:spacing w:after="0" w:line="3" w:lineRule="exact"/>
        <w:rPr>
          <w:sz w:val="20"/>
          <w:szCs w:val="20"/>
          <w:color w:val="auto"/>
        </w:rPr>
      </w:pPr>
    </w:p>
    <w:p>
      <w:pPr>
        <w:ind w:left="260" w:right="279"/>
        <w:spacing w:after="0" w:line="216" w:lineRule="exact"/>
        <w:rPr>
          <w:sz w:val="20"/>
          <w:szCs w:val="20"/>
          <w:color w:val="auto"/>
        </w:rPr>
      </w:pPr>
      <w:r>
        <w:rPr>
          <w:rFonts w:ascii="Arial" w:cs="Arial" w:eastAsia="Arial" w:hAnsi="Arial"/>
          <w:sz w:val="16"/>
          <w:szCs w:val="16"/>
          <w:color w:val="auto"/>
        </w:rPr>
        <w:t>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w:t>
      </w:r>
      <w:r>
        <w:rPr>
          <w:rFonts w:ascii="MS PGothic" w:cs="MS PGothic" w:eastAsia="MS PGothic" w:hAnsi="MS PGothic"/>
          <w:sz w:val="16"/>
          <w:szCs w:val="16"/>
          <w:color w:val="auto"/>
        </w:rPr>
        <w:t>‑</w:t>
      </w:r>
      <w:r>
        <w:rPr>
          <w:rFonts w:ascii="Arial" w:cs="Arial" w:eastAsia="Arial" w:hAnsi="Arial"/>
          <w:sz w:val="16"/>
          <w:szCs w:val="16"/>
          <w:color w:val="auto"/>
        </w:rPr>
        <w:t>year career at Bristol-Myers Squibb Company, a biopharmaceutical company, where, from July 2009 to June 2011, she was a Senior Vice President and head of Global Medical Affairs at Bristol-Myers Squibb. Dr. Jenkins is currently a committee member of the Science Board to the U.S. Food &amp; Drug Administration, or FDA, which advises FDA leadership on complex scientific and technical issues. Dr. Jenkins graduated with a degree in medicine from St. Bartholomew’s Hospital in the University of London and subsequently trained in cardiovascular medicine in the UK National Health Service. Earlier in her career,</w:t>
      </w:r>
    </w:p>
    <w:p>
      <w:pPr>
        <w:spacing w:after="0" w:line="6" w:lineRule="exact"/>
        <w:rPr>
          <w:sz w:val="20"/>
          <w:szCs w:val="20"/>
          <w:color w:val="auto"/>
        </w:rPr>
      </w:pPr>
    </w:p>
    <w:p>
      <w:pPr>
        <w:ind w:left="260" w:right="379"/>
        <w:spacing w:after="0" w:line="323" w:lineRule="auto"/>
        <w:rPr>
          <w:sz w:val="20"/>
          <w:szCs w:val="20"/>
          <w:color w:val="auto"/>
        </w:rPr>
      </w:pPr>
      <w:r>
        <w:rPr>
          <w:rFonts w:ascii="Arial" w:cs="Arial" w:eastAsia="Arial" w:hAnsi="Arial"/>
          <w:sz w:val="16"/>
          <w:szCs w:val="16"/>
          <w:color w:val="auto"/>
        </w:rPr>
        <w:t>Dr. Jenkins served as a medical officer in the British Royal Navy. We believe Dr. Jenkins is qualified to serve on our board of directors based on her extensive scientific background and deep life science industry experience.</w:t>
      </w:r>
    </w:p>
    <w:p>
      <w:pPr>
        <w:spacing w:after="0" w:line="135" w:lineRule="exact"/>
        <w:rPr>
          <w:sz w:val="20"/>
          <w:szCs w:val="20"/>
          <w:color w:val="auto"/>
        </w:rPr>
      </w:pPr>
    </w:p>
    <w:p>
      <w:pPr>
        <w:ind w:left="260" w:right="499"/>
        <w:spacing w:after="0" w:line="287" w:lineRule="auto"/>
        <w:rPr>
          <w:sz w:val="20"/>
          <w:szCs w:val="20"/>
          <w:color w:val="auto"/>
        </w:rPr>
      </w:pPr>
      <w:r>
        <w:rPr>
          <w:rFonts w:ascii="Arial" w:cs="Arial" w:eastAsia="Arial" w:hAnsi="Arial"/>
          <w:sz w:val="16"/>
          <w:szCs w:val="16"/>
          <w:b w:val="1"/>
          <w:bCs w:val="1"/>
          <w:color w:val="auto"/>
        </w:rPr>
        <w:t>Jan Lundberg, Ph.D.</w:t>
      </w:r>
      <w:r>
        <w:rPr>
          <w:rFonts w:ascii="Arial" w:cs="Arial" w:eastAsia="Arial" w:hAnsi="Arial"/>
          <w:sz w:val="16"/>
          <w:szCs w:val="16"/>
          <w:color w:val="auto"/>
        </w:rPr>
        <w:t>, age 64, was appointed to our board of directors in March 2018. Dr. Lundberg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President of Lilly Research Laboratories and Executive Vice President of Science and Technology for Eli Lilly and Company (NYSE: LLY) since January 2010. Prior to joining Lilly he served for ten years as global head of discovery research at AstraZeneca Plc (NYSE: AZN), where he was a member of the senior executive team.</w:t>
      </w:r>
    </w:p>
    <w:p>
      <w:pPr>
        <w:spacing w:after="0" w:line="3" w:lineRule="exact"/>
        <w:rPr>
          <w:sz w:val="20"/>
          <w:szCs w:val="20"/>
          <w:color w:val="auto"/>
        </w:rPr>
      </w:pPr>
    </w:p>
    <w:p>
      <w:pPr>
        <w:ind w:left="260" w:right="259"/>
        <w:spacing w:after="0" w:line="252" w:lineRule="auto"/>
        <w:rPr>
          <w:sz w:val="20"/>
          <w:szCs w:val="20"/>
          <w:color w:val="auto"/>
        </w:rPr>
      </w:pPr>
      <w:r>
        <w:rPr>
          <w:rFonts w:ascii="Arial" w:cs="Arial" w:eastAsia="Arial" w:hAnsi="Arial"/>
          <w:sz w:val="18"/>
          <w:szCs w:val="18"/>
          <w:color w:val="auto"/>
        </w:rPr>
        <w:t>Dr. Lundberg also served as a professor at the Karolinska Institute’s department of pharmacology in Sweden, and was a cofounder of biotechnology company, Aerocrine. Dr. Lundberg currently serves on the board of directors for two non-profit organizations: TransCelerate Biopharma, Inc. and BioCrossroads, and was instrumental in the establishment of the Innovative Medicines Initiative in Europe and the Accelerating Medicines Partnership with National Institutes of Health. Dr. Lundberg received a B.S.M. in medicine from the University of Gothenberg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CLASS 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2019 Annual Meeting of Stockholders</w:t>
      </w:r>
    </w:p>
    <w:p>
      <w:pPr>
        <w:spacing w:after="0" w:line="225" w:lineRule="exact"/>
        <w:rPr>
          <w:sz w:val="20"/>
          <w:szCs w:val="20"/>
          <w:color w:val="auto"/>
        </w:rPr>
      </w:pPr>
    </w:p>
    <w:p>
      <w:pPr>
        <w:ind w:left="260" w:right="299"/>
        <w:spacing w:after="0" w:line="269" w:lineRule="auto"/>
        <w:rPr>
          <w:sz w:val="20"/>
          <w:szCs w:val="20"/>
          <w:color w:val="auto"/>
        </w:rPr>
      </w:pPr>
      <w:r>
        <w:rPr>
          <w:rFonts w:ascii="Arial" w:cs="Arial" w:eastAsia="Arial" w:hAnsi="Arial"/>
          <w:sz w:val="17"/>
          <w:szCs w:val="17"/>
          <w:b w:val="1"/>
          <w:bCs w:val="1"/>
          <w:color w:val="auto"/>
        </w:rPr>
        <w:t>David Mott</w:t>
      </w:r>
      <w:r>
        <w:rPr>
          <w:rFonts w:ascii="Arial" w:cs="Arial" w:eastAsia="Arial" w:hAnsi="Arial"/>
          <w:sz w:val="17"/>
          <w:szCs w:val="17"/>
          <w:color w:val="auto"/>
        </w:rPr>
        <w:t>, age 52, has served on our board of directors since March 2009 and as chairman of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March 2014. Mr. Mott has served as a general partner of New Enterprise Associates, or NEA, an investment firm focused on venture capital and growth equity investments, since September 2008, where he leads the healthcare investing practice. From 1992 until 2008, Mr. Mott worked at MedImmune Limited, a biotechnology company and subsidiary of AstraZeneca Plc (NYSE:AZN),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serves as the chairman of the board of directors for Adaptimmune Therapeutics Plc, (Nasdaq: ADAP), Mersana Therapeutics, Inc. (Nasdaq:MRSN), Epizyme (Nasdaq: EPZM), and TESARO (Nasdaq: TSRO), and serves as a member of the board of directors of Nightstar Therapeutics Plc (Nasdaq:NITE). From 2011 until 2013, he served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379"/>
        <w:spacing w:after="0" w:line="255" w:lineRule="auto"/>
        <w:rPr>
          <w:sz w:val="20"/>
          <w:szCs w:val="20"/>
          <w:color w:val="auto"/>
        </w:rPr>
      </w:pPr>
      <w:r>
        <w:rPr>
          <w:rFonts w:ascii="Arial" w:cs="Arial" w:eastAsia="Arial" w:hAnsi="Arial"/>
          <w:sz w:val="18"/>
          <w:szCs w:val="18"/>
          <w:color w:val="auto"/>
        </w:rPr>
        <w:t>on the board of Omthera Pharmaceuticals, Inc., and from 2012 until 2015, he served on the board of Prosensa Holding, BV, each a publicly-traded company. He also serves on the boards of directors of several privately held life sciences companies. Mr. Mott received a B.A. in Economics and Government from Dartmouth College.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189" w:lineRule="exact"/>
        <w:rPr>
          <w:sz w:val="20"/>
          <w:szCs w:val="20"/>
          <w:color w:val="auto"/>
        </w:rPr>
      </w:pPr>
    </w:p>
    <w:p>
      <w:pPr>
        <w:ind w:left="260" w:right="279"/>
        <w:spacing w:after="0" w:line="285" w:lineRule="auto"/>
        <w:rPr>
          <w:sz w:val="20"/>
          <w:szCs w:val="20"/>
          <w:color w:val="auto"/>
        </w:rPr>
      </w:pPr>
      <w:r>
        <w:rPr>
          <w:rFonts w:ascii="Arial" w:cs="Arial" w:eastAsia="Arial" w:hAnsi="Arial"/>
          <w:sz w:val="16"/>
          <w:szCs w:val="16"/>
          <w:b w:val="1"/>
          <w:bCs w:val="1"/>
          <w:color w:val="auto"/>
        </w:rPr>
        <w:t>Michael Raab</w:t>
      </w:r>
      <w:r>
        <w:rPr>
          <w:rFonts w:ascii="Arial" w:cs="Arial" w:eastAsia="Arial" w:hAnsi="Arial"/>
          <w:sz w:val="16"/>
          <w:szCs w:val="16"/>
          <w:color w:val="auto"/>
        </w:rPr>
        <w:t>, age 53, has served as our President and Chief Executive Officer and a director since March 2009.</w:t>
      </w:r>
      <w:r>
        <w:rPr>
          <w:rFonts w:ascii="Arial" w:cs="Arial" w:eastAsia="Arial" w:hAnsi="Arial"/>
          <w:sz w:val="16"/>
          <w:szCs w:val="16"/>
          <w:b w:val="1"/>
          <w:bCs w:val="1"/>
          <w:color w:val="auto"/>
        </w:rPr>
        <w:t xml:space="preserve"> </w:t>
      </w:r>
      <w:r>
        <w:rPr>
          <w:rFonts w:ascii="Arial" w:cs="Arial" w:eastAsia="Arial" w:hAnsi="Arial"/>
          <w:sz w:val="16"/>
          <w:szCs w:val="16"/>
          <w:color w:val="auto"/>
        </w:rPr>
        <w:t>From 2002 to 2009, Mr. Raab was a partner at NEA, where he focused on investments in the biotechnology and pharmaceutical sectors. Prior to joining NEA, Mr. Raab spent 15 years in commercial and operating leadership roles in the biotech and pharmaceutical industries. He was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w:t>
      </w:r>
    </w:p>
    <w:p>
      <w:pPr>
        <w:spacing w:after="0" w:line="2" w:lineRule="exact"/>
        <w:rPr>
          <w:sz w:val="20"/>
          <w:szCs w:val="20"/>
          <w:color w:val="auto"/>
        </w:rPr>
      </w:pPr>
    </w:p>
    <w:p>
      <w:pPr>
        <w:ind w:left="260" w:right="259"/>
        <w:spacing w:after="0" w:line="269" w:lineRule="auto"/>
        <w:rPr>
          <w:sz w:val="20"/>
          <w:szCs w:val="20"/>
          <w:color w:val="auto"/>
        </w:rPr>
      </w:pPr>
      <w:r>
        <w:rPr>
          <w:rFonts w:ascii="Arial" w:cs="Arial" w:eastAsia="Arial" w:hAnsi="Arial"/>
          <w:sz w:val="17"/>
          <w:szCs w:val="17"/>
          <w:color w:val="auto"/>
        </w:rPr>
        <w:t>Mr. Raab is currently a director of Amicus Therapeutics, Inc. (Nasdaq: FOLD). Mr. Raab currently serves as a member of the board of directors of the California Life Sciences Association, a non-profit trade association serving the life science industry in California, and as a member of the Emerging Companies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CLASS III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2020 Annual Meeting of Stockholders</w:t>
      </w:r>
    </w:p>
    <w:p>
      <w:pPr>
        <w:spacing w:after="0" w:line="225" w:lineRule="exact"/>
        <w:rPr>
          <w:sz w:val="20"/>
          <w:szCs w:val="20"/>
          <w:color w:val="auto"/>
        </w:rPr>
      </w:pPr>
    </w:p>
    <w:p>
      <w:pPr>
        <w:ind w:left="260" w:right="259"/>
        <w:spacing w:after="0" w:line="270" w:lineRule="auto"/>
        <w:rPr>
          <w:sz w:val="20"/>
          <w:szCs w:val="20"/>
          <w:color w:val="auto"/>
        </w:rPr>
      </w:pPr>
      <w:r>
        <w:rPr>
          <w:rFonts w:ascii="Arial" w:cs="Arial" w:eastAsia="Arial" w:hAnsi="Arial"/>
          <w:sz w:val="17"/>
          <w:szCs w:val="17"/>
          <w:b w:val="1"/>
          <w:bCs w:val="1"/>
          <w:color w:val="auto"/>
        </w:rPr>
        <w:t>Robert Bazemore</w:t>
      </w:r>
      <w:r>
        <w:rPr>
          <w:rFonts w:ascii="Arial" w:cs="Arial" w:eastAsia="Arial" w:hAnsi="Arial"/>
          <w:sz w:val="17"/>
          <w:szCs w:val="17"/>
          <w:color w:val="auto"/>
        </w:rPr>
        <w:t>, age 50, was appointed to our board of directors in June 2016. Mr. Bazemore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Executive Officer and a director of Epizyme, Inc. (Nasdaq: EPZM) since September 2015. Prior to joining Epizyme, Mr. Bazemore served as Chief Operating Officer of Synageva BioPharma Corp., a publicly-traded biotechnology company, which was acquired by Alexion Pharmaceuticals (Nasdaq: ALXN) in July 2015. Prior to that, Mr. Bazemore served in increasing levels of responsibility at Johnson &amp; Johnson (NYSE: JNJ), including most recently as President of Janssen Biotech from March 2010 to October 2013 and Vice President of Global Surgery at Ethicon from October 2013 to September 2014. Mr. Bazemore received his B.S. in Biochemistry from the University of Georgia. We believe that Mr. Bazemore is qualified to serve on our board of directors due to his significant life science industry experience, including as a chief executive officer, and service on another board of directors of a publicly-traded life sciences company.</w:t>
      </w:r>
    </w:p>
    <w:p>
      <w:pPr>
        <w:spacing w:after="0" w:line="178" w:lineRule="exact"/>
        <w:rPr>
          <w:sz w:val="20"/>
          <w:szCs w:val="20"/>
          <w:color w:val="auto"/>
        </w:rPr>
      </w:pPr>
    </w:p>
    <w:p>
      <w:pPr>
        <w:ind w:left="260" w:right="339"/>
        <w:spacing w:after="0" w:line="270" w:lineRule="auto"/>
        <w:rPr>
          <w:sz w:val="20"/>
          <w:szCs w:val="20"/>
          <w:color w:val="auto"/>
        </w:rPr>
      </w:pPr>
      <w:r>
        <w:rPr>
          <w:rFonts w:ascii="Arial" w:cs="Arial" w:eastAsia="Arial" w:hAnsi="Arial"/>
          <w:sz w:val="17"/>
          <w:szCs w:val="17"/>
          <w:b w:val="1"/>
          <w:bCs w:val="1"/>
          <w:color w:val="auto"/>
        </w:rPr>
        <w:t>Gordon Ringold, Ph.D.</w:t>
      </w:r>
      <w:r>
        <w:rPr>
          <w:rFonts w:ascii="Arial" w:cs="Arial" w:eastAsia="Arial" w:hAnsi="Arial"/>
          <w:sz w:val="17"/>
          <w:szCs w:val="17"/>
          <w:color w:val="auto"/>
        </w:rPr>
        <w:t>, age 67, was appointed to our board of directors in June 2014. Dr. Ringold has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CEO of Quadriga BioSciences, Inc., a biotechnology company, since January 2015. From March 2000 to December 2013, Dr. Ringold served as Chairman and Chief Executive Officer of Alavita, Inc., a biotechnology company. From June 2001 until September 2016, Dr. Ringold served as a director of Alexza Pharmaceuticals, Inc. (Nasdaq: ALXA). From 1997 to 2013, Dr. Ringold served as a member of the board of directors of Maxygen, Inc., a publicly-traded biopharmaceutical company. Dr. Ringold received a Ph.D. in microbiology from University of California, San Francisco, in the laboratory of Dr. Harold Varmus before joining the Stanford University School of Medicine, Department of Pharmacology. Dr. Ringold also received a B.S. in biology from the University of California, Santa Cruz. We believe that Dr. Ringold is qualified to serve on our board of directors due to his significant life science industry experience, including as a chief executive officer, and service on other boards of directors of publicly-traded life sciences companies.</w:t>
      </w:r>
    </w:p>
    <w:p>
      <w:pPr>
        <w:spacing w:after="0" w:line="174" w:lineRule="exact"/>
        <w:rPr>
          <w:sz w:val="20"/>
          <w:szCs w:val="20"/>
          <w:color w:val="auto"/>
        </w:rPr>
      </w:pPr>
    </w:p>
    <w:p>
      <w:pPr>
        <w:ind w:left="260" w:right="579"/>
        <w:spacing w:after="0" w:line="295" w:lineRule="auto"/>
        <w:rPr>
          <w:sz w:val="20"/>
          <w:szCs w:val="20"/>
          <w:color w:val="auto"/>
        </w:rPr>
      </w:pPr>
      <w:r>
        <w:rPr>
          <w:rFonts w:ascii="Arial" w:cs="Arial" w:eastAsia="Arial" w:hAnsi="Arial"/>
          <w:sz w:val="16"/>
          <w:szCs w:val="16"/>
          <w:b w:val="1"/>
          <w:bCs w:val="1"/>
          <w:color w:val="auto"/>
        </w:rPr>
        <w:t>Richard Rodgers</w:t>
      </w:r>
      <w:r>
        <w:rPr>
          <w:rFonts w:ascii="Arial" w:cs="Arial" w:eastAsia="Arial" w:hAnsi="Arial"/>
          <w:sz w:val="16"/>
          <w:szCs w:val="16"/>
          <w:color w:val="auto"/>
        </w:rPr>
        <w:t>, age 51, has served on our board of directors since March 2014. Mr. Rodgers co-founded</w:t>
      </w:r>
      <w:r>
        <w:rPr>
          <w:rFonts w:ascii="Arial" w:cs="Arial" w:eastAsia="Arial" w:hAnsi="Arial"/>
          <w:sz w:val="16"/>
          <w:szCs w:val="16"/>
          <w:b w:val="1"/>
          <w:bCs w:val="1"/>
          <w:color w:val="auto"/>
        </w:rPr>
        <w:t xml:space="preserve"> </w:t>
      </w:r>
      <w:r>
        <w:rPr>
          <w:rFonts w:ascii="Arial" w:cs="Arial" w:eastAsia="Arial" w:hAnsi="Arial"/>
          <w:sz w:val="16"/>
          <w:szCs w:val="16"/>
          <w:color w:val="auto"/>
        </w:rPr>
        <w:t>Tesaro, Inc. (Nasdaq: TSRO), and served as its Executive Vice President, Chief Financial Officer, Secretary and Treasurer from March 2010 until August 2013.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a pharmaceutical company, 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59"/>
        <w:spacing w:after="0" w:line="273" w:lineRule="auto"/>
        <w:rPr>
          <w:sz w:val="20"/>
          <w:szCs w:val="20"/>
          <w:color w:val="auto"/>
        </w:rPr>
      </w:pPr>
      <w:r>
        <w:rPr>
          <w:rFonts w:ascii="Arial" w:cs="Arial" w:eastAsia="Arial" w:hAnsi="Arial"/>
          <w:sz w:val="17"/>
          <w:szCs w:val="17"/>
          <w:color w:val="auto"/>
        </w:rPr>
        <w:t>January 2008. Mr. Rodgers has held finance and accounting positions at several private and public companies, including Arthur Anderson &amp; Co. Mr. Rodgers currently serves as a director of Rexahn Pharmaceuticals, Inc. (NYSE: RNN).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260" w:right="279"/>
        <w:spacing w:after="0" w:line="297" w:lineRule="auto"/>
        <w:rPr>
          <w:sz w:val="20"/>
          <w:szCs w:val="20"/>
          <w:color w:val="auto"/>
        </w:rPr>
      </w:pPr>
      <w:r>
        <w:rPr>
          <w:rFonts w:ascii="Arial" w:cs="Arial" w:eastAsia="Arial" w:hAnsi="Arial"/>
          <w:sz w:val="16"/>
          <w:szCs w:val="16"/>
          <w:color w:val="auto"/>
        </w:rPr>
        <w:t>The audit committee of our board of directors has selected Ernst &amp; Young LLP, or EY, as our independent registered public accounting firm for the year ending December 31, 2018, and is seeking ratification of such selection by our stockholders at the 2018 Annual Meeting. EY has audited our financial statements since the fiscal year ended December 31, 2014. Representatives of EY are expected to be present at the 2018 Annual Meeting. They will have an opportunity to make a statement if they so desire and will be available to respond to appropriate questions.</w:t>
      </w:r>
    </w:p>
    <w:p>
      <w:pPr>
        <w:spacing w:after="0" w:line="158" w:lineRule="exact"/>
        <w:rPr>
          <w:sz w:val="20"/>
          <w:szCs w:val="20"/>
          <w:color w:val="auto"/>
        </w:rPr>
      </w:pPr>
    </w:p>
    <w:p>
      <w:pPr>
        <w:ind w:left="260" w:right="299"/>
        <w:spacing w:after="0" w:line="293"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165" w:lineRule="exact"/>
        <w:rPr>
          <w:sz w:val="20"/>
          <w:szCs w:val="20"/>
          <w:color w:val="auto"/>
        </w:rPr>
      </w:pPr>
    </w:p>
    <w:p>
      <w:pPr>
        <w:ind w:left="260" w:right="899"/>
        <w:spacing w:after="0" w:line="277" w:lineRule="auto"/>
        <w:rPr>
          <w:sz w:val="20"/>
          <w:szCs w:val="20"/>
          <w:color w:val="auto"/>
        </w:rPr>
      </w:pPr>
      <w:r>
        <w:rPr>
          <w:rFonts w:ascii="Arial" w:cs="Arial" w:eastAsia="Arial" w:hAnsi="Arial"/>
          <w:sz w:val="18"/>
          <w:szCs w:val="18"/>
          <w:color w:val="auto"/>
        </w:rPr>
        <w:t>The affirmative vote of a majority of the shares cast at the 2018 Annual Meeting will be required to ratify the selection of EY.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PROPOSAL NO. 2.</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Audit and Related Fees</w:t>
      </w:r>
    </w:p>
    <w:p>
      <w:pPr>
        <w:spacing w:after="0" w:line="121" w:lineRule="exact"/>
        <w:rPr>
          <w:sz w:val="20"/>
          <w:szCs w:val="20"/>
          <w:color w:val="auto"/>
        </w:rPr>
      </w:pPr>
    </w:p>
    <w:p>
      <w:pPr>
        <w:ind w:left="260" w:right="639"/>
        <w:spacing w:after="0" w:line="277" w:lineRule="auto"/>
        <w:rPr>
          <w:sz w:val="20"/>
          <w:szCs w:val="20"/>
          <w:color w:val="auto"/>
        </w:rPr>
      </w:pPr>
      <w:r>
        <w:rPr>
          <w:rFonts w:ascii="Arial" w:cs="Arial" w:eastAsia="Arial" w:hAnsi="Arial"/>
          <w:sz w:val="18"/>
          <w:szCs w:val="18"/>
          <w:color w:val="auto"/>
        </w:rPr>
        <w:t>For the fiscal years ended December 31, 2017 and 2016, EY billed the approximate fees set forth below. All fees included below were approved by the audit committee.</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6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$ 875,268</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$721,240</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8"/>
                <w:szCs w:val="8"/>
                <w:color w:val="auto"/>
              </w:rPr>
              <w:t>(2)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r>
      <w:tr>
        <w:trPr>
          <w:trHeight w:val="217"/>
        </w:trPr>
        <w:tc>
          <w:tcPr>
            <w:tcW w:w="860" w:type="dxa"/>
            <w:vAlign w:val="bottom"/>
          </w:tcPr>
          <w:p>
            <w:pPr>
              <w:spacing w:after="0"/>
              <w:rPr>
                <w:sz w:val="18"/>
                <w:szCs w:val="18"/>
                <w:color w:val="auto"/>
              </w:rPr>
            </w:pPr>
          </w:p>
        </w:tc>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All Fees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$ 875,268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751,240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860" w:type="dxa"/>
            <w:vAlign w:val="bottom"/>
            <w:tcBorders>
              <w:bottom w:val="single" w:sz="8" w:color="auto"/>
            </w:tcBorders>
          </w:tcPr>
          <w:p>
            <w:pPr>
              <w:spacing w:after="0"/>
              <w:rPr>
                <w:sz w:val="9"/>
                <w:szCs w:val="9"/>
                <w:color w:val="auto"/>
              </w:rPr>
            </w:pPr>
          </w:p>
        </w:tc>
        <w:tc>
          <w:tcPr>
            <w:tcW w:w="4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4" w:lineRule="exact"/>
        <w:rPr>
          <w:sz w:val="20"/>
          <w:szCs w:val="20"/>
          <w:color w:val="auto"/>
        </w:rPr>
      </w:pPr>
    </w:p>
    <w:p>
      <w:pPr>
        <w:ind w:left="580" w:right="379" w:hanging="318"/>
        <w:spacing w:after="0" w:line="25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consists of fees for professional services rendered for the audit of our annual financial statements, review of interim financial statements, and other services that are normally provided by EY in connection with statutory and regulatory filings or engagements.</w:t>
      </w:r>
    </w:p>
    <w:p>
      <w:pPr>
        <w:ind w:left="580" w:right="519" w:hanging="318"/>
        <w:spacing w:after="0" w:line="261"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consists of fees for professional services rendered by EY for tax compliance, tax advice and tax planning.</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260" w:right="299"/>
        <w:spacing w:after="0" w:line="288" w:lineRule="auto"/>
        <w:rPr>
          <w:sz w:val="20"/>
          <w:szCs w:val="20"/>
          <w:color w:val="auto"/>
        </w:rPr>
      </w:pPr>
      <w:r>
        <w:rPr>
          <w:rFonts w:ascii="Arial" w:cs="Arial" w:eastAsia="Arial" w:hAnsi="Arial"/>
          <w:sz w:val="16"/>
          <w:szCs w:val="16"/>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http://ir.ardelyx.com/corporate-governance. The policy provides that before an independent registered public accounting firm is engaged by Ardelyx or its subsidiaries to render audit or non-audit services, the audit committee must review the terms of the proposed engagement and pre-approve the engagement. Audit committee pre-approval of audit and non-audit services is not required if the engagement for the services is entered into pursuant to the pre-approval policies and procedures established by the audit committee regarding Ardelyx’s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319"/>
        <w:spacing w:after="0" w:line="255" w:lineRule="auto"/>
        <w:rPr>
          <w:sz w:val="20"/>
          <w:szCs w:val="20"/>
          <w:color w:val="auto"/>
        </w:rPr>
      </w:pPr>
      <w:r>
        <w:rPr>
          <w:rFonts w:ascii="Arial" w:cs="Arial" w:eastAsia="Arial" w:hAnsi="Arial"/>
          <w:sz w:val="18"/>
          <w:szCs w:val="18"/>
          <w:color w:val="auto"/>
        </w:rPr>
        <w:t>under the Exchange Act to management. The audit committee may delegate to one or more designated members of the audit committee the authority to grant pre-approvals, provided such approvals are presented to the audit committee at a subsequent meeting. Audit committee pre-approval of non-audit services (other than review and attest services) also will not be required if such services fall within available exceptions established by the SEC. The audit committee has considered the role of EY in providing audit and audit-related services to the Company and has concluded that such services are compatible with EY’s role as the Company’s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260" w:right="839"/>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181" w:lineRule="exact"/>
        <w:rPr>
          <w:sz w:val="20"/>
          <w:szCs w:val="20"/>
          <w:color w:val="auto"/>
        </w:rPr>
      </w:pPr>
    </w:p>
    <w:p>
      <w:pPr>
        <w:jc w:val="both"/>
        <w:ind w:left="260" w:right="299"/>
        <w:spacing w:after="0" w:line="264" w:lineRule="auto"/>
        <w:rPr>
          <w:sz w:val="20"/>
          <w:szCs w:val="20"/>
          <w:color w:val="auto"/>
        </w:rPr>
      </w:pPr>
      <w:r>
        <w:rPr>
          <w:rFonts w:ascii="Arial" w:cs="Arial" w:eastAsia="Arial" w:hAnsi="Arial"/>
          <w:sz w:val="18"/>
          <w:szCs w:val="18"/>
          <w:color w:val="auto"/>
        </w:rPr>
        <w:t>The primary purpose of the audit committee is to oversee our financial reporting processes on behalf of our board of directors. The audit committee’s functions are more fully described in its charter, which is available on our website at http://ir.ardelyx.com/corporate-governance.</w:t>
      </w:r>
    </w:p>
    <w:p>
      <w:pPr>
        <w:spacing w:after="0" w:line="181" w:lineRule="exact"/>
        <w:rPr>
          <w:sz w:val="20"/>
          <w:szCs w:val="20"/>
          <w:color w:val="auto"/>
        </w:rPr>
      </w:pPr>
    </w:p>
    <w:p>
      <w:pPr>
        <w:ind w:left="260" w:right="299"/>
        <w:spacing w:after="0" w:line="289" w:lineRule="auto"/>
        <w:rPr>
          <w:sz w:val="20"/>
          <w:szCs w:val="20"/>
          <w:color w:val="auto"/>
        </w:rPr>
      </w:pPr>
      <w:r>
        <w:rPr>
          <w:rFonts w:ascii="Arial" w:cs="Arial" w:eastAsia="Arial" w:hAnsi="Arial"/>
          <w:sz w:val="16"/>
          <w:szCs w:val="16"/>
          <w:color w:val="auto"/>
        </w:rPr>
        <w:t>In fulfilling its oversight responsibilities, the audit committee reviewed and discussed with management the Company’s audited consolidated financial statements for the fiscal year ended December 31, 2017. The audit committee has discussed with Ernst &amp; Young LLP, or EY, the Company’s independent registered public accounting firm, the matters required to be discussed by Auditing Standard No. 1301, “Communications with Audit Committees,” issued by the Public Company Accounting Oversight Board, or PCAOB. In addition, the audit committee has discussed with EY their independence, and received from EY the written disclosures and the letter required by PCAOB Ethics and Independence Rule 3526, “Communication with Audit Committees Concerning Independence.” Finally, the audit committee discussed with EY, with and without management present, the scope and results of EY’s audit of the consolidated financial statements for the fiscal year ended December 31, 2017.</w:t>
      </w:r>
    </w:p>
    <w:p>
      <w:pPr>
        <w:spacing w:after="0" w:line="167" w:lineRule="exact"/>
        <w:rPr>
          <w:sz w:val="20"/>
          <w:szCs w:val="20"/>
          <w:color w:val="auto"/>
        </w:rPr>
      </w:pPr>
    </w:p>
    <w:p>
      <w:pPr>
        <w:ind w:left="260" w:right="539"/>
        <w:spacing w:after="0" w:line="221" w:lineRule="exact"/>
        <w:rPr>
          <w:sz w:val="20"/>
          <w:szCs w:val="20"/>
          <w:color w:val="auto"/>
        </w:rPr>
      </w:pPr>
      <w:r>
        <w:rPr>
          <w:rFonts w:ascii="Arial" w:cs="Arial" w:eastAsia="Arial" w:hAnsi="Arial"/>
          <w:sz w:val="18"/>
          <w:szCs w:val="18"/>
          <w:color w:val="auto"/>
        </w:rPr>
        <w:t>Based on these reviews and discussions, the audit committee has recommended to our board of directors that such audited consolidated financial statements be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for filing with the SEC.</w:t>
      </w:r>
    </w:p>
    <w:p>
      <w:pPr>
        <w:spacing w:after="0" w:line="19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Richard Rodgers, Chair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Annalisa Jenkins, MBBS, FRCP</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William Bertrand, Jr., Esq.</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60" w:right="339"/>
        <w:spacing w:after="0" w:line="302" w:lineRule="auto"/>
        <w:rPr>
          <w:sz w:val="20"/>
          <w:szCs w:val="20"/>
          <w:color w:val="auto"/>
        </w:rPr>
      </w:pPr>
      <w:r>
        <w:rPr>
          <w:rFonts w:ascii="Arial" w:cs="Arial" w:eastAsia="Arial" w:hAnsi="Arial"/>
          <w:sz w:val="16"/>
          <w:szCs w:val="16"/>
          <w:color w:val="auto"/>
        </w:rPr>
        <w:t>Our board of directors currently consists of eight members. Our board of directors has determined that all of our directors, as well as each individual nominated by our board of directors for election to our board of directors at the 2018 Annual Meeting, other than Mr. Raab, qualify as “independent” directors in accordance with the Nasdaq listing requirements. Mr. Raab is not considered independent because he is an employee of our company.</w:t>
      </w:r>
    </w:p>
    <w:p>
      <w:pPr>
        <w:spacing w:after="0" w:line="154" w:lineRule="exact"/>
        <w:rPr>
          <w:sz w:val="20"/>
          <w:szCs w:val="20"/>
          <w:color w:val="auto"/>
        </w:rPr>
      </w:pPr>
    </w:p>
    <w:p>
      <w:pPr>
        <w:ind w:left="260" w:right="279"/>
        <w:spacing w:after="0" w:line="289" w:lineRule="auto"/>
        <w:rPr>
          <w:sz w:val="20"/>
          <w:szCs w:val="20"/>
          <w:color w:val="auto"/>
        </w:rPr>
      </w:pPr>
      <w:r>
        <w:rPr>
          <w:rFonts w:ascii="Arial" w:cs="Arial" w:eastAsia="Arial" w:hAnsi="Arial"/>
          <w:sz w:val="16"/>
          <w:szCs w:val="16"/>
          <w:color w:val="auto"/>
        </w:rPr>
        <w:t>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167" w:lineRule="exact"/>
        <w:rPr>
          <w:sz w:val="20"/>
          <w:szCs w:val="20"/>
          <w:color w:val="auto"/>
        </w:rPr>
      </w:pPr>
    </w:p>
    <w:p>
      <w:pPr>
        <w:ind w:left="260" w:right="559"/>
        <w:spacing w:after="0" w:line="259" w:lineRule="auto"/>
        <w:rPr>
          <w:sz w:val="20"/>
          <w:szCs w:val="20"/>
          <w:color w:val="auto"/>
        </w:rPr>
      </w:pPr>
      <w:r>
        <w:rPr>
          <w:rFonts w:ascii="Arial" w:cs="Arial" w:eastAsia="Arial" w:hAnsi="Arial"/>
          <w:sz w:val="18"/>
          <w:szCs w:val="18"/>
          <w:color w:val="auto"/>
        </w:rPr>
        <w:t>As described more fully below, the board of directors has also determined that each current member of the compensation committee, the audit committee and the nominating and corporate governance committee meets the independence standards applicable to those committees prescribed by Nasdaq, the SEC, and the Internal Revenue Service.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60" w:right="39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left="260" w:right="279"/>
        <w:spacing w:after="0" w:line="273" w:lineRule="auto"/>
        <w:rPr>
          <w:sz w:val="20"/>
          <w:szCs w:val="20"/>
          <w:color w:val="auto"/>
        </w:rPr>
      </w:pPr>
      <w:r>
        <w:rPr>
          <w:rFonts w:ascii="Arial" w:cs="Arial" w:eastAsia="Arial" w:hAnsi="Arial"/>
          <w:sz w:val="17"/>
          <w:szCs w:val="17"/>
          <w:color w:val="auto"/>
        </w:rPr>
        <w:t>Our amended and restated bylaws and corporate governance guidelines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Mott currently serves as the Chairman of the Board. In that role, Mr. Mott presides over the executive sessions of the board of directors in which Mr. Raab does not participate and serves as a liaison to Mr. Raab and management on behalf of the board of directors.</w:t>
      </w:r>
    </w:p>
    <w:p>
      <w:pPr>
        <w:spacing w:after="0" w:line="178" w:lineRule="exact"/>
        <w:rPr>
          <w:sz w:val="20"/>
          <w:szCs w:val="20"/>
          <w:color w:val="auto"/>
        </w:rPr>
      </w:pPr>
    </w:p>
    <w:p>
      <w:pPr>
        <w:jc w:val="both"/>
        <w:ind w:left="260" w:right="519"/>
        <w:spacing w:after="0" w:line="264"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260" w:right="339"/>
        <w:spacing w:after="0" w:line="293"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639"/>
        <w:spacing w:after="0" w:line="277" w:lineRule="auto"/>
        <w:rPr>
          <w:sz w:val="20"/>
          <w:szCs w:val="20"/>
          <w:color w:val="auto"/>
        </w:rPr>
      </w:pPr>
      <w:r>
        <w:rPr>
          <w:rFonts w:ascii="Arial" w:cs="Arial" w:eastAsia="Arial" w:hAnsi="Arial"/>
          <w:sz w:val="18"/>
          <w:szCs w:val="18"/>
          <w:color w:val="auto"/>
        </w:rPr>
        <w:t>particular business functions, operations or strategies, and presents the steps taken by management to mitigate or eliminate such risks.</w:t>
      </w:r>
    </w:p>
    <w:p>
      <w:pPr>
        <w:spacing w:after="0" w:line="170" w:lineRule="exact"/>
        <w:rPr>
          <w:sz w:val="20"/>
          <w:szCs w:val="20"/>
          <w:color w:val="auto"/>
        </w:rPr>
      </w:pPr>
    </w:p>
    <w:p>
      <w:pPr>
        <w:ind w:left="260" w:right="259"/>
        <w:spacing w:after="0" w:line="289"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121" w:lineRule="exact"/>
        <w:rPr>
          <w:sz w:val="20"/>
          <w:szCs w:val="20"/>
          <w:color w:val="auto"/>
        </w:rPr>
      </w:pPr>
    </w:p>
    <w:p>
      <w:pPr>
        <w:ind w:left="260" w:right="479"/>
        <w:spacing w:after="0" w:line="293" w:lineRule="auto"/>
        <w:rPr>
          <w:sz w:val="20"/>
          <w:szCs w:val="20"/>
          <w:color w:val="auto"/>
        </w:rPr>
      </w:pPr>
      <w:r>
        <w:rPr>
          <w:rFonts w:ascii="Arial" w:cs="Arial" w:eastAsia="Arial" w:hAnsi="Arial"/>
          <w:sz w:val="16"/>
          <w:szCs w:val="16"/>
          <w:color w:val="auto"/>
        </w:rPr>
        <w:t>During 2017, the board of directors met thirteen times, the audit committee met four times, the compensation committee met four times and the nominating and corporate governance committee met twice. In that year, each director attended at least 75% of the aggregate number of meetings of the board of directors and the committees on which he or she served, with the exception of Annalisa Jenkins who attended fourteen of the nineteen board of directors and committee meetings held. As required under Nasdaq rules and regulations, our independent directors meet in regularly scheduled executive sessions at which only independent directors are present.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60" w:right="559"/>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62" w:lineRule="exact"/>
        <w:rPr>
          <w:sz w:val="20"/>
          <w:szCs w:val="20"/>
          <w:color w:val="auto"/>
        </w:rPr>
      </w:pPr>
    </w:p>
    <w:p>
      <w:pPr>
        <w:ind w:left="1100" w:hanging="32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1100" w:right="1099" w:hanging="324"/>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62" w:lineRule="exact"/>
        <w:rPr>
          <w:rFonts w:ascii="Arial" w:cs="Arial" w:eastAsia="Arial" w:hAnsi="Arial"/>
          <w:sz w:val="18"/>
          <w:szCs w:val="18"/>
          <w:color w:val="auto"/>
        </w:rPr>
      </w:pPr>
    </w:p>
    <w:p>
      <w:pPr>
        <w:ind w:left="1100" w:hanging="32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17" w:lineRule="exact"/>
        <w:rPr>
          <w:rFonts w:ascii="Arial" w:cs="Arial" w:eastAsia="Arial" w:hAnsi="Arial"/>
          <w:sz w:val="18"/>
          <w:szCs w:val="18"/>
          <w:color w:val="auto"/>
        </w:rPr>
      </w:pPr>
    </w:p>
    <w:p>
      <w:pPr>
        <w:ind w:left="1100" w:hanging="32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117" w:lineRule="exact"/>
        <w:rPr>
          <w:rFonts w:ascii="Arial" w:cs="Arial" w:eastAsia="Arial" w:hAnsi="Arial"/>
          <w:sz w:val="18"/>
          <w:szCs w:val="18"/>
          <w:color w:val="auto"/>
        </w:rPr>
      </w:pPr>
    </w:p>
    <w:p>
      <w:pPr>
        <w:ind w:left="1100" w:right="739" w:hanging="324"/>
        <w:spacing w:after="0" w:line="30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discusses with management and the independent registered public accounting firm the results of the annual audit and the review of our quarterly consolidated financial statements;</w:t>
      </w:r>
    </w:p>
    <w:p>
      <w:pPr>
        <w:spacing w:after="0" w:line="38" w:lineRule="exact"/>
        <w:rPr>
          <w:rFonts w:ascii="Arial" w:cs="Arial" w:eastAsia="Arial" w:hAnsi="Arial"/>
          <w:sz w:val="17"/>
          <w:szCs w:val="17"/>
          <w:color w:val="auto"/>
        </w:rPr>
      </w:pPr>
    </w:p>
    <w:p>
      <w:pPr>
        <w:ind w:left="1100" w:right="679" w:hanging="324"/>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audit and non-audit services;</w:t>
      </w:r>
    </w:p>
    <w:p>
      <w:pPr>
        <w:spacing w:after="0" w:line="62" w:lineRule="exact"/>
        <w:rPr>
          <w:rFonts w:ascii="Arial" w:cs="Arial" w:eastAsia="Arial" w:hAnsi="Arial"/>
          <w:sz w:val="18"/>
          <w:szCs w:val="18"/>
          <w:color w:val="auto"/>
        </w:rPr>
      </w:pPr>
    </w:p>
    <w:p>
      <w:pPr>
        <w:ind w:left="1100" w:right="339" w:hanging="324"/>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as required by law;</w:t>
      </w:r>
    </w:p>
    <w:p>
      <w:pPr>
        <w:spacing w:after="0" w:line="62" w:lineRule="exact"/>
        <w:rPr>
          <w:rFonts w:ascii="Arial" w:cs="Arial" w:eastAsia="Arial" w:hAnsi="Arial"/>
          <w:sz w:val="18"/>
          <w:szCs w:val="18"/>
          <w:color w:val="auto"/>
        </w:rPr>
      </w:pPr>
    </w:p>
    <w:p>
      <w:pPr>
        <w:ind w:left="1100" w:right="339" w:hanging="324"/>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responsible for reviewing our consolidated financial statements and our management’s discussion and analysis of financial condition and results of operations to be included in our annual and quarterly reports to be filed with the SEC;</w:t>
      </w:r>
    </w:p>
    <w:p>
      <w:pPr>
        <w:spacing w:after="0" w:line="73" w:lineRule="exact"/>
        <w:rPr>
          <w:rFonts w:ascii="Arial" w:cs="Arial" w:eastAsia="Arial" w:hAnsi="Arial"/>
          <w:sz w:val="18"/>
          <w:szCs w:val="18"/>
          <w:color w:val="auto"/>
        </w:rPr>
      </w:pPr>
    </w:p>
    <w:p>
      <w:pPr>
        <w:ind w:left="1100" w:hanging="32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117" w:lineRule="exact"/>
        <w:rPr>
          <w:rFonts w:ascii="Arial" w:cs="Arial" w:eastAsia="Arial" w:hAnsi="Arial"/>
          <w:sz w:val="18"/>
          <w:szCs w:val="18"/>
          <w:color w:val="auto"/>
        </w:rPr>
      </w:pPr>
    </w:p>
    <w:p>
      <w:pPr>
        <w:ind w:left="1100" w:hanging="32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w:t>
      </w:r>
    </w:p>
    <w:p>
      <w:pPr>
        <w:spacing w:after="0" w:line="225" w:lineRule="exact"/>
        <w:rPr>
          <w:sz w:val="20"/>
          <w:szCs w:val="20"/>
          <w:color w:val="auto"/>
        </w:rPr>
      </w:pPr>
    </w:p>
    <w:p>
      <w:pPr>
        <w:ind w:left="260" w:right="399"/>
        <w:spacing w:after="0" w:line="308" w:lineRule="auto"/>
        <w:rPr>
          <w:sz w:val="20"/>
          <w:szCs w:val="20"/>
          <w:color w:val="auto"/>
        </w:rPr>
      </w:pPr>
      <w:r>
        <w:rPr>
          <w:rFonts w:ascii="Arial" w:cs="Arial" w:eastAsia="Arial" w:hAnsi="Arial"/>
          <w:sz w:val="17"/>
          <w:szCs w:val="17"/>
          <w:color w:val="auto"/>
        </w:rPr>
        <w:t>The current members of our audit committee are Messrs. Rodgers and Bertrand and Dr. Jenkins. Mr. Rodgers serves as the chairperson of the committee. Each of the members of our audit committee during 2017 met, and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59"/>
        <w:spacing w:after="0" w:line="269" w:lineRule="auto"/>
        <w:rPr>
          <w:sz w:val="20"/>
          <w:szCs w:val="20"/>
          <w:color w:val="auto"/>
        </w:rPr>
      </w:pPr>
      <w:r>
        <w:rPr>
          <w:rFonts w:ascii="Arial" w:cs="Arial" w:eastAsia="Arial" w:hAnsi="Arial"/>
          <w:sz w:val="17"/>
          <w:szCs w:val="17"/>
          <w:color w:val="auto"/>
        </w:rPr>
        <w:t>each of the current members of our audit committee, meets or will meet,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committee during 2017 was, and each of the current members of our audit committee is or will be an “independent director”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http://ir.ardelyx.com/corporate-governance.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60" w:right="279"/>
        <w:spacing w:after="0" w:line="268" w:lineRule="auto"/>
        <w:rPr>
          <w:sz w:val="20"/>
          <w:szCs w:val="20"/>
          <w:color w:val="auto"/>
        </w:rPr>
      </w:pPr>
      <w:r>
        <w:rPr>
          <w:rFonts w:ascii="Arial" w:cs="Arial" w:eastAsia="Arial" w:hAnsi="Arial"/>
          <w:sz w:val="17"/>
          <w:szCs w:val="17"/>
          <w:color w:val="auto"/>
        </w:rPr>
        <w:t>Our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board of directors retains the authority to determine and approve, upon the recommendation of the compensation committee, the compensation of the Chief Executive Officer. Our executive officers submit proposals to the board of director and compensation committee regarding our executive and director compensation. The compensation committee also approves grants of stock options and other awards under our stock plans. The compensation committee has delegated authority to the Chief Executive Officer to grant stock options to purchase shares of common stock to existing and new non-senior management team employees, with such individual grants to be consistent with equity grant guidelines provided by our compensation consultant and approved by the compensation committee. The compensation committee will review and evaluate, at least annually, the performance of the compensation committee and its members, including compliance of the compensation committee with its charter.</w:t>
      </w:r>
    </w:p>
    <w:p>
      <w:pPr>
        <w:spacing w:after="0" w:line="185" w:lineRule="exact"/>
        <w:rPr>
          <w:sz w:val="20"/>
          <w:szCs w:val="20"/>
          <w:color w:val="auto"/>
        </w:rPr>
      </w:pPr>
    </w:p>
    <w:p>
      <w:pPr>
        <w:ind w:left="260" w:right="379"/>
        <w:spacing w:after="0" w:line="217" w:lineRule="exact"/>
        <w:rPr>
          <w:sz w:val="20"/>
          <w:szCs w:val="20"/>
          <w:color w:val="auto"/>
        </w:rPr>
      </w:pPr>
      <w:r>
        <w:rPr>
          <w:rFonts w:ascii="Arial" w:cs="Arial" w:eastAsia="Arial" w:hAnsi="Arial"/>
          <w:sz w:val="17"/>
          <w:szCs w:val="17"/>
          <w:color w:val="auto"/>
        </w:rPr>
        <w:t>In 2017, the compensation committee consisted of Messrs. Mott, Bazemore and Rodgers and Dr. Ringold. In March 2018, Dr. Ringold stepped down from the compensation committee and we appointed Dr. Lundberg as his successor. The current members of our compensation committee are Messrs. Mott, Bazemore and Rodgers and Dr. Lundberg. Mr. Mott serves as the chairman of the committee. Each of the members of our compensation committee during 2017 was, and each of the current members of our compensation committee, is or will be, an “independent director” under the applicable rules and regulations of The Nasdaq Global Market, a “non</w:t>
      </w:r>
      <w:r>
        <w:rPr>
          <w:rFonts w:ascii="MS PGothic" w:cs="MS PGothic" w:eastAsia="MS PGothic" w:hAnsi="MS PGothic"/>
          <w:sz w:val="17"/>
          <w:szCs w:val="17"/>
          <w:color w:val="auto"/>
        </w:rPr>
        <w:t>‑</w:t>
      </w:r>
      <w:r>
        <w:rPr>
          <w:rFonts w:ascii="Arial" w:cs="Arial" w:eastAsia="Arial" w:hAnsi="Arial"/>
          <w:sz w:val="17"/>
          <w:szCs w:val="17"/>
          <w:color w:val="auto"/>
        </w:rPr>
        <w:t>employee director” as defined in Rule 16b</w:t>
      </w:r>
      <w:r>
        <w:rPr>
          <w:rFonts w:ascii="MS PGothic" w:cs="MS PGothic" w:eastAsia="MS PGothic" w:hAnsi="MS PGothic"/>
          <w:sz w:val="17"/>
          <w:szCs w:val="17"/>
          <w:color w:val="auto"/>
        </w:rPr>
        <w:t>‑</w:t>
      </w:r>
      <w:r>
        <w:rPr>
          <w:rFonts w:ascii="Arial" w:cs="Arial" w:eastAsia="Arial" w:hAnsi="Arial"/>
          <w:sz w:val="17"/>
          <w:szCs w:val="17"/>
          <w:color w:val="auto"/>
        </w:rPr>
        <w:t>3 promulgated under the Exchange Act and an “outside director” as that term is defined in Section 162(m) of the U.S. Internal Revenue Code of 1986, as amended, or Section 162(m).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210" w:lineRule="exact"/>
        <w:rPr>
          <w:sz w:val="20"/>
          <w:szCs w:val="20"/>
          <w:color w:val="auto"/>
        </w:rPr>
      </w:pPr>
    </w:p>
    <w:p>
      <w:pPr>
        <w:ind w:left="260" w:right="279"/>
        <w:spacing w:after="0" w:line="269" w:lineRule="auto"/>
        <w:rPr>
          <w:sz w:val="20"/>
          <w:szCs w:val="20"/>
          <w:color w:val="auto"/>
        </w:rPr>
      </w:pPr>
      <w:r>
        <w:rPr>
          <w:rFonts w:ascii="Arial" w:cs="Arial" w:eastAsia="Arial" w:hAnsi="Arial"/>
          <w:sz w:val="17"/>
          <w:szCs w:val="17"/>
          <w:color w:val="auto"/>
        </w:rPr>
        <w:t>For fiscal year 2017,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619"/>
        <w:spacing w:after="0" w:line="277" w:lineRule="auto"/>
        <w:rPr>
          <w:sz w:val="20"/>
          <w:szCs w:val="20"/>
          <w:color w:val="auto"/>
        </w:rPr>
      </w:pPr>
      <w:r>
        <w:rPr>
          <w:rFonts w:ascii="Arial" w:cs="Arial" w:eastAsia="Arial" w:hAnsi="Arial"/>
          <w:sz w:val="18"/>
          <w:szCs w:val="18"/>
          <w:color w:val="auto"/>
        </w:rPr>
        <w:t>outside legal counsel, considering the same independence factors and concluded their work for the compensation committee does not raise any conflicts of interest.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60" w:right="359"/>
        <w:spacing w:after="0" w:line="273" w:lineRule="auto"/>
        <w:rPr>
          <w:sz w:val="20"/>
          <w:szCs w:val="20"/>
          <w:color w:val="auto"/>
        </w:rPr>
      </w:pPr>
      <w:r>
        <w:rPr>
          <w:rFonts w:ascii="Arial" w:cs="Arial" w:eastAsia="Arial" w:hAnsi="Arial"/>
          <w:sz w:val="17"/>
          <w:szCs w:val="17"/>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Drs. Ringold and Jenkins and Mr. Mott. Dr. Ringold serves as the chairman of the committee.</w:t>
      </w:r>
    </w:p>
    <w:p>
      <w:pPr>
        <w:spacing w:after="0" w:line="178" w:lineRule="exact"/>
        <w:rPr>
          <w:sz w:val="20"/>
          <w:szCs w:val="20"/>
          <w:color w:val="auto"/>
        </w:rPr>
      </w:pPr>
    </w:p>
    <w:p>
      <w:pPr>
        <w:ind w:left="260" w:right="259"/>
        <w:spacing w:after="0" w:line="271" w:lineRule="auto"/>
        <w:rPr>
          <w:sz w:val="20"/>
          <w:szCs w:val="20"/>
          <w:color w:val="auto"/>
        </w:rPr>
      </w:pPr>
      <w:r>
        <w:rPr>
          <w:rFonts w:ascii="Arial" w:cs="Arial" w:eastAsia="Arial" w:hAnsi="Arial"/>
          <w:sz w:val="17"/>
          <w:szCs w:val="17"/>
          <w:color w:val="auto"/>
        </w:rPr>
        <w:t>Each of the members of our nominating and corporate governance committee during 2017 was, and each of the current members of our nominating and corporate governance committee is, an “independent director” under the applicable rules and regulations of Nasdaq relating to nominating and corporate governance committee independence. Following the 2018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260" w:right="419"/>
        <w:spacing w:after="0" w:line="273" w:lineRule="auto"/>
        <w:rPr>
          <w:sz w:val="20"/>
          <w:szCs w:val="20"/>
          <w:color w:val="auto"/>
        </w:rPr>
      </w:pPr>
      <w:r>
        <w:rPr>
          <w:rFonts w:ascii="Arial" w:cs="Arial" w:eastAsia="Arial" w:hAnsi="Arial"/>
          <w:sz w:val="17"/>
          <w:szCs w:val="17"/>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70" w:lineRule="exact"/>
        <w:rPr>
          <w:sz w:val="20"/>
          <w:szCs w:val="20"/>
          <w:color w:val="auto"/>
        </w:rPr>
      </w:pPr>
    </w:p>
    <w:p>
      <w:pPr>
        <w:ind w:left="1100" w:hanging="32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1100" w:hanging="32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1100" w:right="579" w:hanging="32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62" w:lineRule="exact"/>
        <w:rPr>
          <w:rFonts w:ascii="Arial" w:cs="Arial" w:eastAsia="Arial" w:hAnsi="Arial"/>
          <w:sz w:val="18"/>
          <w:szCs w:val="18"/>
          <w:color w:val="auto"/>
        </w:rPr>
      </w:pPr>
    </w:p>
    <w:p>
      <w:pPr>
        <w:ind w:left="1100" w:hanging="32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117" w:lineRule="exact"/>
        <w:rPr>
          <w:rFonts w:ascii="Arial" w:cs="Arial" w:eastAsia="Arial" w:hAnsi="Arial"/>
          <w:sz w:val="18"/>
          <w:szCs w:val="18"/>
          <w:color w:val="auto"/>
        </w:rPr>
      </w:pPr>
    </w:p>
    <w:p>
      <w:pPr>
        <w:ind w:left="1100" w:hanging="32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117" w:lineRule="exact"/>
        <w:rPr>
          <w:rFonts w:ascii="Arial" w:cs="Arial" w:eastAsia="Arial" w:hAnsi="Arial"/>
          <w:sz w:val="18"/>
          <w:szCs w:val="18"/>
          <w:color w:val="auto"/>
        </w:rPr>
      </w:pPr>
    </w:p>
    <w:p>
      <w:pPr>
        <w:ind w:left="1100" w:right="579" w:hanging="32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62" w:lineRule="exact"/>
        <w:rPr>
          <w:rFonts w:ascii="Arial" w:cs="Arial" w:eastAsia="Arial" w:hAnsi="Arial"/>
          <w:sz w:val="18"/>
          <w:szCs w:val="18"/>
          <w:color w:val="auto"/>
        </w:rPr>
      </w:pPr>
    </w:p>
    <w:p>
      <w:pPr>
        <w:ind w:left="1100" w:hanging="32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1100" w:hanging="32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25" w:lineRule="exact"/>
        <w:rPr>
          <w:sz w:val="20"/>
          <w:szCs w:val="20"/>
          <w:color w:val="auto"/>
        </w:rPr>
      </w:pPr>
    </w:p>
    <w:p>
      <w:pPr>
        <w:ind w:left="260" w:right="259"/>
        <w:spacing w:after="0" w:line="271" w:lineRule="auto"/>
        <w:rPr>
          <w:sz w:val="20"/>
          <w:szCs w:val="20"/>
          <w:color w:val="auto"/>
        </w:rPr>
      </w:pPr>
      <w:r>
        <w:rPr>
          <w:rFonts w:ascii="Arial" w:cs="Arial" w:eastAsia="Arial" w:hAnsi="Arial"/>
          <w:sz w:val="17"/>
          <w:szCs w:val="17"/>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At this time, our nominating and corporate governance committee does not have a policy with regard to the consideration of director candidates recommended by our stockholders, but expects to adopt such a policy in the future. Until such a policy is adopted, our board of directors and nominating and corporate governance committee will consider candidates recommended by our stockholders on a case-by-case basis. Stockholders wishing to recommend a candidate for membership on our board of directors for the next fiscal year should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359"/>
        <w:spacing w:after="0" w:line="308" w:lineRule="auto"/>
        <w:rPr>
          <w:sz w:val="20"/>
          <w:szCs w:val="20"/>
          <w:color w:val="auto"/>
        </w:rPr>
      </w:pPr>
      <w:r>
        <w:rPr>
          <w:rFonts w:ascii="Arial" w:cs="Arial" w:eastAsia="Arial" w:hAnsi="Arial"/>
          <w:sz w:val="17"/>
          <w:szCs w:val="17"/>
          <w:color w:val="auto"/>
        </w:rPr>
        <w:t>follow the procedures described in this proxy statement under the headings “When are stockholder proposals due for next year’s annual meeting?” and “Stockholder Communications with the Board of Directors.”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60" w:right="259"/>
        <w:spacing w:after="0" w:line="297"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The reference to our web address does not constitute incorporation by reference of the information contained at or available through our website.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left="260" w:right="279"/>
        <w:spacing w:after="0" w:line="286" w:lineRule="auto"/>
        <w:rPr>
          <w:sz w:val="20"/>
          <w:szCs w:val="20"/>
          <w:color w:val="auto"/>
        </w:rPr>
      </w:pPr>
      <w:r>
        <w:rPr>
          <w:rFonts w:ascii="Arial" w:cs="Arial" w:eastAsia="Arial" w:hAnsi="Arial"/>
          <w:sz w:val="17"/>
          <w:szCs w:val="17"/>
          <w:color w:val="auto"/>
        </w:rPr>
        <w:t>Our board of directors has a policy of encouraging director attendance at our annual meetings of stockholders, but attendance is not mandatory. Our board of directors and management team encourage all of our directors to attend the 2018 Annual Meeting. All of our directors attended our 2017 annual meeting of stockholders.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left="260" w:right="439"/>
        <w:spacing w:after="0" w:line="259" w:lineRule="auto"/>
        <w:rPr>
          <w:sz w:val="20"/>
          <w:szCs w:val="20"/>
          <w:color w:val="auto"/>
        </w:rPr>
      </w:pPr>
      <w:r>
        <w:rPr>
          <w:rFonts w:ascii="Arial" w:cs="Arial" w:eastAsia="Arial" w:hAnsi="Arial"/>
          <w:sz w:val="18"/>
          <w:szCs w:val="18"/>
          <w:color w:val="auto"/>
        </w:rPr>
        <w:t>A stockholder may communicate with the board of directors, or an individual director, by sending written correspondence to the Company’s General Counsel at Ardelyx, Inc., 34175 Ardenwood Blvd., Fremont, CA 94555. The General Counsel will review such correspondence and forward it to the board of directors, or an individual director, as appropriate.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60" w:right="279"/>
        <w:spacing w:after="0" w:line="257" w:lineRule="auto"/>
        <w:rPr>
          <w:sz w:val="20"/>
          <w:szCs w:val="20"/>
          <w:color w:val="auto"/>
        </w:rPr>
      </w:pPr>
      <w:r>
        <w:rPr>
          <w:rFonts w:ascii="Arial" w:cs="Arial" w:eastAsia="Arial" w:hAnsi="Arial"/>
          <w:sz w:val="18"/>
          <w:szCs w:val="18"/>
          <w:color w:val="auto"/>
        </w:rPr>
        <w:t>During 2017, Messrs. Mott, Bazemore and Rodgers and Dr. Ringold served as members of our compensation committee. None of Messrs. Mott, Bazemore and Rodgers and Dr. Ringold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60" w:right="319"/>
        <w:spacing w:after="0" w:line="302" w:lineRule="auto"/>
        <w:rPr>
          <w:sz w:val="20"/>
          <w:szCs w:val="20"/>
          <w:color w:val="auto"/>
        </w:rPr>
      </w:pPr>
      <w:r>
        <w:rPr>
          <w:rFonts w:ascii="Arial" w:cs="Arial" w:eastAsia="Arial" w:hAnsi="Arial"/>
          <w:sz w:val="16"/>
          <w:szCs w:val="16"/>
          <w:color w:val="auto"/>
        </w:rPr>
        <w:t>The following is a description of transactions either entered into since January 1, 2017 or entered into prior to January 1, 2017 which have continuing obligations and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21" w:lineRule="exact"/>
        <w:rPr>
          <w:sz w:val="20"/>
          <w:szCs w:val="20"/>
          <w:color w:val="auto"/>
        </w:rPr>
      </w:pPr>
    </w:p>
    <w:p>
      <w:pPr>
        <w:ind w:left="260" w:right="299"/>
        <w:spacing w:after="0" w:line="297"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left="260" w:right="479"/>
        <w:spacing w:after="0" w:line="272" w:lineRule="auto"/>
        <w:rPr>
          <w:sz w:val="20"/>
          <w:szCs w:val="20"/>
          <w:color w:val="auto"/>
        </w:rPr>
      </w:pPr>
      <w:r>
        <w:rPr>
          <w:rFonts w:ascii="Arial" w:cs="Arial" w:eastAsia="Arial" w:hAnsi="Arial"/>
          <w:sz w:val="17"/>
          <w:szCs w:val="17"/>
          <w:color w:val="auto"/>
        </w:rPr>
        <w:t>In 2011, we entered into an amended and restated investor rights agreement with the purchasers of our convertible preferred stock and certain holders of common stock and warrants to purchase our convertible preferred stock, including entities with which one of our directors is affiliated. All of our convertible preferred stock converted into common stock in connection with our initial public offering in 2014, and the warrants to purchase convertible preferred stock were net exercised at such time. As of March 31, 2018, the holders of approximately 5.6 million shares of our common stock continue to be entitled to rights pursuant to the amended and restated investor rights agreement to the registration of their shares under the Securities Act.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260" w:right="259"/>
        <w:spacing w:after="0" w:line="269"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260" w:right="299"/>
        <w:spacing w:after="0" w:line="287" w:lineRule="auto"/>
        <w:rPr>
          <w:sz w:val="20"/>
          <w:szCs w:val="20"/>
          <w:color w:val="auto"/>
        </w:rPr>
      </w:pPr>
      <w:r>
        <w:rPr>
          <w:rFonts w:ascii="Arial" w:cs="Arial" w:eastAsia="Arial" w:hAnsi="Arial"/>
          <w:sz w:val="16"/>
          <w:szCs w:val="16"/>
          <w:color w:val="auto"/>
        </w:rPr>
        <w:t>Our board of directors has approved a compensation policy for our non-employee directors, or the Director Compensation Program, which is periodically reviewed with consultation and recommendations provided by Pearl Meyer. Pursuant to the Director Compensation Program, we do not pay director fees to directors who are employees and for 2017 our non-employee directors received an annual retainer of $40,000. Any non-employee Chairman will receive an additional annual cash retainer in the amount of $25,000 per year. Non-employee directors receive additional annual retainers of $10,000 for serving on the audit committee (or $20,000 for serving as the chair of the audit committee), $7,500 for serving on the compensation committee (or $15,000 for serving as the chair of the compensation committee) and $4,000 for serving on the nominating and corporate governance committee (or $8,000 for serving as the chair of the nominating and corporate governance committee). Retainers are paid to our non-employee directors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169" w:lineRule="exact"/>
        <w:rPr>
          <w:sz w:val="20"/>
          <w:szCs w:val="20"/>
          <w:color w:val="auto"/>
        </w:rPr>
      </w:pPr>
    </w:p>
    <w:p>
      <w:pPr>
        <w:ind w:left="260" w:right="459"/>
        <w:spacing w:after="0" w:line="273" w:lineRule="auto"/>
        <w:rPr>
          <w:sz w:val="20"/>
          <w:szCs w:val="20"/>
          <w:color w:val="auto"/>
        </w:rPr>
      </w:pPr>
      <w:r>
        <w:rPr>
          <w:rFonts w:ascii="Arial" w:cs="Arial" w:eastAsia="Arial" w:hAnsi="Arial"/>
          <w:sz w:val="17"/>
          <w:szCs w:val="17"/>
          <w:color w:val="auto"/>
        </w:rPr>
        <w:t>In lieu of a cash retainer, each non-employee director will also have the ability to elect to receive a stock award consisting of that number of fully vested shares of common stock calculated by dividing the amount of the cash retainer by the fair market value of the common stock on the date of our annual meeting of stockholders. For 2017, each of Messrs. Bertrand, Mott and Rodgers elected to receive a stock award in lieu of their respective 2017 annual cash retainers as calculated pursuant to the preceding sentence. Members of our board of directors are also reimbursed for reasonable travel and other out-of-pocket expenses.</w:t>
      </w:r>
    </w:p>
    <w:p>
      <w:pPr>
        <w:spacing w:after="0" w:line="178" w:lineRule="exact"/>
        <w:rPr>
          <w:sz w:val="20"/>
          <w:szCs w:val="20"/>
          <w:color w:val="auto"/>
        </w:rPr>
      </w:pPr>
    </w:p>
    <w:p>
      <w:pPr>
        <w:ind w:left="260" w:right="259"/>
        <w:spacing w:after="0" w:line="268" w:lineRule="auto"/>
        <w:rPr>
          <w:sz w:val="20"/>
          <w:szCs w:val="20"/>
          <w:color w:val="auto"/>
        </w:rPr>
      </w:pPr>
      <w:r>
        <w:rPr>
          <w:rFonts w:ascii="Arial" w:cs="Arial" w:eastAsia="Arial" w:hAnsi="Arial"/>
          <w:sz w:val="17"/>
          <w:szCs w:val="17"/>
          <w:color w:val="auto"/>
        </w:rPr>
        <w:t>Upon initial appointment or election to our board of directors, under the Director Compensation Program each non-employee director is automatically granted an option to purchase 30,000 shares of our common stock. In addition, each continuing non-employee director who has been serving on our board of directors for at least six months as of the date of any annual meeting of our stockholders and will continue to serve as a non-employee director immediately following such meeting is automatically granted an option to purchase 15,000 shares of our common stock on the date of each annual stockholders meeting. Each initial non-employee director stock option vests with respect to 1/36th of the shares on each monthly anniversary of the grant date, subject to the non-employee director’s continued service on our board of directors through such date. Each annual stock option granted to our non-employee directors, vests with respect to 1/12th of the shares on each monthly anniversary of the grant date, subject to acceleration in full immediately prior to the next annual stockholders meeting, subject to the non-employee director’s continued service on our board of directors through such date. The Director Compensation Program also provides that upon a “Change in Control” of Ardelyx (as defined in our equity incentive plan), all outstanding equity awards granted under an equity incentive plan maintained by Ardelyx that are held by a non-employee director will become fully vested and/or exercisable.</w:t>
      </w:r>
    </w:p>
    <w:p>
      <w:pPr>
        <w:spacing w:after="0" w:line="185" w:lineRule="exact"/>
        <w:rPr>
          <w:sz w:val="20"/>
          <w:szCs w:val="20"/>
          <w:color w:val="auto"/>
        </w:rPr>
      </w:pPr>
    </w:p>
    <w:p>
      <w:pPr>
        <w:ind w:left="260" w:right="659"/>
        <w:spacing w:after="0" w:line="277" w:lineRule="auto"/>
        <w:rPr>
          <w:sz w:val="20"/>
          <w:szCs w:val="20"/>
          <w:color w:val="auto"/>
        </w:rPr>
      </w:pPr>
      <w:r>
        <w:rPr>
          <w:rFonts w:ascii="Arial" w:cs="Arial" w:eastAsia="Arial" w:hAnsi="Arial"/>
          <w:sz w:val="18"/>
          <w:szCs w:val="18"/>
          <w:color w:val="auto"/>
        </w:rPr>
        <w:t>During 2017, each of our non-employee directors was granted an annual option to purchase 15,000 shares of our common stock in June 2017 pursuant to the Director Compensation Program.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Director Compensation Table</w:t>
      </w:r>
    </w:p>
    <w:p>
      <w:pPr>
        <w:spacing w:after="0" w:line="117" w:lineRule="exact"/>
        <w:rPr>
          <w:sz w:val="20"/>
          <w:szCs w:val="20"/>
          <w:color w:val="auto"/>
        </w:rPr>
      </w:pPr>
    </w:p>
    <w:p>
      <w:pPr>
        <w:jc w:val="both"/>
        <w:ind w:left="260" w:right="799"/>
        <w:spacing w:after="0" w:line="286" w:lineRule="auto"/>
        <w:rPr>
          <w:sz w:val="20"/>
          <w:szCs w:val="20"/>
          <w:color w:val="auto"/>
        </w:rPr>
      </w:pPr>
      <w:r>
        <w:rPr>
          <w:rFonts w:ascii="Arial" w:cs="Arial" w:eastAsia="Arial" w:hAnsi="Arial"/>
          <w:sz w:val="17"/>
          <w:szCs w:val="17"/>
          <w:color w:val="auto"/>
        </w:rPr>
        <w:t>The following table sets forth information for the year ended December 31, 2017 regarding the compensation awarded to, earned by or paid to our non-employee directors. Jan Lundberg was not appointed to our board of directors until March 2018, so Mr. Lundberg is not included in the table below.</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Fees Earned</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40" w:type="dxa"/>
            <w:vAlign w:val="bottom"/>
            <w:vMerge w:val="restart"/>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or Paid in</w:t>
            </w: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24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Cash ($)</w:t>
            </w:r>
          </w:p>
        </w:tc>
        <w:tc>
          <w:tcPr>
            <w:tcW w:w="9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7"/>
              </w:rPr>
              <w:t xml:space="preserve">Awards </w:t>
            </w:r>
            <w:r>
              <w:rPr>
                <w:rFonts w:ascii="Arial" w:cs="Arial" w:eastAsia="Arial" w:hAnsi="Arial"/>
                <w:sz w:val="14"/>
                <w:szCs w:val="14"/>
                <w:b w:val="1"/>
                <w:bCs w:val="1"/>
                <w:color w:val="auto"/>
                <w:w w:val="87"/>
                <w:vertAlign w:val="superscript"/>
              </w:rPr>
              <w:t>(1)</w:t>
            </w:r>
            <w:r>
              <w:rPr>
                <w:rFonts w:ascii="Arial" w:cs="Arial" w:eastAsia="Arial" w:hAnsi="Arial"/>
                <w:sz w:val="14"/>
                <w:szCs w:val="14"/>
                <w:b w:val="1"/>
                <w:bCs w:val="1"/>
                <w:color w:val="auto"/>
                <w:w w:val="87"/>
              </w:rPr>
              <w:t xml:space="preserve">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 xml:space="preserve">Compensation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 xml:space="preserve">)   Total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Bertrand, Jr.</w:t>
            </w:r>
          </w:p>
        </w:tc>
        <w:tc>
          <w:tcPr>
            <w:tcW w:w="108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50,000</w:t>
            </w:r>
            <w:r>
              <w:rPr>
                <w:rFonts w:ascii="Arial" w:cs="Arial" w:eastAsia="Arial" w:hAnsi="Arial"/>
                <w:sz w:val="8"/>
                <w:szCs w:val="8"/>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44,552</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94,552</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Annalisa Jenkins, MBBS, FRCP</w:t>
            </w:r>
          </w:p>
        </w:tc>
        <w:tc>
          <w:tcPr>
            <w:tcW w:w="1080" w:type="dxa"/>
            <w:vAlign w:val="bottom"/>
          </w:tcPr>
          <w:p>
            <w:pPr>
              <w:ind w:left="260"/>
              <w:spacing w:after="0"/>
              <w:rPr>
                <w:sz w:val="20"/>
                <w:szCs w:val="20"/>
                <w:color w:val="auto"/>
              </w:rPr>
            </w:pPr>
            <w:r>
              <w:rPr>
                <w:rFonts w:ascii="Arial" w:cs="Arial" w:eastAsia="Arial" w:hAnsi="Arial"/>
                <w:sz w:val="18"/>
                <w:szCs w:val="18"/>
                <w:color w:val="auto"/>
              </w:rPr>
              <w:t>54,000</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44,552</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98,552</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Mott</w:t>
            </w: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84,000</w:t>
            </w:r>
            <w:r>
              <w:rPr>
                <w:rFonts w:ascii="Arial" w:cs="Arial" w:eastAsia="Arial" w:hAnsi="Arial"/>
                <w:sz w:val="8"/>
                <w:szCs w:val="8"/>
                <w:color w:val="auto"/>
              </w:rPr>
              <w:t>(2)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44,552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128,552</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Gordon Ringold, Ph.D.</w:t>
            </w:r>
          </w:p>
        </w:tc>
        <w:tc>
          <w:tcPr>
            <w:tcW w:w="1080" w:type="dxa"/>
            <w:vAlign w:val="bottom"/>
          </w:tcPr>
          <w:p>
            <w:pPr>
              <w:ind w:left="260"/>
              <w:spacing w:after="0"/>
              <w:rPr>
                <w:sz w:val="20"/>
                <w:szCs w:val="20"/>
                <w:color w:val="auto"/>
              </w:rPr>
            </w:pPr>
            <w:r>
              <w:rPr>
                <w:rFonts w:ascii="Arial" w:cs="Arial" w:eastAsia="Arial" w:hAnsi="Arial"/>
                <w:sz w:val="18"/>
                <w:szCs w:val="18"/>
                <w:color w:val="auto"/>
              </w:rPr>
              <w:t>55,500</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44,552</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100,052</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Rodgers</w:t>
            </w: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67,500</w:t>
            </w:r>
            <w:r>
              <w:rPr>
                <w:rFonts w:ascii="Arial" w:cs="Arial" w:eastAsia="Arial" w:hAnsi="Arial"/>
                <w:sz w:val="8"/>
                <w:szCs w:val="8"/>
                <w:color w:val="auto"/>
              </w:rPr>
              <w:t>(2)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44,552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112,052</w:t>
            </w: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Robert Bazemore</w:t>
            </w:r>
          </w:p>
        </w:tc>
        <w:tc>
          <w:tcPr>
            <w:tcW w:w="1080" w:type="dxa"/>
            <w:vAlign w:val="bottom"/>
          </w:tcPr>
          <w:p>
            <w:pPr>
              <w:ind w:left="260"/>
              <w:spacing w:after="0"/>
              <w:rPr>
                <w:sz w:val="20"/>
                <w:szCs w:val="20"/>
                <w:color w:val="auto"/>
              </w:rPr>
            </w:pPr>
            <w:r>
              <w:rPr>
                <w:rFonts w:ascii="Arial" w:cs="Arial" w:eastAsia="Arial" w:hAnsi="Arial"/>
                <w:sz w:val="18"/>
                <w:szCs w:val="18"/>
                <w:color w:val="auto"/>
              </w:rPr>
              <w:t>47,500</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44,552</w:t>
            </w:r>
          </w:p>
        </w:tc>
        <w:tc>
          <w:tcPr>
            <w:tcW w:w="16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92,052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59690</wp:posOffset>
            </wp:positionV>
            <wp:extent cx="540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81" w:lineRule="exact"/>
        <w:rPr>
          <w:sz w:val="20"/>
          <w:szCs w:val="20"/>
          <w:color w:val="auto"/>
        </w:rPr>
      </w:pPr>
    </w:p>
    <w:p>
      <w:pPr>
        <w:ind w:left="580" w:right="279" w:hanging="318"/>
        <w:spacing w:after="0" w:line="218" w:lineRule="exact"/>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the non-employee members of our board of directors during 2017 as computed in accordance with ASC 718. The assumptions used in calculating the grant date fair value of the stock option reported in the Option Awards column are set forth in Note 8 to the audited consolidated financial statements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on March 14, 2018.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w:t>
      </w:r>
    </w:p>
    <w:p>
      <w:pPr>
        <w:spacing w:after="0" w:line="3" w:lineRule="exact"/>
        <w:rPr>
          <w:rFonts w:ascii="Arial" w:cs="Arial" w:eastAsia="Arial" w:hAnsi="Arial"/>
          <w:sz w:val="17"/>
          <w:szCs w:val="17"/>
          <w:color w:val="auto"/>
        </w:rPr>
      </w:pPr>
    </w:p>
    <w:p>
      <w:pPr>
        <w:ind w:left="580" w:right="379" w:hanging="318"/>
        <w:spacing w:after="0" w:line="252"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the Director Compensation Program, each of Messrs. Bertrand, Mott and Rodgers elected to receive a stock award in lieu of their respective 2017 annual cash retainers. The fully vested stock awards consisted of 11,627, 19,534, and 15,697 shares of our common stock for Mr. Bertrand, Mr. Mott, and Mr. Rodgers, respectively. The number of shares of our common stock issued was calculated by dividing the annual retainer otherwise payable in cash at the 2017 Annual Meeting of Stockholders as reported in this column by $4.30, which was the closing trading price of our common stock on the date of the 2017 Annual Meeting of Stockholders.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2017, each of our non-employee directors held the following outstanding options:</w:t>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Subject to</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4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Options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Bertrand, Jr.</w:t>
            </w:r>
          </w:p>
        </w:tc>
        <w:tc>
          <w:tcPr>
            <w:tcW w:w="19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55,000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Robert Bazemore</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Annalisa Jenkins, MBBS, FRCP</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David Mott</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Ringold, Ph.D.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Richard Rodgers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40" w:type="dxa"/>
            <w:vAlign w:val="bottom"/>
          </w:tcPr>
          <w:p>
            <w:pPr>
              <w:jc w:val="right"/>
              <w:ind w:right="151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4" w:name="page25"/>
    <w:bookmarkEnd w:id="24"/>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information regarding our executive officers as of March 31, 2018.</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3900" w:type="dxa"/>
            <w:vAlign w:val="bottom"/>
          </w:tcPr>
          <w:p>
            <w:pPr>
              <w:ind w:left="162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203"/>
        </w:trPr>
        <w:tc>
          <w:tcPr>
            <w:tcW w:w="3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Raab</w:t>
            </w: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53</w:t>
            </w:r>
          </w:p>
        </w:tc>
        <w:tc>
          <w:tcPr>
            <w:tcW w:w="16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Mark Kaufmann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Grammer, Esq.</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6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David Rosenbaum, Ph.D.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Reginald Seeto, MBBS</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1"/>
              </w:rPr>
              <w:t>Executive Vice President and Chief Operating Officer</w:t>
            </w:r>
          </w:p>
        </w:tc>
      </w:tr>
    </w:tbl>
    <w:p>
      <w:pPr>
        <w:spacing w:after="0" w:line="202" w:lineRule="exact"/>
        <w:rPr>
          <w:sz w:val="20"/>
          <w:szCs w:val="20"/>
          <w:color w:val="auto"/>
        </w:rPr>
      </w:pPr>
    </w:p>
    <w:p>
      <w:pPr>
        <w:ind w:left="260" w:right="739"/>
        <w:spacing w:after="0" w:line="308" w:lineRule="auto"/>
        <w:rPr>
          <w:sz w:val="20"/>
          <w:szCs w:val="20"/>
          <w:color w:val="auto"/>
        </w:rPr>
      </w:pPr>
      <w:r>
        <w:rPr>
          <w:rFonts w:ascii="Arial" w:cs="Arial" w:eastAsia="Arial" w:hAnsi="Arial"/>
          <w:sz w:val="17"/>
          <w:szCs w:val="17"/>
          <w:color w:val="auto"/>
        </w:rPr>
        <w:t>The following biographical information is furnished with regard to our executive officers (except for Mr. Raab, whose biographical information appears above under “Class II Directors”) as of March 31, 2018:</w:t>
      </w:r>
    </w:p>
    <w:p>
      <w:pPr>
        <w:spacing w:after="0" w:line="143" w:lineRule="exact"/>
        <w:rPr>
          <w:sz w:val="20"/>
          <w:szCs w:val="20"/>
          <w:color w:val="auto"/>
        </w:rPr>
      </w:pPr>
    </w:p>
    <w:p>
      <w:pPr>
        <w:ind w:left="260" w:right="259"/>
        <w:spacing w:after="0" w:line="273" w:lineRule="auto"/>
        <w:rPr>
          <w:sz w:val="20"/>
          <w:szCs w:val="20"/>
          <w:color w:val="auto"/>
        </w:rPr>
      </w:pPr>
      <w:r>
        <w:rPr>
          <w:rFonts w:ascii="Arial" w:cs="Arial" w:eastAsia="Arial" w:hAnsi="Arial"/>
          <w:sz w:val="17"/>
          <w:szCs w:val="17"/>
          <w:b w:val="1"/>
          <w:bCs w:val="1"/>
          <w:color w:val="auto"/>
        </w:rPr>
        <w:t xml:space="preserve">Mark Kaufmann </w:t>
      </w:r>
      <w:r>
        <w:rPr>
          <w:rFonts w:ascii="Arial" w:cs="Arial" w:eastAsia="Arial" w:hAnsi="Arial"/>
          <w:sz w:val="17"/>
          <w:szCs w:val="17"/>
          <w:color w:val="auto"/>
        </w:rPr>
        <w:t>has served as our Chief Financial Officer since May 2014 and formerly served as our Chief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Officer from August 2011 until May 2014. From 2008 to 2010, Mr. Kaufmann was President and Chief Executive Officer of Allostera Pharma Inc., a preclinical company focused on autoimmune diseases. Prior to joining Allostera, Mr. Kaufmann was President and Chief Executive Officer of Celmed BioSciences, Inc., a biopharmaceutical company, and he started his career as Director of Strategic Planning and Investor Relations at MedImmune in 1994. Mr. Kaufmann received a B.A. in Biochemical Sciences from Harvard University and a M.B.A. from the University of Michigan School of Business.</w:t>
      </w:r>
    </w:p>
    <w:p>
      <w:pPr>
        <w:spacing w:after="0" w:line="172" w:lineRule="exact"/>
        <w:rPr>
          <w:sz w:val="20"/>
          <w:szCs w:val="20"/>
          <w:color w:val="auto"/>
        </w:rPr>
      </w:pPr>
    </w:p>
    <w:p>
      <w:pPr>
        <w:ind w:left="260" w:right="719"/>
        <w:spacing w:after="0" w:line="293" w:lineRule="auto"/>
        <w:rPr>
          <w:sz w:val="20"/>
          <w:szCs w:val="20"/>
          <w:color w:val="auto"/>
        </w:rPr>
      </w:pPr>
      <w:r>
        <w:rPr>
          <w:rFonts w:ascii="Arial" w:cs="Arial" w:eastAsia="Arial" w:hAnsi="Arial"/>
          <w:sz w:val="16"/>
          <w:szCs w:val="16"/>
          <w:b w:val="1"/>
          <w:bCs w:val="1"/>
          <w:color w:val="auto"/>
        </w:rPr>
        <w:t xml:space="preserve">Elizabeth Grammer, Esq., </w:t>
      </w:r>
      <w:r>
        <w:rPr>
          <w:rFonts w:ascii="Arial" w:cs="Arial" w:eastAsia="Arial" w:hAnsi="Arial"/>
          <w:sz w:val="16"/>
          <w:szCs w:val="16"/>
          <w:color w:val="auto"/>
        </w:rPr>
        <w:t>has served as our General Counsel since May 2014 and formerly served as our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responsible for legal affairs from December 2012 until May 2014. From 2006 to December 2012,</w:t>
      </w:r>
    </w:p>
    <w:p>
      <w:pPr>
        <w:spacing w:after="0" w:line="1" w:lineRule="exact"/>
        <w:rPr>
          <w:sz w:val="20"/>
          <w:szCs w:val="20"/>
          <w:color w:val="auto"/>
        </w:rPr>
      </w:pPr>
    </w:p>
    <w:p>
      <w:pPr>
        <w:ind w:left="260" w:right="479"/>
        <w:spacing w:after="0" w:line="281" w:lineRule="auto"/>
        <w:rPr>
          <w:sz w:val="20"/>
          <w:szCs w:val="20"/>
          <w:color w:val="auto"/>
        </w:rPr>
      </w:pPr>
      <w:r>
        <w:rPr>
          <w:rFonts w:ascii="Arial" w:cs="Arial" w:eastAsia="Arial" w:hAnsi="Arial"/>
          <w:sz w:val="16"/>
          <w:szCs w:val="16"/>
          <w:color w:val="auto"/>
        </w:rPr>
        <w:t>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w:t>
      </w:r>
    </w:p>
    <w:p>
      <w:pPr>
        <w:spacing w:after="0" w:line="2" w:lineRule="exact"/>
        <w:rPr>
          <w:sz w:val="20"/>
          <w:szCs w:val="20"/>
          <w:color w:val="auto"/>
        </w:rPr>
      </w:pPr>
    </w:p>
    <w:p>
      <w:pPr>
        <w:ind w:left="260" w:right="519"/>
        <w:spacing w:after="0" w:line="255" w:lineRule="auto"/>
        <w:rPr>
          <w:sz w:val="20"/>
          <w:szCs w:val="20"/>
          <w:color w:val="auto"/>
        </w:rPr>
      </w:pPr>
      <w:r>
        <w:rPr>
          <w:rFonts w:ascii="Arial" w:cs="Arial" w:eastAsia="Arial" w:hAnsi="Arial"/>
          <w:sz w:val="18"/>
          <w:szCs w:val="18"/>
          <w:color w:val="auto"/>
        </w:rPr>
        <w:t>Ms. Grammer previously served as independent outside corporate counsel to GelTex Pharmaceuticals, a biopharmaceutical company. Ms. Grammer received a B.A. from Boston University and a J.D. from Stanford Law School.</w:t>
      </w:r>
    </w:p>
    <w:p>
      <w:pPr>
        <w:spacing w:after="0" w:line="186" w:lineRule="exact"/>
        <w:rPr>
          <w:sz w:val="20"/>
          <w:szCs w:val="20"/>
          <w:color w:val="auto"/>
        </w:rPr>
      </w:pPr>
    </w:p>
    <w:p>
      <w:pPr>
        <w:ind w:left="260" w:right="339"/>
        <w:spacing w:after="0" w:line="272" w:lineRule="auto"/>
        <w:rPr>
          <w:sz w:val="20"/>
          <w:szCs w:val="20"/>
          <w:color w:val="auto"/>
        </w:rPr>
      </w:pPr>
      <w:r>
        <w:rPr>
          <w:rFonts w:ascii="Arial" w:cs="Arial" w:eastAsia="Arial" w:hAnsi="Arial"/>
          <w:sz w:val="17"/>
          <w:szCs w:val="17"/>
          <w:b w:val="1"/>
          <w:bCs w:val="1"/>
          <w:color w:val="auto"/>
        </w:rPr>
        <w:t xml:space="preserve">David Rosenbaum, Ph.D., </w:t>
      </w:r>
      <w:r>
        <w:rPr>
          <w:rFonts w:ascii="Arial" w:cs="Arial" w:eastAsia="Arial" w:hAnsi="Arial"/>
          <w:sz w:val="17"/>
          <w:szCs w:val="17"/>
          <w:color w:val="auto"/>
        </w:rPr>
        <w:t>has served as our Chief Development Officer since January 2017 and formerly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our vice president responsible for drug development from January 2010 to January 2017. From 2003 to 2008, 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172" w:lineRule="exact"/>
        <w:rPr>
          <w:sz w:val="20"/>
          <w:szCs w:val="20"/>
          <w:color w:val="auto"/>
        </w:rPr>
      </w:pPr>
    </w:p>
    <w:p>
      <w:pPr>
        <w:ind w:left="260" w:right="299"/>
        <w:spacing w:after="0" w:line="290" w:lineRule="auto"/>
        <w:rPr>
          <w:sz w:val="20"/>
          <w:szCs w:val="20"/>
          <w:color w:val="auto"/>
        </w:rPr>
      </w:pPr>
      <w:r>
        <w:rPr>
          <w:rFonts w:ascii="Arial" w:cs="Arial" w:eastAsia="Arial" w:hAnsi="Arial"/>
          <w:sz w:val="16"/>
          <w:szCs w:val="16"/>
          <w:b w:val="1"/>
          <w:bCs w:val="1"/>
          <w:color w:val="auto"/>
        </w:rPr>
        <w:t xml:space="preserve">Reginald Seeto, MBBS, </w:t>
      </w:r>
      <w:r>
        <w:rPr>
          <w:rFonts w:ascii="Arial" w:cs="Arial" w:eastAsia="Arial" w:hAnsi="Arial"/>
          <w:sz w:val="16"/>
          <w:szCs w:val="16"/>
          <w:color w:val="auto"/>
        </w:rPr>
        <w:t>has served as our Chief Operating Officer since October 2016. From April 2008 until</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2016, Dr. Seeto held various positions of increasing responsibility at MedImmune Limited, a biotechnology company and subsidiary of AstraZeneca Plc, and at AstraZeneca, most recently serving as vice president, head of partnering and strategy for AstraZeneca. Earlier, he served as company president of AstraZeneca Thailand and before that, as executive vice president of corporate development and strategy for MedImmune. Prior to joining AstraZeneca/MedImmune, Dr. Seeto held senior marketing roles at Organon Biosciences, which was acquired by Schering Plough in 2007, and Boehringer Ingelheim Pharmaceuticals. Earlier, Dr. Seeto served as an engagement manager for McKinsey &amp; Company and started his career as a practicing medical doctor and clinical researcher in Australia. Dr. Seeto earned both his B.S. and MBBS in medical studies from the University of Sydney, Australia.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60" w:right="359"/>
        <w:spacing w:after="0" w:line="259"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or NEOs. As an “emerging growth company” as defined in the Jumpstart our Business Startups Act of 2012, we are not required to include a Compensation Discussion and Analysis section and have elected to comply with the scaled disclosure requirements applicable to emerging growth companies.</w:t>
      </w:r>
    </w:p>
    <w:p>
      <w:pPr>
        <w:spacing w:after="0" w:line="187" w:lineRule="exact"/>
        <w:rPr>
          <w:sz w:val="20"/>
          <w:szCs w:val="20"/>
          <w:color w:val="auto"/>
        </w:rPr>
      </w:pPr>
    </w:p>
    <w:p>
      <w:pPr>
        <w:ind w:left="260" w:right="359"/>
        <w:spacing w:after="0" w:line="302" w:lineRule="auto"/>
        <w:rPr>
          <w:sz w:val="20"/>
          <w:szCs w:val="20"/>
          <w:color w:val="auto"/>
        </w:rPr>
      </w:pPr>
      <w:r>
        <w:rPr>
          <w:rFonts w:ascii="Arial" w:cs="Arial" w:eastAsia="Arial" w:hAnsi="Arial"/>
          <w:sz w:val="16"/>
          <w:szCs w:val="16"/>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NEOs for fiscal year 2017 were as follows:</w:t>
      </w:r>
    </w:p>
    <w:p>
      <w:pPr>
        <w:spacing w:after="0" w:line="117" w:lineRule="exact"/>
        <w:rPr>
          <w:sz w:val="20"/>
          <w:szCs w:val="20"/>
          <w:color w:val="auto"/>
        </w:rPr>
      </w:pPr>
    </w:p>
    <w:p>
      <w:pPr>
        <w:ind w:left="920" w:hanging="33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Raab, President and Chief Executive Officer;</w:t>
      </w:r>
    </w:p>
    <w:p>
      <w:pPr>
        <w:spacing w:after="0" w:line="117" w:lineRule="exact"/>
        <w:rPr>
          <w:rFonts w:ascii="Arial" w:cs="Arial" w:eastAsia="Arial" w:hAnsi="Arial"/>
          <w:sz w:val="18"/>
          <w:szCs w:val="18"/>
          <w:color w:val="auto"/>
        </w:rPr>
      </w:pPr>
    </w:p>
    <w:p>
      <w:pPr>
        <w:ind w:left="920" w:hanging="33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Jeremy Caldwell, Ph.D., Chief Scientific Officer; and</w:t>
      </w:r>
    </w:p>
    <w:p>
      <w:pPr>
        <w:spacing w:after="0" w:line="117" w:lineRule="exact"/>
        <w:rPr>
          <w:rFonts w:ascii="Arial" w:cs="Arial" w:eastAsia="Arial" w:hAnsi="Arial"/>
          <w:sz w:val="18"/>
          <w:szCs w:val="18"/>
          <w:color w:val="auto"/>
        </w:rPr>
      </w:pPr>
    </w:p>
    <w:p>
      <w:pPr>
        <w:ind w:left="920" w:hanging="33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David Rosenbaum, Ph.D., Chief Development Officer.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Dr. Caldwell resigned as our Chief Scientific Officer effective as of February 16, 2018.</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60" w:right="45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NEOs for services performed in the year ended December 31, 2017.</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w:t>
            </w:r>
          </w:p>
        </w:tc>
        <w:tc>
          <w:tcPr>
            <w:tcW w:w="8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(1)</w:t>
            </w:r>
          </w:p>
        </w:tc>
        <w:tc>
          <w:tcPr>
            <w:tcW w:w="1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 xml:space="preserve">($) </w:t>
            </w:r>
            <w:r>
              <w:rPr>
                <w:rFonts w:ascii="Arial" w:cs="Arial" w:eastAsia="Arial" w:hAnsi="Arial"/>
                <w:sz w:val="14"/>
                <w:szCs w:val="14"/>
                <w:b w:val="1"/>
                <w:bCs w:val="1"/>
                <w:color w:val="auto"/>
                <w:w w:val="92"/>
                <w:vertAlign w:val="superscript"/>
              </w:rPr>
              <w:t>(1)</w:t>
            </w:r>
          </w:p>
        </w:tc>
        <w:tc>
          <w:tcPr>
            <w:tcW w:w="140" w:type="dxa"/>
            <w:vAlign w:val="bottom"/>
          </w:tcPr>
          <w:p>
            <w:pPr>
              <w:spacing w:after="0"/>
              <w:rPr>
                <w:sz w:val="15"/>
                <w:szCs w:val="15"/>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(2)</w:t>
            </w:r>
          </w:p>
        </w:tc>
        <w:tc>
          <w:tcPr>
            <w:tcW w:w="1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Raab</w:t>
            </w:r>
          </w:p>
        </w:tc>
        <w:tc>
          <w:tcPr>
            <w:tcW w:w="1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2017</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555,000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623,806</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3,358,733</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228,938</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4,766,477</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w w:val="96"/>
              </w:rPr>
              <w:t>President &amp; Chief Executive Officer</w:t>
            </w:r>
          </w:p>
        </w:tc>
        <w:tc>
          <w:tcPr>
            <w:tcW w:w="6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520,000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2,138,600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2,916,000</w:t>
            </w:r>
          </w:p>
        </w:tc>
        <w:tc>
          <w:tcPr>
            <w:tcW w:w="0" w:type="dxa"/>
            <w:vAlign w:val="bottom"/>
          </w:tcPr>
          <w:p>
            <w:pPr>
              <w:spacing w:after="0"/>
              <w:rPr>
                <w:sz w:val="1"/>
                <w:szCs w:val="1"/>
                <w:color w:val="auto"/>
              </w:rPr>
            </w:pPr>
          </w:p>
        </w:tc>
      </w:tr>
      <w:tr>
        <w:trPr>
          <w:trHeight w:val="202"/>
        </w:trPr>
        <w:tc>
          <w:tcPr>
            <w:tcW w:w="3060" w:type="dxa"/>
            <w:vAlign w:val="bottom"/>
            <w:gridSpan w:val="3"/>
          </w:tcPr>
          <w:p>
            <w:pPr>
              <w:spacing w:after="0" w:line="201" w:lineRule="exact"/>
              <w:rPr>
                <w:sz w:val="20"/>
                <w:szCs w:val="20"/>
                <w:color w:val="auto"/>
              </w:rPr>
            </w:pPr>
            <w:r>
              <w:rPr>
                <w:rFonts w:ascii="Arial" w:cs="Arial" w:eastAsia="Arial" w:hAnsi="Arial"/>
                <w:sz w:val="18"/>
                <w:szCs w:val="18"/>
                <w:color w:val="auto"/>
              </w:rPr>
              <w:t>Jeremy Caldwell, Ph.D.</w:t>
            </w:r>
          </w:p>
        </w:tc>
        <w:tc>
          <w:tcPr>
            <w:tcW w:w="60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89"/>
              </w:rPr>
              <w:t>414,000</w:t>
            </w:r>
          </w:p>
        </w:tc>
        <w:tc>
          <w:tcPr>
            <w:tcW w:w="16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89"/>
              </w:rPr>
              <w:t>374,598</w:t>
            </w:r>
          </w:p>
        </w:tc>
        <w:tc>
          <w:tcPr>
            <w:tcW w:w="16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9"/>
              </w:rPr>
              <w:t>1,119,579</w:t>
            </w:r>
          </w:p>
        </w:tc>
        <w:tc>
          <w:tcPr>
            <w:tcW w:w="14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124,200</w:t>
            </w:r>
          </w:p>
        </w:tc>
        <w:tc>
          <w:tcPr>
            <w:tcW w:w="16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9"/>
              </w:rPr>
              <w:t>2,032,377</w:t>
            </w:r>
          </w:p>
        </w:tc>
        <w:tc>
          <w:tcPr>
            <w:tcW w:w="0" w:type="dxa"/>
            <w:vAlign w:val="bottom"/>
          </w:tcPr>
          <w:p>
            <w:pPr>
              <w:spacing w:after="0"/>
              <w:rPr>
                <w:sz w:val="1"/>
                <w:szCs w:val="1"/>
                <w:color w:val="auto"/>
              </w:rPr>
            </w:pPr>
          </w:p>
        </w:tc>
      </w:tr>
      <w:tr>
        <w:trPr>
          <w:trHeight w:val="230"/>
        </w:trPr>
        <w:tc>
          <w:tcPr>
            <w:tcW w:w="3060" w:type="dxa"/>
            <w:vAlign w:val="bottom"/>
            <w:gridSpan w:val="3"/>
          </w:tcPr>
          <w:p>
            <w:pPr>
              <w:ind w:left="340"/>
              <w:spacing w:after="0"/>
              <w:rPr>
                <w:sz w:val="20"/>
                <w:szCs w:val="20"/>
                <w:color w:val="auto"/>
              </w:rPr>
            </w:pPr>
            <w:r>
              <w:rPr>
                <w:rFonts w:ascii="Arial" w:cs="Arial" w:eastAsia="Arial" w:hAnsi="Arial"/>
                <w:sz w:val="18"/>
                <w:szCs w:val="18"/>
                <w:i w:val="1"/>
                <w:iCs w:val="1"/>
                <w:color w:val="auto"/>
              </w:rPr>
              <w:t>Chief Scientific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Rosenbaum, Ph.D.</w:t>
            </w:r>
          </w:p>
        </w:tc>
        <w:tc>
          <w:tcPr>
            <w:tcW w:w="6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374,598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1,119,579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2,014,177</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Chief Development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right="259" w:hanging="318"/>
        <w:spacing w:after="0" w:line="218" w:lineRule="exact"/>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reported in the Stock Awards and Option Awards columns represent the grant date fair value of the restricted stock units and stock options granted to our NEOs as computed in accordance with ASC 718. The assumptions used in calculating the grant date fair value of the restricted stock units and stock options reported in the Stock Awards and Option Awards columns are set forth in Note 8 to the audited consolidated financial statements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on March 14, 2018.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NEOs from the equity awards.</w:t>
      </w:r>
    </w:p>
    <w:p>
      <w:pPr>
        <w:spacing w:after="0" w:line="3" w:lineRule="exact"/>
        <w:rPr>
          <w:rFonts w:ascii="Arial" w:cs="Arial" w:eastAsia="Arial" w:hAnsi="Arial"/>
          <w:sz w:val="17"/>
          <w:szCs w:val="17"/>
          <w:color w:val="auto"/>
        </w:rPr>
      </w:pPr>
    </w:p>
    <w:p>
      <w:pPr>
        <w:ind w:left="580" w:right="319" w:hanging="318"/>
        <w:spacing w:after="0" w:line="271"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reported in the Non-Equity Incentive Plan Compensation column represent the annual cash performance-based bonuses earned by our NEOs pursuant to the achievement of certain company and individual performance objectives. Please see the description of the annual performance bonuses paid to our NEOs in “— Narrative to 2017 Summary Compensation Table and Outstanding Equity Awards at 2017 Fiscal Year-End — Terms and Conditions of Annual Bonuses” below.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260" w:right="579"/>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and unvested restricted stock units for each of the NEOs outstanding as of December 31, 2017.</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Number 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Nmber</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92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w:t>
            </w:r>
          </w:p>
        </w:tc>
        <w:tc>
          <w:tcPr>
            <w:tcW w:w="150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 as</w:t>
            </w:r>
          </w:p>
        </w:tc>
        <w:tc>
          <w:tcPr>
            <w:tcW w:w="0" w:type="dxa"/>
            <w:vAlign w:val="bottom"/>
          </w:tcPr>
          <w:p>
            <w:pPr>
              <w:spacing w:after="0"/>
              <w:rPr>
                <w:sz w:val="1"/>
                <w:szCs w:val="1"/>
                <w:color w:val="auto"/>
              </w:rPr>
            </w:pPr>
          </w:p>
        </w:tc>
      </w:tr>
      <w:tr>
        <w:trPr>
          <w:trHeight w:val="158"/>
        </w:trPr>
        <w:tc>
          <w:tcPr>
            <w:tcW w:w="15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3"/>
                <w:szCs w:val="13"/>
                <w:color w:val="auto"/>
              </w:rPr>
            </w:pPr>
          </w:p>
        </w:tc>
        <w:tc>
          <w:tcPr>
            <w:tcW w:w="15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Date</w:t>
            </w: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Vested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(5)</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540" w:type="dxa"/>
            <w:vAlign w:val="bottom"/>
            <w:gridSpan w:val="3"/>
            <w:shd w:val="clear" w:color="auto" w:fill="CCEEFF"/>
          </w:tcPr>
          <w:p>
            <w:pPr>
              <w:spacing w:after="0" w:line="117" w:lineRule="exact"/>
              <w:rPr>
                <w:sz w:val="20"/>
                <w:szCs w:val="20"/>
                <w:color w:val="auto"/>
              </w:rPr>
            </w:pPr>
            <w:r>
              <w:rPr>
                <w:rFonts w:ascii="Arial" w:cs="Arial" w:eastAsia="Arial" w:hAnsi="Arial"/>
                <w:sz w:val="13"/>
                <w:szCs w:val="13"/>
                <w:color w:val="auto"/>
              </w:rPr>
              <w:t>Michael Raab</w:t>
            </w:r>
          </w:p>
        </w:tc>
        <w:tc>
          <w:tcPr>
            <w:tcW w:w="1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90"/>
              <w:spacing w:after="0" w:line="117" w:lineRule="exact"/>
              <w:rPr>
                <w:sz w:val="20"/>
                <w:szCs w:val="20"/>
                <w:color w:val="auto"/>
              </w:rPr>
            </w:pPr>
            <w:r>
              <w:rPr>
                <w:rFonts w:ascii="Arial" w:cs="Arial" w:eastAsia="Arial" w:hAnsi="Arial"/>
                <w:sz w:val="13"/>
                <w:szCs w:val="13"/>
                <w:color w:val="auto"/>
              </w:rPr>
              <w:t>9/15/2010</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36,123</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9/15/2020</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0"/>
              <w:spacing w:after="0" w:line="149" w:lineRule="exact"/>
              <w:rPr>
                <w:sz w:val="20"/>
                <w:szCs w:val="20"/>
                <w:color w:val="auto"/>
              </w:rPr>
            </w:pPr>
            <w:r>
              <w:rPr>
                <w:rFonts w:ascii="Arial" w:cs="Arial" w:eastAsia="Arial" w:hAnsi="Arial"/>
                <w:sz w:val="14"/>
                <w:szCs w:val="14"/>
                <w:color w:val="auto"/>
              </w:rPr>
              <w:t>8/1/2011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267,892</w:t>
            </w:r>
          </w:p>
        </w:tc>
        <w:tc>
          <w:tcPr>
            <w:tcW w:w="1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8/1/2021</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1/6/2015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54,687</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20,313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1/6/2025</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1/15/2016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144,352</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156,906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1/15/2026</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72,907</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245,234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1/19/2027</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17,985</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118,701</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79,535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8/9/2027</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79,535</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524,931</w:t>
            </w:r>
          </w:p>
        </w:tc>
        <w:tc>
          <w:tcPr>
            <w:tcW w:w="0" w:type="dxa"/>
            <w:vAlign w:val="bottom"/>
          </w:tcPr>
          <w:p>
            <w:pPr>
              <w:spacing w:after="0"/>
              <w:rPr>
                <w:sz w:val="1"/>
                <w:szCs w:val="1"/>
                <w:color w:val="auto"/>
              </w:rPr>
            </w:pPr>
          </w:p>
        </w:tc>
      </w:tr>
      <w:tr>
        <w:trPr>
          <w:trHeight w:val="130"/>
        </w:trPr>
        <w:tc>
          <w:tcPr>
            <w:tcW w:w="1540" w:type="dxa"/>
            <w:vAlign w:val="bottom"/>
            <w:gridSpan w:val="3"/>
          </w:tcPr>
          <w:p>
            <w:pPr>
              <w:spacing w:after="0" w:line="130" w:lineRule="exact"/>
              <w:rPr>
                <w:sz w:val="20"/>
                <w:szCs w:val="20"/>
                <w:color w:val="auto"/>
              </w:rPr>
            </w:pPr>
            <w:r>
              <w:rPr>
                <w:rFonts w:ascii="Arial" w:cs="Arial" w:eastAsia="Arial" w:hAnsi="Arial"/>
                <w:sz w:val="14"/>
                <w:szCs w:val="14"/>
                <w:color w:val="auto"/>
              </w:rPr>
              <w:t>Jeremy Caldwell, Ph.D.</w:t>
            </w:r>
          </w:p>
        </w:tc>
        <w:tc>
          <w:tcPr>
            <w:tcW w:w="160" w:type="dxa"/>
            <w:vAlign w:val="bottom"/>
          </w:tcPr>
          <w:p>
            <w:pPr>
              <w:spacing w:after="0"/>
              <w:rPr>
                <w:sz w:val="11"/>
                <w:szCs w:val="11"/>
                <w:color w:val="auto"/>
              </w:rPr>
            </w:pPr>
          </w:p>
        </w:tc>
        <w:tc>
          <w:tcPr>
            <w:tcW w:w="1080" w:type="dxa"/>
            <w:vAlign w:val="bottom"/>
          </w:tcPr>
          <w:p>
            <w:pPr>
              <w:jc w:val="right"/>
              <w:spacing w:after="0" w:line="130" w:lineRule="exact"/>
              <w:rPr>
                <w:sz w:val="20"/>
                <w:szCs w:val="20"/>
                <w:color w:val="auto"/>
              </w:rPr>
            </w:pPr>
            <w:r>
              <w:rPr>
                <w:rFonts w:ascii="Arial" w:cs="Arial" w:eastAsia="Arial" w:hAnsi="Arial"/>
                <w:sz w:val="14"/>
                <w:szCs w:val="14"/>
                <w:color w:val="auto"/>
              </w:rPr>
              <w:t>12/1/2014</w:t>
            </w:r>
          </w:p>
        </w:tc>
        <w:tc>
          <w:tcPr>
            <w:tcW w:w="120" w:type="dxa"/>
            <w:vAlign w:val="bottom"/>
          </w:tcPr>
          <w:p>
            <w:pPr>
              <w:jc w:val="right"/>
              <w:ind w:right="10"/>
              <w:spacing w:after="0"/>
              <w:rPr>
                <w:sz w:val="20"/>
                <w:szCs w:val="20"/>
                <w:color w:val="auto"/>
              </w:rPr>
            </w:pPr>
            <w:r>
              <w:rPr>
                <w:rFonts w:ascii="Arial" w:cs="Arial" w:eastAsia="Arial" w:hAnsi="Arial"/>
                <w:sz w:val="6"/>
                <w:szCs w:val="6"/>
                <w:color w:val="auto"/>
                <w:w w:val="81"/>
              </w:rPr>
              <w:t>(4)</w:t>
            </w:r>
          </w:p>
        </w:tc>
        <w:tc>
          <w:tcPr>
            <w:tcW w:w="16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67,500</w:t>
            </w:r>
          </w:p>
        </w:tc>
        <w:tc>
          <w:tcPr>
            <w:tcW w:w="160" w:type="dxa"/>
            <w:vAlign w:val="bottom"/>
          </w:tcPr>
          <w:p>
            <w:pPr>
              <w:spacing w:after="0"/>
              <w:rPr>
                <w:sz w:val="11"/>
                <w:szCs w:val="11"/>
                <w:color w:val="auto"/>
              </w:rPr>
            </w:pPr>
          </w:p>
        </w:tc>
        <w:tc>
          <w:tcPr>
            <w:tcW w:w="1340" w:type="dxa"/>
            <w:vAlign w:val="bottom"/>
          </w:tcPr>
          <w:p>
            <w:pPr>
              <w:jc w:val="right"/>
              <w:spacing w:after="0" w:line="130" w:lineRule="exact"/>
              <w:rPr>
                <w:sz w:val="20"/>
                <w:szCs w:val="20"/>
                <w:color w:val="auto"/>
              </w:rPr>
            </w:pPr>
            <w:r>
              <w:rPr>
                <w:rFonts w:ascii="Arial" w:cs="Arial" w:eastAsia="Arial" w:hAnsi="Arial"/>
                <w:sz w:val="14"/>
                <w:szCs w:val="14"/>
                <w:color w:val="auto"/>
              </w:rPr>
              <w:t>22,500</w:t>
            </w: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32.74</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12/4/2024</w:t>
            </w:r>
          </w:p>
        </w:tc>
        <w:tc>
          <w:tcPr>
            <w:tcW w:w="7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3"/>
          </w:tcPr>
          <w:p>
            <w:pPr>
              <w:jc w:val="right"/>
              <w:ind w:right="10"/>
              <w:spacing w:after="0" w:line="149" w:lineRule="exact"/>
              <w:rPr>
                <w:sz w:val="20"/>
                <w:szCs w:val="20"/>
                <w:color w:val="auto"/>
              </w:rPr>
            </w:pPr>
            <w:r>
              <w:rPr>
                <w:rFonts w:ascii="Arial" w:cs="Arial" w:eastAsia="Arial" w:hAnsi="Arial"/>
                <w:sz w:val="14"/>
                <w:szCs w:val="14"/>
                <w:color w:val="auto"/>
              </w:rPr>
              <w:t>1/6/2015</w:t>
            </w:r>
            <w:r>
              <w:rPr>
                <w:rFonts w:ascii="Arial" w:cs="Arial" w:eastAsia="Arial" w:hAnsi="Arial"/>
                <w:sz w:val="7"/>
                <w:szCs w:val="7"/>
                <w:color w:val="auto"/>
              </w:rPr>
              <w:t>(4)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10,937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23.02</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1/6/2025</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3"/>
          </w:tcPr>
          <w:p>
            <w:pPr>
              <w:jc w:val="right"/>
              <w:ind w:right="10"/>
              <w:spacing w:after="0" w:line="149" w:lineRule="exact"/>
              <w:rPr>
                <w:sz w:val="20"/>
                <w:szCs w:val="20"/>
                <w:color w:val="auto"/>
              </w:rPr>
            </w:pPr>
            <w:r>
              <w:rPr>
                <w:rFonts w:ascii="Arial" w:cs="Arial" w:eastAsia="Arial" w:hAnsi="Arial"/>
                <w:sz w:val="14"/>
                <w:szCs w:val="14"/>
                <w:color w:val="auto"/>
              </w:rPr>
              <w:t>1/15/2016</w:t>
            </w:r>
            <w:r>
              <w:rPr>
                <w:rFonts w:ascii="Arial" w:cs="Arial" w:eastAsia="Arial" w:hAnsi="Arial"/>
                <w:sz w:val="7"/>
                <w:szCs w:val="7"/>
                <w:color w:val="auto"/>
              </w:rPr>
              <w:t>(1)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78,737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85,585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10.55</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1/15/2026</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3"/>
          </w:tcPr>
          <w:p>
            <w:pPr>
              <w:jc w:val="right"/>
              <w:ind w:right="10"/>
              <w:spacing w:after="0" w:line="149" w:lineRule="exact"/>
              <w:rPr>
                <w:sz w:val="20"/>
                <w:szCs w:val="20"/>
                <w:color w:val="auto"/>
              </w:rPr>
            </w:pPr>
            <w:r>
              <w:rPr>
                <w:rFonts w:ascii="Arial" w:cs="Arial" w:eastAsia="Arial" w:hAnsi="Arial"/>
                <w:sz w:val="14"/>
                <w:szCs w:val="14"/>
                <w:color w:val="auto"/>
              </w:rPr>
              <w:t>1/19/2017</w:t>
            </w:r>
            <w:r>
              <w:rPr>
                <w:rFonts w:ascii="Arial" w:cs="Arial" w:eastAsia="Arial" w:hAnsi="Arial"/>
                <w:sz w:val="7"/>
                <w:szCs w:val="7"/>
                <w:color w:val="auto"/>
              </w:rPr>
              <w:t>(1)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24,302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81,745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13.90</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1/19/2027</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3"/>
          </w:tcPr>
          <w:p>
            <w:pPr>
              <w:jc w:val="right"/>
              <w:ind w:right="10"/>
              <w:spacing w:after="0" w:line="149" w:lineRule="exact"/>
              <w:rPr>
                <w:sz w:val="20"/>
                <w:szCs w:val="20"/>
                <w:color w:val="auto"/>
              </w:rPr>
            </w:pPr>
            <w:r>
              <w:rPr>
                <w:rFonts w:ascii="Arial" w:cs="Arial" w:eastAsia="Arial" w:hAnsi="Arial"/>
                <w:sz w:val="14"/>
                <w:szCs w:val="14"/>
                <w:color w:val="auto"/>
              </w:rPr>
              <w:t>1/19/2017</w:t>
            </w:r>
            <w:r>
              <w:rPr>
                <w:rFonts w:ascii="Arial" w:cs="Arial" w:eastAsia="Arial" w:hAnsi="Arial"/>
                <w:sz w:val="7"/>
                <w:szCs w:val="7"/>
                <w:color w:val="auto"/>
              </w:rPr>
              <w:t>(2)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17,985</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118,701</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3"/>
          </w:tcPr>
          <w:p>
            <w:pPr>
              <w:jc w:val="right"/>
              <w:ind w:right="10"/>
              <w:spacing w:after="0" w:line="149" w:lineRule="exact"/>
              <w:rPr>
                <w:sz w:val="20"/>
                <w:szCs w:val="20"/>
                <w:color w:val="auto"/>
              </w:rPr>
            </w:pPr>
            <w:r>
              <w:rPr>
                <w:rFonts w:ascii="Arial" w:cs="Arial" w:eastAsia="Arial" w:hAnsi="Arial"/>
                <w:sz w:val="14"/>
                <w:szCs w:val="14"/>
                <w:color w:val="auto"/>
              </w:rPr>
              <w:t>8/9/2017</w:t>
            </w:r>
            <w:r>
              <w:rPr>
                <w:rFonts w:ascii="Arial" w:cs="Arial" w:eastAsia="Arial" w:hAnsi="Arial"/>
                <w:sz w:val="7"/>
                <w:szCs w:val="7"/>
                <w:color w:val="auto"/>
              </w:rPr>
              <w:t>(3)</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26,512</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4.70</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8/9/2027</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color w:val="auto"/>
              </w:rPr>
              <w:t>8/9/2017</w:t>
            </w:r>
            <w:r>
              <w:rPr>
                <w:rFonts w:ascii="Arial" w:cs="Arial" w:eastAsia="Arial" w:hAnsi="Arial"/>
                <w:sz w:val="7"/>
                <w:szCs w:val="7"/>
                <w:color w:val="auto"/>
              </w:rPr>
              <w:t>(3)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26,512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174,979</w:t>
            </w:r>
          </w:p>
        </w:tc>
        <w:tc>
          <w:tcPr>
            <w:tcW w:w="0" w:type="dxa"/>
            <w:vAlign w:val="bottom"/>
          </w:tcPr>
          <w:p>
            <w:pPr>
              <w:spacing w:after="0"/>
              <w:rPr>
                <w:sz w:val="1"/>
                <w:szCs w:val="1"/>
                <w:color w:val="auto"/>
              </w:rPr>
            </w:pPr>
          </w:p>
        </w:tc>
      </w:tr>
      <w:tr>
        <w:trPr>
          <w:trHeight w:val="130"/>
        </w:trPr>
        <w:tc>
          <w:tcPr>
            <w:tcW w:w="15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David Rosenbaum, Ph.D.</w:t>
            </w:r>
          </w:p>
        </w:tc>
        <w:tc>
          <w:tcPr>
            <w:tcW w:w="1360" w:type="dxa"/>
            <w:vAlign w:val="bottom"/>
            <w:gridSpan w:val="3"/>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1/6/2015</w:t>
            </w:r>
            <w:r>
              <w:rPr>
                <w:rFonts w:ascii="Arial" w:cs="Arial" w:eastAsia="Arial" w:hAnsi="Arial"/>
                <w:sz w:val="7"/>
                <w:szCs w:val="7"/>
                <w:color w:val="auto"/>
              </w:rPr>
              <w:t>(1)</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9,202</w:t>
            </w:r>
          </w:p>
        </w:tc>
        <w:tc>
          <w:tcPr>
            <w:tcW w:w="15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3,418</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23.02</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1/6/2025</w:t>
            </w:r>
          </w:p>
        </w:tc>
        <w:tc>
          <w:tcPr>
            <w:tcW w:w="7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1/15/2016</w:t>
            </w:r>
            <w:r>
              <w:rPr>
                <w:rFonts w:ascii="Arial" w:cs="Arial" w:eastAsia="Arial" w:hAnsi="Arial"/>
                <w:sz w:val="7"/>
                <w:szCs w:val="7"/>
                <w:color w:val="auto"/>
              </w:rPr>
              <w:t>(1)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43,305</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47,072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1/15/2026</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24,302</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81,745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1/19/2027</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17,985</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118,701</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26,512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8/9/2027</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8/9/2017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w w:val="81"/>
              </w:rPr>
              <w:t>(3)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26,512</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174,979</w:t>
            </w:r>
          </w:p>
        </w:tc>
        <w:tc>
          <w:tcPr>
            <w:tcW w:w="0" w:type="dxa"/>
            <w:vAlign w:val="bottom"/>
          </w:tcPr>
          <w:p>
            <w:pPr>
              <w:spacing w:after="0"/>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80" w:right="479" w:hanging="318"/>
        <w:spacing w:after="0" w:line="291"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option vests and becomes exercisable in substantially equal monthly installments over four years from the vesting commencement date, subject to the holder continuing to provide services to us through each such date.</w:t>
      </w:r>
    </w:p>
    <w:p>
      <w:pPr>
        <w:ind w:left="580" w:right="619" w:hanging="318"/>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restricted stock units vest in full upon the acceptance of our new drug application filing by the Food and Drug Administration, which must occur on or before January 19, 2020, subject to the holder continuing to provide services to us through the vesting date.</w:t>
      </w:r>
    </w:p>
    <w:p>
      <w:pPr>
        <w:spacing w:after="0" w:line="1" w:lineRule="exact"/>
        <w:rPr>
          <w:rFonts w:ascii="Arial" w:cs="Arial" w:eastAsia="Arial" w:hAnsi="Arial"/>
          <w:sz w:val="18"/>
          <w:szCs w:val="18"/>
          <w:color w:val="auto"/>
        </w:rPr>
      </w:pPr>
    </w:p>
    <w:p>
      <w:pPr>
        <w:ind w:left="580" w:right="339" w:hanging="318"/>
        <w:spacing w:after="0" w:line="265"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option or restricted stock units, as applicable, vests as to two-thirds of the shares subject to the equity award on December 31, 2018 and as to the remaining one-third of the shares subject to the equity award on June 1, 2019, subject to the holder continuing to provide services to us through each such date.</w:t>
      </w:r>
    </w:p>
    <w:p>
      <w:pPr>
        <w:ind w:left="580" w:right="279" w:hanging="318"/>
        <w:spacing w:after="0" w:line="281"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option vests and becomes exercisable as to 25% of the shares subject to the option on the first anniversary of the vesting commencement date and as to 1/48</w:t>
      </w:r>
      <w:r>
        <w:rPr>
          <w:rFonts w:ascii="Arial" w:cs="Arial" w:eastAsia="Arial" w:hAnsi="Arial"/>
          <w:sz w:val="7"/>
          <w:szCs w:val="7"/>
          <w:color w:val="auto"/>
        </w:rPr>
        <w:t>th</w:t>
      </w:r>
      <w:r>
        <w:rPr>
          <w:rFonts w:ascii="Arial" w:cs="Arial" w:eastAsia="Arial" w:hAnsi="Arial"/>
          <w:sz w:val="16"/>
          <w:szCs w:val="16"/>
          <w:color w:val="auto"/>
        </w:rPr>
        <w:t xml:space="preserve"> of the shares on each anniversary of the vesting commencement date thereafter, subject to the holder continuing to provide services to us through each such date.</w:t>
      </w:r>
    </w:p>
    <w:p>
      <w:pPr>
        <w:spacing w:after="0" w:line="2" w:lineRule="exact"/>
        <w:rPr>
          <w:rFonts w:ascii="Arial" w:cs="Arial" w:eastAsia="Arial" w:hAnsi="Arial"/>
          <w:sz w:val="16"/>
          <w:szCs w:val="16"/>
          <w:color w:val="auto"/>
        </w:rPr>
      </w:pPr>
    </w:p>
    <w:p>
      <w:pPr>
        <w:ind w:left="580" w:right="319" w:hanging="318"/>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value of shares or units of shares that have not vested is calculated based on the closing trading price of our common stock as of December 29, 2017, which was $6.60.</w:t>
      </w:r>
    </w:p>
    <w:p>
      <w:pPr>
        <w:spacing w:after="0" w:line="180" w:lineRule="exact"/>
        <w:rPr>
          <w:sz w:val="20"/>
          <w:szCs w:val="20"/>
          <w:color w:val="auto"/>
        </w:rPr>
      </w:pPr>
    </w:p>
    <w:p>
      <w:pPr>
        <w:ind w:left="260" w:right="579"/>
        <w:spacing w:after="0" w:line="378" w:lineRule="auto"/>
        <w:rPr>
          <w:sz w:val="20"/>
          <w:szCs w:val="20"/>
          <w:color w:val="auto"/>
        </w:rPr>
      </w:pPr>
      <w:r>
        <w:rPr>
          <w:rFonts w:ascii="Arial" w:cs="Arial" w:eastAsia="Arial" w:hAnsi="Arial"/>
          <w:sz w:val="18"/>
          <w:szCs w:val="18"/>
          <w:b w:val="1"/>
          <w:bCs w:val="1"/>
          <w:color w:val="auto"/>
        </w:rPr>
        <w:t xml:space="preserve">Narrative to 2017 Summary Compensation Table and Outstanding Equity Awards at 2017 Fiscal Year End </w:t>
      </w:r>
      <w:r>
        <w:rPr>
          <w:rFonts w:ascii="Arial" w:cs="Arial" w:eastAsia="Arial" w:hAnsi="Arial"/>
          <w:sz w:val="18"/>
          <w:szCs w:val="18"/>
          <w:b w:val="1"/>
          <w:bCs w:val="1"/>
          <w:i w:val="1"/>
          <w:iCs w:val="1"/>
          <w:color w:val="auto"/>
        </w:rPr>
        <w:t>Terms and Conditions of Employment Arrangements with our NEOs</w:t>
      </w:r>
    </w:p>
    <w:p>
      <w:pPr>
        <w:ind w:left="260" w:right="359"/>
        <w:spacing w:after="0" w:line="264" w:lineRule="auto"/>
        <w:rPr>
          <w:sz w:val="20"/>
          <w:szCs w:val="20"/>
          <w:color w:val="auto"/>
        </w:rPr>
      </w:pPr>
      <w:r>
        <w:rPr>
          <w:rFonts w:ascii="Arial" w:cs="Arial" w:eastAsia="Arial" w:hAnsi="Arial"/>
          <w:sz w:val="18"/>
          <w:szCs w:val="18"/>
          <w:color w:val="auto"/>
        </w:rPr>
        <w:t>We have entered into agreements with each of the NEOs in connection with his employment with us. These agreements set forth the terms and conditions of employment of each named executive officer, including base salary, initial equity award grants, and standard employee benefit plan participation.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79"/>
        <w:spacing w:after="0" w:line="273" w:lineRule="auto"/>
        <w:rPr>
          <w:sz w:val="20"/>
          <w:szCs w:val="20"/>
          <w:color w:val="auto"/>
        </w:rPr>
      </w:pPr>
      <w:r>
        <w:rPr>
          <w:rFonts w:ascii="Arial" w:cs="Arial" w:eastAsia="Arial" w:hAnsi="Arial"/>
          <w:sz w:val="17"/>
          <w:szCs w:val="17"/>
          <w:color w:val="auto"/>
        </w:rPr>
        <w:t>Our board of directors or the compensation committee reviews each NEO’s base salary from time to time to ensure compensation adequately reflects the NEO’s qualifications, experience, role and responsibilities. For fiscal year 2017, Mr. Raab’s annual base salary was $555,000, Dr. Caldwell’s annual base salary was $414,000, and Dr. Rosenbaum’s annual base salary was $400,000. In addition, for 2017, Mr. Raab, Dr. Caldwell and Dr. Rosenbaum each had an annual bonus target of 55%, 40% and 40%, respectively, of base salary awarded based on the achievement of certain corporate and individual performance goals set by the board of directors.</w:t>
      </w:r>
    </w:p>
    <w:p>
      <w:pPr>
        <w:spacing w:after="0" w:line="178" w:lineRule="exact"/>
        <w:rPr>
          <w:sz w:val="20"/>
          <w:szCs w:val="20"/>
          <w:color w:val="auto"/>
        </w:rPr>
      </w:pPr>
    </w:p>
    <w:p>
      <w:pPr>
        <w:ind w:left="260" w:right="419"/>
        <w:spacing w:after="0" w:line="342" w:lineRule="auto"/>
        <w:rPr>
          <w:sz w:val="20"/>
          <w:szCs w:val="20"/>
          <w:color w:val="auto"/>
        </w:rPr>
      </w:pPr>
      <w:r>
        <w:rPr>
          <w:rFonts w:ascii="Arial" w:cs="Arial" w:eastAsia="Arial" w:hAnsi="Arial"/>
          <w:sz w:val="16"/>
          <w:szCs w:val="16"/>
          <w:color w:val="auto"/>
        </w:rPr>
        <w:t>In June 2014, we entered into an amended and restated employment agreement with Mr. Raab. We also entered into an amended and restated change in control severance agreement with Dr. Rosenbaum effective January 2017.</w:t>
      </w:r>
    </w:p>
    <w:p>
      <w:pPr>
        <w:spacing w:after="0" w:line="124" w:lineRule="exact"/>
        <w:rPr>
          <w:sz w:val="20"/>
          <w:szCs w:val="20"/>
          <w:color w:val="auto"/>
        </w:rPr>
      </w:pPr>
    </w:p>
    <w:p>
      <w:pPr>
        <w:ind w:left="260" w:right="539"/>
        <w:spacing w:after="0" w:line="285" w:lineRule="auto"/>
        <w:rPr>
          <w:sz w:val="20"/>
          <w:szCs w:val="20"/>
          <w:color w:val="auto"/>
        </w:rPr>
      </w:pPr>
      <w:r>
        <w:rPr>
          <w:rFonts w:ascii="Arial" w:cs="Arial" w:eastAsia="Arial" w:hAnsi="Arial"/>
          <w:sz w:val="16"/>
          <w:szCs w:val="16"/>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w:t>
      </w:r>
    </w:p>
    <w:p>
      <w:pPr>
        <w:spacing w:after="0" w:line="2" w:lineRule="exact"/>
        <w:rPr>
          <w:sz w:val="20"/>
          <w:szCs w:val="20"/>
          <w:color w:val="auto"/>
        </w:rPr>
      </w:pPr>
    </w:p>
    <w:p>
      <w:pPr>
        <w:ind w:left="260" w:right="259"/>
        <w:spacing w:after="0" w:line="267" w:lineRule="auto"/>
        <w:rPr>
          <w:sz w:val="20"/>
          <w:szCs w:val="20"/>
          <w:color w:val="auto"/>
        </w:rPr>
      </w:pPr>
      <w:r>
        <w:rPr>
          <w:rFonts w:ascii="Arial" w:cs="Arial" w:eastAsia="Arial" w:hAnsi="Arial"/>
          <w:sz w:val="17"/>
          <w:szCs w:val="17"/>
          <w:color w:val="auto"/>
        </w:rPr>
        <w:t>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187" w:lineRule="exact"/>
        <w:rPr>
          <w:sz w:val="20"/>
          <w:szCs w:val="20"/>
          <w:color w:val="auto"/>
        </w:rPr>
      </w:pPr>
    </w:p>
    <w:p>
      <w:pPr>
        <w:ind w:left="260" w:right="319"/>
        <w:spacing w:after="0" w:line="283" w:lineRule="auto"/>
        <w:rPr>
          <w:sz w:val="20"/>
          <w:szCs w:val="20"/>
          <w:color w:val="auto"/>
        </w:rPr>
      </w:pPr>
      <w:r>
        <w:rPr>
          <w:rFonts w:ascii="Arial" w:cs="Arial" w:eastAsia="Arial" w:hAnsi="Arial"/>
          <w:sz w:val="16"/>
          <w:szCs w:val="16"/>
          <w:color w:val="auto"/>
        </w:rPr>
        <w:t>Under Dr. Rosenbaum’s amended and restated change in control severance agreement, in the event Dr. Rosenbaum’s employment with us is involuntarily terminated for reason other than cause or he resigns for good reason, in each case more than three months prior to or more than 12 months after a change in control, then Dr. Rosenbaum will receive: (i) continued payment of his annual base salary as in effect immediately prior to such termination for a period of nine months; and (ii) payment of healthcare continuation costs for him and his eligible dependents for up to 12 months following the date of such termination. In the event Dr. Rosenbaum’s employment with us is involuntarily terminated for reason other than cause or he resigns for good reason, in each case within three months prior to and 12 months after a change in control, then Dr. Rosenbaum will receive: (i) a lump sum amount equal to the sum of his base salary as in effect immediately prior to such termination and his target annual bonus for the year of termination;</w:t>
      </w:r>
    </w:p>
    <w:p>
      <w:pPr>
        <w:spacing w:after="0" w:line="7" w:lineRule="exact"/>
        <w:rPr>
          <w:sz w:val="20"/>
          <w:szCs w:val="20"/>
          <w:color w:val="auto"/>
        </w:rPr>
      </w:pPr>
    </w:p>
    <w:p>
      <w:pPr>
        <w:ind w:left="260" w:right="379" w:firstLine="2"/>
        <w:spacing w:after="0" w:line="270" w:lineRule="auto"/>
        <w:tabs>
          <w:tab w:leader="none" w:pos="5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payment of healthcare continuation costs for him and his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Dr. Rosenbaum’s timely execution and non-revocation of a general release of claims against the Company and its affiliates, continued compliance with his confidential information agreement and a two-year post-termination nonsolicitation restrictive covenant.</w:t>
      </w:r>
    </w:p>
    <w:p>
      <w:pPr>
        <w:spacing w:after="0" w:line="179" w:lineRule="exact"/>
        <w:rPr>
          <w:sz w:val="20"/>
          <w:szCs w:val="20"/>
          <w:color w:val="auto"/>
        </w:rPr>
      </w:pPr>
    </w:p>
    <w:p>
      <w:pPr>
        <w:ind w:left="260" w:right="359"/>
        <w:spacing w:after="0" w:line="271" w:lineRule="auto"/>
        <w:rPr>
          <w:sz w:val="20"/>
          <w:szCs w:val="20"/>
          <w:color w:val="auto"/>
        </w:rPr>
      </w:pPr>
      <w:r>
        <w:rPr>
          <w:rFonts w:ascii="Arial" w:cs="Arial" w:eastAsia="Arial" w:hAnsi="Arial"/>
          <w:sz w:val="17"/>
          <w:szCs w:val="17"/>
          <w:color w:val="auto"/>
        </w:rPr>
        <w:t>For the purposes of Mr. Raab’s amended and restated employment agreement and Dr. Rosenbaum’s amended and restated change in control severance agreement, “cause” means (i) the NEO’s theft, dishonesty or falsification of any employment or company records that is non-trivial in nature; (ii) malicious or reckless disclosure of our confidential or proprietary information or any material breach by the NEO of his or her obligations under his or her proprietary information and inventions assignment agreement with us; (iii) the conviction of the NEO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339"/>
        <w:spacing w:after="0" w:line="255" w:lineRule="auto"/>
        <w:rPr>
          <w:sz w:val="20"/>
          <w:szCs w:val="20"/>
          <w:color w:val="auto"/>
        </w:rPr>
      </w:pPr>
      <w:r>
        <w:rPr>
          <w:rFonts w:ascii="Arial" w:cs="Arial" w:eastAsia="Arial" w:hAnsi="Arial"/>
          <w:sz w:val="18"/>
          <w:szCs w:val="18"/>
          <w:color w:val="auto"/>
        </w:rPr>
        <w:t>management to entrust him or her with important matters or otherwise work effectively with him, (B) substantially contributed to our loss of significant revenues or business opportunities, or (C) significantly and detrimentally affected the business or reputation of our company or any of our subsidiaries; and/or (iv) the willful failure or refusal by the NEO to follow the reasonable and lawful directives of the board of directors, provided such willful failure or refusal continues after his receipt of reasonable notice in writing of such failure or refusal and a reasonable opportunity of not less than 30 days to correct the problem.</w:t>
      </w:r>
    </w:p>
    <w:p>
      <w:pPr>
        <w:spacing w:after="0" w:line="193" w:lineRule="exact"/>
        <w:rPr>
          <w:sz w:val="20"/>
          <w:szCs w:val="20"/>
          <w:color w:val="auto"/>
        </w:rPr>
      </w:pPr>
    </w:p>
    <w:p>
      <w:pPr>
        <w:ind w:left="260" w:right="299"/>
        <w:spacing w:after="0" w:line="268" w:lineRule="auto"/>
        <w:rPr>
          <w:sz w:val="20"/>
          <w:szCs w:val="20"/>
          <w:color w:val="auto"/>
        </w:rPr>
      </w:pPr>
      <w:r>
        <w:rPr>
          <w:rFonts w:ascii="Arial" w:cs="Arial" w:eastAsia="Arial" w:hAnsi="Arial"/>
          <w:sz w:val="17"/>
          <w:szCs w:val="17"/>
          <w:color w:val="auto"/>
        </w:rPr>
        <w:t>For the purposes of Mr. Raab’s amended and restated employment agreement and Dr. Rosenbaum’s amended and restated change in control severance agreement, “good reason” means the occurrence of: (i) a material diminution in the NEO’s authority, duties, or responsibilities, which substantially reduces the nature or character of his position; (ii) a reduction by us of his base salary as in effect immediately prior to such reduction; (iii) a relocation of his principal office to a location more than 50 miles from the location of our principal office as of immediately prior to such relocation, except for required travel by him on company business; or (iv) any material breach by us of any provision of the NEO’s employment agreement or offer letter which we do not cure within 30 days following written notice from the NEO, provided that in order for “good reason” to exist, each of the following conditions must be met: (i) the foregoing good reason conditions must have occurred without the NEO’s express written consent; (ii) the NEO must provide written notice to us of such condition within 30 days of the initial existence of the condition; (iii) the condition specified in such notice must remain uncorrected for 30 days after receipt of such notice; and (iv) the date of the NEO’s resignation of employment must occur within 60 days after the initial existence of the condition specified in such notice.</w:t>
      </w:r>
    </w:p>
    <w:p>
      <w:pPr>
        <w:spacing w:after="0" w:line="188" w:lineRule="exact"/>
        <w:rPr>
          <w:sz w:val="20"/>
          <w:szCs w:val="20"/>
          <w:color w:val="auto"/>
        </w:rPr>
      </w:pPr>
    </w:p>
    <w:p>
      <w:pPr>
        <w:ind w:left="260" w:right="759"/>
        <w:spacing w:after="0" w:line="264" w:lineRule="auto"/>
        <w:rPr>
          <w:sz w:val="20"/>
          <w:szCs w:val="20"/>
          <w:color w:val="auto"/>
        </w:rPr>
      </w:pPr>
      <w:r>
        <w:rPr>
          <w:rFonts w:ascii="Arial" w:cs="Arial" w:eastAsia="Arial" w:hAnsi="Arial"/>
          <w:sz w:val="18"/>
          <w:szCs w:val="18"/>
          <w:color w:val="auto"/>
        </w:rPr>
        <w:t>Dr. Caldwell was party to a change in control severance agreement, effective as December 2014, that was substantially similar to that of Dr. Rosenbaum. Dr. Caldwell resigned in February 2018 and did not receive any severance payments in connection with his voluntary resignation.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Terms and Conditions of Annual Bonuses</w:t>
      </w:r>
    </w:p>
    <w:p>
      <w:pPr>
        <w:spacing w:after="0" w:line="117" w:lineRule="exact"/>
        <w:rPr>
          <w:sz w:val="20"/>
          <w:szCs w:val="20"/>
          <w:color w:val="auto"/>
        </w:rPr>
      </w:pPr>
    </w:p>
    <w:p>
      <w:pPr>
        <w:ind w:left="260" w:right="359"/>
        <w:spacing w:after="0" w:line="257" w:lineRule="auto"/>
        <w:rPr>
          <w:sz w:val="20"/>
          <w:szCs w:val="20"/>
          <w:color w:val="auto"/>
        </w:rPr>
      </w:pPr>
      <w:r>
        <w:rPr>
          <w:rFonts w:ascii="Arial" w:cs="Arial" w:eastAsia="Arial" w:hAnsi="Arial"/>
          <w:sz w:val="18"/>
          <w:szCs w:val="18"/>
          <w:color w:val="auto"/>
        </w:rPr>
        <w:t>For 2017, our NEOs were eligible for performance-based cash incentives pursuant to the achievement of certain corporate and individual performance objectives. The performance goals for these annual performance cash bonuses were evaluated by our compensation committee and approved by our board of directors. The determination of the amount of bonuses paid to our NEOs generally reflects a number of considerations, including the performance of the company against corporate goals.</w:t>
      </w:r>
    </w:p>
    <w:p>
      <w:pPr>
        <w:spacing w:after="0" w:line="188" w:lineRule="exact"/>
        <w:rPr>
          <w:sz w:val="20"/>
          <w:szCs w:val="20"/>
          <w:color w:val="auto"/>
        </w:rPr>
      </w:pPr>
    </w:p>
    <w:p>
      <w:pPr>
        <w:ind w:left="260" w:right="299"/>
        <w:spacing w:after="0" w:line="271" w:lineRule="auto"/>
        <w:rPr>
          <w:sz w:val="20"/>
          <w:szCs w:val="20"/>
          <w:color w:val="auto"/>
        </w:rPr>
      </w:pPr>
      <w:r>
        <w:rPr>
          <w:rFonts w:ascii="Arial" w:cs="Arial" w:eastAsia="Arial" w:hAnsi="Arial"/>
          <w:sz w:val="17"/>
          <w:szCs w:val="17"/>
          <w:color w:val="auto"/>
        </w:rPr>
        <w:t>Each NEO’s target bonus opportunity is expressed as a percentage of base salary which can be achieved by meeting corporate performance goals. Our board of directors or our compensation committee has historically reviewed these target percentages to ensure they are adequate, but does not follow a formula. Instead, our board of directors or our compensation committee has set these rates based on each participating executive’s experience in her or his role with our company and the level of responsibility held by each executive, which the board of directors or our compensation committee believe directly correlates to her or his ability to influence corporate results. For fiscal year 2017, our board of directors used a guideline target bonus opportunity of 55% of base salary for Mr. Raab and 40% of base salary for Drs. Caldwell and Rosenbaum.</w:t>
      </w:r>
    </w:p>
    <w:p>
      <w:pPr>
        <w:spacing w:after="0" w:line="179" w:lineRule="exact"/>
        <w:rPr>
          <w:sz w:val="20"/>
          <w:szCs w:val="20"/>
          <w:color w:val="auto"/>
        </w:rPr>
      </w:pPr>
    </w:p>
    <w:p>
      <w:pPr>
        <w:ind w:left="260" w:right="339"/>
        <w:spacing w:after="0" w:line="259" w:lineRule="auto"/>
        <w:rPr>
          <w:sz w:val="20"/>
          <w:szCs w:val="20"/>
          <w:color w:val="auto"/>
        </w:rPr>
      </w:pPr>
      <w:r>
        <w:rPr>
          <w:rFonts w:ascii="Arial" w:cs="Arial" w:eastAsia="Arial" w:hAnsi="Arial"/>
          <w:sz w:val="18"/>
          <w:szCs w:val="18"/>
          <w:color w:val="auto"/>
        </w:rPr>
        <w:t>For determining performance bonus amounts for our NEOs for 2017, our board of directors set certain corporate performance goals. In setting these goals, our board of directors considered the status of our research and discovery programs and our financial status. For 2017, the corporate component of the annual bonus was weighted at 100% for Mr. Raab, Dr. Caldwell and Dr. Rosenbaum</w:t>
      </w:r>
    </w:p>
    <w:p>
      <w:pPr>
        <w:spacing w:after="0" w:line="187" w:lineRule="exact"/>
        <w:rPr>
          <w:sz w:val="20"/>
          <w:szCs w:val="20"/>
          <w:color w:val="auto"/>
        </w:rPr>
      </w:pPr>
    </w:p>
    <w:p>
      <w:pPr>
        <w:ind w:left="260" w:right="459"/>
        <w:spacing w:after="0" w:line="277" w:lineRule="auto"/>
        <w:rPr>
          <w:sz w:val="20"/>
          <w:szCs w:val="20"/>
          <w:color w:val="auto"/>
        </w:rPr>
      </w:pPr>
      <w:r>
        <w:rPr>
          <w:rFonts w:ascii="Arial" w:cs="Arial" w:eastAsia="Arial" w:hAnsi="Arial"/>
          <w:sz w:val="18"/>
          <w:szCs w:val="18"/>
          <w:color w:val="auto"/>
        </w:rPr>
        <w:t>The compensation committee determined that the company’s performance against its 2017 corporate goals be set at 75% to reflect the company’s overall performance during 2017.</w:t>
      </w:r>
    </w:p>
    <w:p>
      <w:pPr>
        <w:spacing w:after="0" w:line="170" w:lineRule="exact"/>
        <w:rPr>
          <w:sz w:val="20"/>
          <w:szCs w:val="20"/>
          <w:color w:val="auto"/>
        </w:rPr>
      </w:pPr>
    </w:p>
    <w:p>
      <w:pPr>
        <w:ind w:left="260" w:right="299"/>
        <w:spacing w:after="0" w:line="286" w:lineRule="auto"/>
        <w:rPr>
          <w:sz w:val="20"/>
          <w:szCs w:val="20"/>
          <w:color w:val="auto"/>
        </w:rPr>
      </w:pPr>
      <w:r>
        <w:rPr>
          <w:rFonts w:ascii="Arial" w:cs="Arial" w:eastAsia="Arial" w:hAnsi="Arial"/>
          <w:sz w:val="17"/>
          <w:szCs w:val="17"/>
          <w:color w:val="auto"/>
        </w:rPr>
        <w:t>Following its review and determinations of corporate and individual achievements for 2017, the compensation committee awarded cash bonuses to Dr. Caldwell and Dr. Rosenbaum in amounts equal to 75% of each of their target bonuses for 2017, and the board of directors awarded cash bonuses to Mr. Raab in the amount equal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right="259"/>
        <w:spacing w:after="0" w:line="277" w:lineRule="auto"/>
        <w:rPr>
          <w:sz w:val="20"/>
          <w:szCs w:val="20"/>
          <w:color w:val="auto"/>
        </w:rPr>
      </w:pPr>
      <w:r>
        <w:rPr>
          <w:rFonts w:ascii="Arial" w:cs="Arial" w:eastAsia="Arial" w:hAnsi="Arial"/>
          <w:sz w:val="18"/>
          <w:szCs w:val="18"/>
          <w:color w:val="auto"/>
        </w:rPr>
        <w:t>75% of his target bonus for 2017. The NEOs’ 2017 bonuses are set forth in the “2017 Summary Compensation Table” above.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Terms and Conditions of Equity Award Grants</w:t>
      </w:r>
    </w:p>
    <w:p>
      <w:pPr>
        <w:spacing w:after="0" w:line="117" w:lineRule="exact"/>
        <w:rPr>
          <w:sz w:val="20"/>
          <w:szCs w:val="20"/>
          <w:color w:val="auto"/>
        </w:rPr>
      </w:pPr>
    </w:p>
    <w:p>
      <w:pPr>
        <w:ind w:left="260" w:right="299"/>
        <w:spacing w:after="0" w:line="288" w:lineRule="auto"/>
        <w:rPr>
          <w:sz w:val="20"/>
          <w:szCs w:val="20"/>
          <w:color w:val="auto"/>
        </w:rPr>
      </w:pPr>
      <w:r>
        <w:rPr>
          <w:rFonts w:ascii="Arial" w:cs="Arial" w:eastAsia="Arial" w:hAnsi="Arial"/>
          <w:sz w:val="16"/>
          <w:szCs w:val="16"/>
          <w:color w:val="auto"/>
        </w:rPr>
        <w:t>Each of our NEOs received equity award grants in 2017. The table above entitled “Outstanding Equity Awards at 2017 Fiscal Year End” describes the material terms of the award granted in 2017 and of the other equity awards made in past fiscal years to each NEO. In January 2017, in connection with our annual compensation review, each of</w:t>
      </w:r>
    </w:p>
    <w:p>
      <w:pPr>
        <w:ind w:left="260" w:right="299"/>
        <w:spacing w:after="0" w:line="288" w:lineRule="auto"/>
        <w:rPr>
          <w:sz w:val="20"/>
          <w:szCs w:val="20"/>
          <w:color w:val="auto"/>
        </w:rPr>
      </w:pPr>
      <w:r>
        <w:rPr>
          <w:rFonts w:ascii="Arial" w:cs="Arial" w:eastAsia="Arial" w:hAnsi="Arial"/>
          <w:sz w:val="16"/>
          <w:szCs w:val="16"/>
          <w:color w:val="auto"/>
        </w:rPr>
        <w:t>Mr. Raab, Dr. Caldwell and Dr. Rosenbaum were granted an option to purchase 318,141, 106,047 and 106,047 shares of our common stock, respectively, under our 2014 Plan at an exercise price equal to $13.90, which was our fair market value of our common stock on the grant date. The options vest and become exercisable in substantially equal monthly installments over four years, subject to the NEO continuing to provide services to us through such dates. In addition, in January 2017, each of our NEOs received a grant of 17,985 restricted stock units that vest in full upon the acceptance of our new drug application filing by the Food and Drug Administration, which must occur on or before January 19, 2020, subject to the NEO continuing to provide services to us through such date.</w:t>
      </w:r>
    </w:p>
    <w:p>
      <w:pPr>
        <w:spacing w:after="0" w:line="169" w:lineRule="exact"/>
        <w:rPr>
          <w:sz w:val="20"/>
          <w:szCs w:val="20"/>
          <w:color w:val="auto"/>
        </w:rPr>
      </w:pPr>
    </w:p>
    <w:p>
      <w:pPr>
        <w:ind w:left="260" w:right="319"/>
        <w:spacing w:after="0" w:line="255" w:lineRule="auto"/>
        <w:rPr>
          <w:sz w:val="20"/>
          <w:szCs w:val="20"/>
          <w:color w:val="auto"/>
        </w:rPr>
      </w:pPr>
      <w:r>
        <w:rPr>
          <w:rFonts w:ascii="Arial" w:cs="Arial" w:eastAsia="Arial" w:hAnsi="Arial"/>
          <w:sz w:val="18"/>
          <w:szCs w:val="18"/>
          <w:color w:val="auto"/>
        </w:rPr>
        <w:t>In August 2017, each NEO was granted an option to purchase 79,535 (for Mr. Raab) and 26,512 (for Drs. Caldwell and Rosenbaum) shares of our common stock under our 2014 Plan at an exercise price equal to $4.70, which was our fair market value of our common stock on the grant date. Each NEO was also granted 79,535 (for Mr. Raab) and 26,512 (for Drs. Caldwell and Rosenbaum) restricted stock units under our 2014 Plan. The options and restricted stock units vest as to two-thirds of the shares subject to the equity award on December 31, 2018 and as to the remaining one-third of the shares subject to the equity award on June 1, 2019, subject to the NEO continuing to provide services to us through such dates.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left="260" w:right="1039"/>
        <w:spacing w:after="0" w:line="277" w:lineRule="auto"/>
        <w:rPr>
          <w:sz w:val="20"/>
          <w:szCs w:val="20"/>
          <w:color w:val="auto"/>
        </w:rPr>
      </w:pPr>
      <w:r>
        <w:rPr>
          <w:rFonts w:ascii="Arial" w:cs="Arial" w:eastAsia="Arial" w:hAnsi="Arial"/>
          <w:sz w:val="18"/>
          <w:szCs w:val="18"/>
          <w:color w:val="auto"/>
        </w:rPr>
        <w:t>The following table provides certain information as of December 31, 2017, with respect to all of our equity compensation plans in effect on that date:</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9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be Issued</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Upon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 of</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Options,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Warrants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Warrants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58"/>
        </w:trPr>
        <w:tc>
          <w:tcPr>
            <w:tcW w:w="3940" w:type="dxa"/>
            <w:vAlign w:val="bottom"/>
            <w:gridSpan w:val="2"/>
            <w:vMerge w:val="continue"/>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(a)</w:t>
            </w: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(b)</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 xml:space="preserve">(c)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4,640,283</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$9.74</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1,218,405</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4,640,283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$9.74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68580</wp:posOffset>
            </wp:positionV>
            <wp:extent cx="540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95" w:lineRule="exact"/>
        <w:rPr>
          <w:sz w:val="20"/>
          <w:szCs w:val="20"/>
          <w:color w:val="auto"/>
        </w:rPr>
      </w:pPr>
    </w:p>
    <w:p>
      <w:pPr>
        <w:ind w:left="580" w:right="279" w:hanging="318"/>
        <w:spacing w:after="0" w:line="255"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outstanding awards of 684,962 for restricted stock units and (B) 3,955,341 stock options. The weighted average exercise price shown is for stock options; other outstanding awards had no exercise price. No new awards may be made under the 2008 Stock Incentive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right="259" w:hanging="318"/>
        <w:spacing w:after="0" w:line="283"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Ardelyx, Inc. 2014 Equity Incentive Plan and the Ardelyx, Inc. 2014 Employee Stock Purchase Plan contain “evergreen” provisions, pursuant to which (i) the number of shares of common stock reserved for issuance pursuant to awards under the 2014 Equity Inventive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w:t>
      </w:r>
    </w:p>
    <w:p>
      <w:pPr>
        <w:spacing w:after="0" w:line="6" w:lineRule="exact"/>
        <w:rPr>
          <w:rFonts w:ascii="Arial" w:cs="Arial" w:eastAsia="Arial" w:hAnsi="Arial"/>
          <w:sz w:val="16"/>
          <w:szCs w:val="16"/>
          <w:color w:val="auto"/>
        </w:rPr>
      </w:pPr>
    </w:p>
    <w:p>
      <w:pPr>
        <w:ind w:left="580" w:right="299"/>
        <w:spacing w:after="0" w:line="250" w:lineRule="auto"/>
        <w:rPr>
          <w:rFonts w:ascii="Arial" w:cs="Arial" w:eastAsia="Arial" w:hAnsi="Arial"/>
          <w:sz w:val="16"/>
          <w:szCs w:val="16"/>
          <w:color w:val="auto"/>
        </w:rPr>
      </w:pPr>
      <w:r>
        <w:rPr>
          <w:rFonts w:ascii="Arial" w:cs="Arial" w:eastAsia="Arial" w:hAnsi="Arial"/>
          <w:sz w:val="18"/>
          <w:szCs w:val="18"/>
          <w:color w:val="auto"/>
        </w:rPr>
        <w:t>(A) one percent (1.0%) of the shares of stock outstanding (on an as converted basis) on the last day of the immediately preceding fiscal year, and (B) such smaller number of shares of stock as determined by our board of directors.</w:t>
      </w:r>
    </w:p>
    <w:p>
      <w:pPr>
        <w:spacing w:after="0" w:line="1" w:lineRule="exact"/>
        <w:rPr>
          <w:rFonts w:ascii="Arial" w:cs="Arial" w:eastAsia="Arial" w:hAnsi="Arial"/>
          <w:sz w:val="16"/>
          <w:szCs w:val="16"/>
          <w:color w:val="auto"/>
        </w:rPr>
      </w:pPr>
    </w:p>
    <w:p>
      <w:pPr>
        <w:ind w:left="580" w:right="579" w:hanging="318"/>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178,677 shares that were available for future issuances as of December 31, 2017 under the 2014 Employee Stock Purchase Plan, which allows eligible to purchase shares of common stock with accumulated payroll deductions.</w:t>
      </w:r>
    </w:p>
    <w:p>
      <w:pPr>
        <w:spacing w:after="0" w:line="1" w:lineRule="exact"/>
        <w:rPr>
          <w:rFonts w:ascii="Arial" w:cs="Arial" w:eastAsia="Arial" w:hAnsi="Arial"/>
          <w:sz w:val="18"/>
          <w:szCs w:val="18"/>
          <w:color w:val="auto"/>
        </w:rPr>
      </w:pPr>
    </w:p>
    <w:p>
      <w:pPr>
        <w:ind w:left="580" w:hanging="31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Ardelyx, Inc. 2016 Employment Commencement Incentive Plan.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Material Features of the 2016 Employment Commencement Incentive Plan</w:t>
      </w:r>
    </w:p>
    <w:p>
      <w:pPr>
        <w:spacing w:after="0" w:line="117" w:lineRule="exact"/>
        <w:rPr>
          <w:sz w:val="20"/>
          <w:szCs w:val="20"/>
          <w:color w:val="auto"/>
        </w:rPr>
      </w:pPr>
    </w:p>
    <w:p>
      <w:pPr>
        <w:ind w:left="260" w:right="259"/>
        <w:spacing w:after="0" w:line="268" w:lineRule="auto"/>
        <w:rPr>
          <w:sz w:val="20"/>
          <w:szCs w:val="20"/>
          <w:color w:val="auto"/>
        </w:rPr>
      </w:pPr>
      <w:r>
        <w:rPr>
          <w:rFonts w:ascii="Arial" w:cs="Arial" w:eastAsia="Arial" w:hAnsi="Arial"/>
          <w:sz w:val="17"/>
          <w:szCs w:val="17"/>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2014 Plan is intended to be exempt from the Nasdaq Listing Rules regarding shareholder approval of stock option and stock purchase plans. A total of 1,000,000 shares of our common stock were reserved for issuance under the 2016 Plan. The 2016 Plan provides for the grant of incentive stock options, or ISOs, non-qualified stock options, restricted stock units, restricted stock awards, stock appreciation rights, or SARs and other stock-based and cash-based awards.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As of December 31, 2017, we had not granted any awards under the 2016 Plan, and 1,000,000 shares remained available for future grants.</w:t>
      </w:r>
    </w:p>
    <w:p>
      <w:pPr>
        <w:spacing w:after="0" w:line="185" w:lineRule="exact"/>
        <w:rPr>
          <w:sz w:val="20"/>
          <w:szCs w:val="20"/>
          <w:color w:val="auto"/>
        </w:rPr>
      </w:pPr>
    </w:p>
    <w:p>
      <w:pPr>
        <w:ind w:left="260" w:right="339"/>
        <w:spacing w:after="0" w:line="257" w:lineRule="auto"/>
        <w:rPr>
          <w:sz w:val="20"/>
          <w:szCs w:val="20"/>
          <w:color w:val="auto"/>
        </w:rPr>
      </w:pPr>
      <w:r>
        <w:rPr>
          <w:rFonts w:ascii="Arial" w:cs="Arial" w:eastAsia="Arial" w:hAnsi="Arial"/>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188" w:lineRule="exact"/>
        <w:rPr>
          <w:sz w:val="20"/>
          <w:szCs w:val="20"/>
          <w:color w:val="auto"/>
        </w:rPr>
      </w:pPr>
    </w:p>
    <w:p>
      <w:pPr>
        <w:ind w:left="260" w:right="359"/>
        <w:spacing w:after="0" w:line="223" w:lineRule="exact"/>
        <w:rPr>
          <w:sz w:val="20"/>
          <w:szCs w:val="20"/>
          <w:color w:val="auto"/>
        </w:rPr>
      </w:pPr>
      <w:r>
        <w:rPr>
          <w:rFonts w:ascii="Arial" w:cs="Arial" w:eastAsia="Arial" w:hAnsi="Arial"/>
          <w:sz w:val="18"/>
          <w:szCs w:val="18"/>
          <w:color w:val="auto"/>
        </w:rPr>
        <w:t>We filed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with the SEC covering the shares of common stock that may be issued under the 2016 Plan.</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60" w:right="479"/>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our common stock as of April 20, 2018, by:</w:t>
      </w:r>
    </w:p>
    <w:p>
      <w:pPr>
        <w:spacing w:after="0" w:line="62" w:lineRule="exact"/>
        <w:rPr>
          <w:sz w:val="20"/>
          <w:szCs w:val="20"/>
          <w:color w:val="auto"/>
        </w:rPr>
      </w:pPr>
    </w:p>
    <w:p>
      <w:pPr>
        <w:ind w:left="960" w:right="1039" w:hanging="319"/>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62" w:lineRule="exact"/>
        <w:rPr>
          <w:rFonts w:ascii="Arial" w:cs="Arial" w:eastAsia="Arial" w:hAnsi="Arial"/>
          <w:sz w:val="18"/>
          <w:szCs w:val="18"/>
          <w:color w:val="auto"/>
        </w:rPr>
      </w:pPr>
    </w:p>
    <w:p>
      <w:pPr>
        <w:ind w:left="960" w:hanging="319"/>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117" w:lineRule="exact"/>
        <w:rPr>
          <w:rFonts w:ascii="Arial" w:cs="Arial" w:eastAsia="Arial" w:hAnsi="Arial"/>
          <w:sz w:val="18"/>
          <w:szCs w:val="18"/>
          <w:color w:val="auto"/>
        </w:rPr>
      </w:pPr>
    </w:p>
    <w:p>
      <w:pPr>
        <w:ind w:left="960" w:hanging="319"/>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960" w:hanging="319"/>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260" w:right="339"/>
        <w:spacing w:after="0" w:line="291" w:lineRule="auto"/>
        <w:rPr>
          <w:sz w:val="20"/>
          <w:szCs w:val="20"/>
          <w:color w:val="auto"/>
        </w:rPr>
      </w:pPr>
      <w:r>
        <w:rPr>
          <w:rFonts w:ascii="Arial" w:cs="Arial" w:eastAsia="Arial" w:hAnsi="Arial"/>
          <w:sz w:val="16"/>
          <w:szCs w:val="16"/>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20, 2018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spacing w:after="0" w:line="167" w:lineRule="exact"/>
        <w:rPr>
          <w:sz w:val="20"/>
          <w:szCs w:val="20"/>
          <w:color w:val="auto"/>
        </w:rPr>
      </w:pPr>
    </w:p>
    <w:p>
      <w:pPr>
        <w:ind w:left="260" w:right="319"/>
        <w:spacing w:after="0" w:line="285" w:lineRule="auto"/>
        <w:rPr>
          <w:sz w:val="20"/>
          <w:szCs w:val="20"/>
          <w:color w:val="auto"/>
        </w:rPr>
      </w:pPr>
      <w:r>
        <w:rPr>
          <w:rFonts w:ascii="Arial" w:cs="Arial" w:eastAsia="Arial" w:hAnsi="Arial"/>
          <w:sz w:val="16"/>
          <w:szCs w:val="16"/>
          <w:color w:val="auto"/>
        </w:rPr>
        <w:t>The percentage of shares beneficially owned is computed on the basis of 47,603,568 shares of our common stock outstanding as of April 20, 2018. Shares of our common stock that a person has the right to acquire within 60 days of April 20, 2018 pursuant to the exercise of outstanding stock options, warrants or other rights are deemed outstanding for purposes of computing the percentage ownership of the person holding such rights, but are not deemed outstanding for purposes of computing the percentage ownership of any other person, except with respect to</w:t>
      </w:r>
    </w:p>
    <w:p>
      <w:pPr>
        <w:spacing w:after="0" w:line="2" w:lineRule="exact"/>
        <w:rPr>
          <w:sz w:val="20"/>
          <w:szCs w:val="20"/>
          <w:color w:val="auto"/>
        </w:rPr>
      </w:pPr>
    </w:p>
    <w:p>
      <w:pPr>
        <w:jc w:val="both"/>
        <w:ind w:left="260" w:right="599"/>
        <w:spacing w:after="0" w:line="255" w:lineRule="auto"/>
        <w:rPr>
          <w:sz w:val="20"/>
          <w:szCs w:val="20"/>
          <w:color w:val="auto"/>
        </w:rPr>
      </w:pPr>
      <w:r>
        <w:rPr>
          <w:rFonts w:ascii="Arial" w:cs="Arial" w:eastAsia="Arial" w:hAnsi="Arial"/>
          <w:sz w:val="18"/>
          <w:szCs w:val="18"/>
          <w:color w:val="auto"/>
        </w:rPr>
        <w:t>the percentage ownership of all directors and executive officers as a group. Unless otherwise indicated below, the address for each beneficial owner listed is c/o Ardelyx, Inc., at 34175 Ardenwood Blvd., Suite 200, Fremont, CA 94555.</w:t>
      </w:r>
    </w:p>
    <w:p>
      <w:pPr>
        <w:spacing w:after="0" w:line="22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Beneficial Ownership</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138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200" w:type="dxa"/>
            <w:vAlign w:val="bottom"/>
          </w:tcPr>
          <w:p>
            <w:pPr>
              <w:spacing w:after="0"/>
              <w:rPr>
                <w:sz w:val="15"/>
                <w:szCs w:val="15"/>
                <w:color w:val="auto"/>
              </w:rPr>
            </w:pPr>
          </w:p>
        </w:tc>
        <w:tc>
          <w:tcPr>
            <w:tcW w:w="12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Within 60 Days</w:t>
            </w:r>
          </w:p>
        </w:tc>
        <w:tc>
          <w:tcPr>
            <w:tcW w:w="11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Owned</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36"/>
        </w:trPr>
        <w:tc>
          <w:tcPr>
            <w:tcW w:w="38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5% and Greater Stockholders</w:t>
            </w:r>
          </w:p>
        </w:tc>
        <w:tc>
          <w:tcPr>
            <w:tcW w:w="10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Entities Associated with New Enterprise Associates</w:t>
            </w:r>
            <w:r>
              <w:rPr>
                <w:rFonts w:ascii="Arial" w:cs="Arial" w:eastAsia="Arial" w:hAnsi="Arial"/>
                <w:sz w:val="14"/>
                <w:szCs w:val="14"/>
                <w:color w:val="auto"/>
                <w:vertAlign w:val="superscript"/>
              </w:rPr>
              <w:t>(1)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14,085,047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1,401,870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15,486,917</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Future Fund Investment Company No. 4 Pty Ltd</w:t>
            </w:r>
            <w:r>
              <w:rPr>
                <w:rFonts w:ascii="Arial" w:cs="Arial" w:eastAsia="Arial" w:hAnsi="Arial"/>
                <w:sz w:val="14"/>
                <w:szCs w:val="14"/>
                <w:color w:val="auto"/>
                <w:vertAlign w:val="superscript"/>
              </w:rPr>
              <w:t>(2)</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3,436,426</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3,436,426</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BlackRock, Inc.</w:t>
            </w:r>
            <w:r>
              <w:rPr>
                <w:rFonts w:ascii="Arial" w:cs="Arial" w:eastAsia="Arial" w:hAnsi="Arial"/>
                <w:sz w:val="14"/>
                <w:szCs w:val="14"/>
                <w:color w:val="auto"/>
                <w:vertAlign w:val="superscript"/>
              </w:rPr>
              <w:t>(3)</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2,506,999</w:t>
            </w:r>
          </w:p>
        </w:tc>
        <w:tc>
          <w:tcPr>
            <w:tcW w:w="2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2,506,999</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Entities Associated with Deerfield</w:t>
            </w:r>
            <w:r>
              <w:rPr>
                <w:rFonts w:ascii="Arial" w:cs="Arial" w:eastAsia="Arial" w:hAnsi="Arial"/>
                <w:sz w:val="14"/>
                <w:szCs w:val="14"/>
                <w:color w:val="auto"/>
                <w:vertAlign w:val="superscript"/>
              </w:rPr>
              <w:t>(4)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2,469,580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2,469,580</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Entities Associated with Rock Springs Capital</w:t>
            </w:r>
            <w:r>
              <w:rPr>
                <w:rFonts w:ascii="Arial" w:cs="Arial" w:eastAsia="Arial" w:hAnsi="Arial"/>
                <w:sz w:val="14"/>
                <w:szCs w:val="14"/>
                <w:color w:val="auto"/>
                <w:vertAlign w:val="superscript"/>
              </w:rPr>
              <w:t>(5)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2,275,557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140,187</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2,415,744</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and Directors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Michael Raab</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71,903</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703422</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775,325</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David Rosenbaum, Ph.D. </w:t>
            </w:r>
            <w:r>
              <w:rPr>
                <w:rFonts w:ascii="Arial" w:cs="Arial" w:eastAsia="Arial" w:hAnsi="Arial"/>
                <w:sz w:val="14"/>
                <w:szCs w:val="14"/>
                <w:color w:val="auto"/>
                <w:vertAlign w:val="superscript"/>
              </w:rPr>
              <w:t>(7)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101,551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135,513</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237,064</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Jeremy Caldwell, Ph.D.</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1,575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197,346</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198,921</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Mott</w:t>
            </w:r>
            <w:r>
              <w:rPr>
                <w:rFonts w:ascii="Arial" w:cs="Arial" w:eastAsia="Arial" w:hAnsi="Arial"/>
                <w:sz w:val="14"/>
                <w:szCs w:val="14"/>
                <w:color w:val="auto"/>
                <w:vertAlign w:val="superscript"/>
              </w:rPr>
              <w:t>(8)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5,364,916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886,122</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6,251,038</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Robert Bazemore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31,666</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31,666</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Bertrand, Jr.</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21,481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51,527</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73,008</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Annalisa Jenkins, MBBS, FRCP</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55,000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55,000</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Jan M. Lundberg, Ph.D.</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Gordon Ringold, Ph.D.</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Rodgers</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86,296</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All directors and executive officers as a group (12 persons)</w:t>
            </w:r>
          </w:p>
        </w:tc>
        <w:tc>
          <w:tcPr>
            <w:tcW w:w="1080" w:type="dxa"/>
            <w:vAlign w:val="bottom"/>
          </w:tcPr>
          <w:p>
            <w:pPr>
              <w:jc w:val="right"/>
              <w:spacing w:after="0"/>
              <w:rPr>
                <w:sz w:val="20"/>
                <w:szCs w:val="20"/>
                <w:color w:val="auto"/>
              </w:rPr>
            </w:pPr>
            <w:r>
              <w:rPr>
                <w:rFonts w:ascii="Arial" w:cs="Arial" w:eastAsia="Arial" w:hAnsi="Arial"/>
                <w:sz w:val="14"/>
                <w:szCs w:val="14"/>
                <w:color w:val="auto"/>
              </w:rPr>
              <w:t>5,625,443</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2,727,350</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8,352,793</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46990</wp:posOffset>
            </wp:positionV>
            <wp:extent cx="5403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2" w:lineRule="exact"/>
        <w:rPr>
          <w:sz w:val="20"/>
          <w:szCs w:val="20"/>
          <w:color w:val="auto"/>
        </w:rPr>
      </w:pPr>
    </w:p>
    <w:p>
      <w:pPr>
        <w:ind w:left="4420" w:right="1559" w:hanging="4158"/>
        <w:spacing w:after="0" w:line="778"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shares of common stock.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-224790</wp:posOffset>
            </wp:positionV>
            <wp:extent cx="539432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right="319" w:hanging="318"/>
        <w:spacing w:after="0" w:line="217" w:lineRule="exact"/>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(i) 8,752,543 shares held by New Enterprise Associates 12, Limited Partnership (“NEA 12”), and 560,748 shares that may be acquired by NEA 12 upon the exercise of warrants within 60 days of April 20, 2018; (ii) 2,665,520 shares held by New Enterprise Associates 15, L.P. (“NEA 15”), and 420,561 shares that may be acquired by NEA 15 upon the exercise of warrants within 60 days of April 20, 2018; and (iii) 2,665,519 shares held by NEA 15 Opportunity Fund, L.P. (“NEA 15</w:t>
      </w:r>
      <w:r>
        <w:rPr>
          <w:rFonts w:ascii="MS PGothic" w:cs="MS PGothic" w:eastAsia="MS PGothic" w:hAnsi="MS PGothic"/>
          <w:sz w:val="16"/>
          <w:szCs w:val="16"/>
          <w:color w:val="auto"/>
        </w:rPr>
        <w:t>‑</w:t>
      </w:r>
      <w:r>
        <w:rPr>
          <w:rFonts w:ascii="Arial" w:cs="Arial" w:eastAsia="Arial" w:hAnsi="Arial"/>
          <w:sz w:val="16"/>
          <w:szCs w:val="16"/>
          <w:color w:val="auto"/>
        </w:rPr>
        <w:t>OF” and collectively with NEA 12 and NEA 15, the “Funds”), and 420,561 shares that may be acquired by NEA 15</w:t>
      </w:r>
      <w:r>
        <w:rPr>
          <w:rFonts w:ascii="MS PGothic" w:cs="MS PGothic" w:eastAsia="MS PGothic" w:hAnsi="MS PGothic"/>
          <w:sz w:val="16"/>
          <w:szCs w:val="16"/>
          <w:color w:val="auto"/>
        </w:rPr>
        <w:t>‑</w:t>
      </w:r>
      <w:r>
        <w:rPr>
          <w:rFonts w:ascii="Arial" w:cs="Arial" w:eastAsia="Arial" w:hAnsi="Arial"/>
          <w:sz w:val="16"/>
          <w:szCs w:val="16"/>
          <w:color w:val="auto"/>
        </w:rPr>
        <w:t>OF upon the exercise of warrants within 60 days of April 20, 2018. The shares directly held by NEA 12 are indirectly held by NEA Partners 12, L.P. (“NEA Partners 12”), the sole general partner of NEA 12, NEA 12 GP, LLC (“NEA 12 LLC”), the sole general partner of NEA Partners 12 and each of the individual Managers of NEA 12 LLC. The individual managers of NEA 12 LLC (collectively the “NEA 12 Managers”) are M. James Barrett, Peter J. Barris, Forest Baskett Patrick J. Kerins and Scott D. Sandell. The shares directly held by Ven 2008 are indirectly held by Karen P. Welsh, the general partner of Ven 2008. The shares directly held by NEA 15 are indirectly held by NEA Partners 15, L.P. (“NEA Partners 15”), the sole general partner of NEA 15, NEA 15 GP, LLC (“NEA 15 LLC”), the sole general partner of NEA Partners 15 and each of the individual Managers of NEA 15 LLC. The individual managers of NEA 15 LLC (collectively the “NEA 15 Managers”) are Peter J. Barris, Forest Baskett, Anthony A Florence, Jr., Joshua Makower, David M. Mott, Ravi Viswanathan, Jon Sakoda, Peter W. Sonsini and Scott D. Sandell. The shares directly held by NEA 15 OF are indirectly held by NEA Partners 15</w:t>
      </w:r>
      <w:r>
        <w:rPr>
          <w:rFonts w:ascii="MS PGothic" w:cs="MS PGothic" w:eastAsia="MS PGothic" w:hAnsi="MS PGothic"/>
          <w:sz w:val="16"/>
          <w:szCs w:val="16"/>
          <w:color w:val="auto"/>
        </w:rPr>
        <w:t>‑</w:t>
      </w:r>
      <w:r>
        <w:rPr>
          <w:rFonts w:ascii="Arial" w:cs="Arial" w:eastAsia="Arial" w:hAnsi="Arial"/>
          <w:sz w:val="16"/>
          <w:szCs w:val="16"/>
          <w:color w:val="auto"/>
        </w:rPr>
        <w:t>OF, L.P. (“NEA Partners 15</w:t>
      </w:r>
      <w:r>
        <w:rPr>
          <w:rFonts w:ascii="MS PGothic" w:cs="MS PGothic" w:eastAsia="MS PGothic" w:hAnsi="MS PGothic"/>
          <w:sz w:val="16"/>
          <w:szCs w:val="16"/>
          <w:color w:val="auto"/>
        </w:rPr>
        <w:t>‑</w:t>
      </w:r>
      <w:r>
        <w:rPr>
          <w:rFonts w:ascii="Arial" w:cs="Arial" w:eastAsia="Arial" w:hAnsi="Arial"/>
          <w:sz w:val="16"/>
          <w:szCs w:val="16"/>
          <w:color w:val="auto"/>
        </w:rPr>
        <w:t>OF”), the sole general partner of NEA 15 OF, NEA 15 LLC, the sole general partner of NEA Partners 15</w:t>
      </w:r>
      <w:r>
        <w:rPr>
          <w:rFonts w:ascii="MS PGothic" w:cs="MS PGothic" w:eastAsia="MS PGothic" w:hAnsi="MS PGothic"/>
          <w:sz w:val="16"/>
          <w:szCs w:val="16"/>
          <w:color w:val="auto"/>
        </w:rPr>
        <w:t>‑</w:t>
      </w:r>
      <w:r>
        <w:rPr>
          <w:rFonts w:ascii="Arial" w:cs="Arial" w:eastAsia="Arial" w:hAnsi="Arial"/>
          <w:sz w:val="16"/>
          <w:szCs w:val="16"/>
          <w:color w:val="auto"/>
        </w:rPr>
        <w:t>OF and each of the NEA 15 Managers. NEA 12, NEA Partners 12 NEA 12 LLC and the NEA 12 Managers share voting and dispositive power with regard to the Company’s securities directly held by NEA 12. NEA 15, NEA Partners 15, NEA 15 LLC and the NEA 15 Managers share voting and dispositive power with regard to the Company’s securities directly held by NEA 15. NEA 15</w:t>
      </w:r>
      <w:r>
        <w:rPr>
          <w:rFonts w:ascii="MS PGothic" w:cs="MS PGothic" w:eastAsia="MS PGothic" w:hAnsi="MS PGothic"/>
          <w:sz w:val="16"/>
          <w:szCs w:val="16"/>
          <w:color w:val="auto"/>
        </w:rPr>
        <w:t>‑</w:t>
      </w:r>
      <w:r>
        <w:rPr>
          <w:rFonts w:ascii="Arial" w:cs="Arial" w:eastAsia="Arial" w:hAnsi="Arial"/>
          <w:sz w:val="16"/>
          <w:szCs w:val="16"/>
          <w:color w:val="auto"/>
        </w:rPr>
        <w:t>OF, NEA Partners 15</w:t>
      </w:r>
      <w:r>
        <w:rPr>
          <w:rFonts w:ascii="MS PGothic" w:cs="MS PGothic" w:eastAsia="MS PGothic" w:hAnsi="MS PGothic"/>
          <w:sz w:val="16"/>
          <w:szCs w:val="16"/>
          <w:color w:val="auto"/>
        </w:rPr>
        <w:t>‑</w:t>
      </w:r>
      <w:r>
        <w:rPr>
          <w:rFonts w:ascii="Arial" w:cs="Arial" w:eastAsia="Arial" w:hAnsi="Arial"/>
          <w:sz w:val="16"/>
          <w:szCs w:val="16"/>
          <w:color w:val="auto"/>
        </w:rPr>
        <w:t>OF, NEA 15 LLC and the NEA 15 Managers share voting and dispositive power with regard to the Company’s securities directly held by NEA 15</w:t>
      </w:r>
      <w:r>
        <w:rPr>
          <w:rFonts w:ascii="MS PGothic" w:cs="MS PGothic" w:eastAsia="MS PGothic" w:hAnsi="MS PGothic"/>
          <w:sz w:val="16"/>
          <w:szCs w:val="16"/>
          <w:color w:val="auto"/>
        </w:rPr>
        <w:t>‑</w:t>
      </w:r>
      <w:r>
        <w:rPr>
          <w:rFonts w:ascii="Arial" w:cs="Arial" w:eastAsia="Arial" w:hAnsi="Arial"/>
          <w:sz w:val="16"/>
          <w:szCs w:val="16"/>
          <w:color w:val="auto"/>
        </w:rPr>
        <w:t>OF. Karen P. Welsh, the general partner of Ven 2008, has voting and dispositive power with regard to the Company’s securities directly held by Ven 2008. All indirect holders of the above referenced shares disclaim beneficial ownership of all applicable shares except to the extent of their actual pecuniary interest therein. The address of NEA 12, NEA 15, NEA 15</w:t>
      </w:r>
      <w:r>
        <w:rPr>
          <w:rFonts w:ascii="MS PGothic" w:cs="MS PGothic" w:eastAsia="MS PGothic" w:hAnsi="MS PGothic"/>
          <w:sz w:val="16"/>
          <w:szCs w:val="16"/>
          <w:color w:val="auto"/>
        </w:rPr>
        <w:t>‑</w:t>
      </w:r>
      <w:r>
        <w:rPr>
          <w:rFonts w:ascii="Arial" w:cs="Arial" w:eastAsia="Arial" w:hAnsi="Arial"/>
          <w:sz w:val="16"/>
          <w:szCs w:val="16"/>
          <w:color w:val="auto"/>
        </w:rPr>
        <w:t>OF and Ven 2008 is 1954 Greenspring Drive, Suite 600, Timonium, MD 21093.</w:t>
      </w:r>
    </w:p>
    <w:p>
      <w:pPr>
        <w:spacing w:after="0" w:line="11" w:lineRule="exact"/>
        <w:rPr>
          <w:rFonts w:ascii="Arial" w:cs="Arial" w:eastAsia="Arial" w:hAnsi="Arial"/>
          <w:sz w:val="16"/>
          <w:szCs w:val="16"/>
          <w:color w:val="auto"/>
        </w:rPr>
      </w:pPr>
    </w:p>
    <w:p>
      <w:pPr>
        <w:ind w:left="580" w:right="279" w:hanging="318"/>
        <w:spacing w:after="0" w:line="250"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3,436,426 shares as reported on Schedule 13G filed with the SEC on January 18, 2017 by Future Fund Investment Company No. 4 Pty Ltd (“FF Investment”) and Future Fund Board of Guardians (“FF Guardians”) pursuant to a joint filing agreement. FF Investment holds 3,436,426 shares indirectly through The Northern Trust Company in its capacity as custodian for FF Investment. FF Guardians is the parent of FF Investment, and shares voting and investment power over and may deemed to own beneficially the shares held by FF Investment. FF Investment and FF Guardians have their principal business offices at Level 42, 120 Collins Street, Melbourne, VIC 300, Australia.</w:t>
      </w:r>
    </w:p>
    <w:p>
      <w:pPr>
        <w:spacing w:after="0" w:line="3" w:lineRule="exact"/>
        <w:rPr>
          <w:rFonts w:ascii="Arial" w:cs="Arial" w:eastAsia="Arial" w:hAnsi="Arial"/>
          <w:sz w:val="18"/>
          <w:szCs w:val="18"/>
          <w:color w:val="auto"/>
        </w:rPr>
      </w:pPr>
    </w:p>
    <w:p>
      <w:pPr>
        <w:ind w:left="580" w:right="419" w:hanging="318"/>
        <w:spacing w:after="0" w:line="281"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2,542,907 shares as reported on Schedule 13G filed with the SEC on February 1, 2018 by BlackRock, Inc. BlackRock, Inc. has its principal business office at 55 East 52nd Street, New York, NY 10055.</w:t>
      </w:r>
    </w:p>
    <w:p>
      <w:pPr>
        <w:spacing w:after="0" w:line="1" w:lineRule="exact"/>
        <w:rPr>
          <w:rFonts w:ascii="Arial" w:cs="Arial" w:eastAsia="Arial" w:hAnsi="Arial"/>
          <w:sz w:val="16"/>
          <w:szCs w:val="16"/>
          <w:color w:val="auto"/>
        </w:rPr>
      </w:pPr>
    </w:p>
    <w:p>
      <w:pPr>
        <w:ind w:left="580" w:right="339" w:hanging="318"/>
        <w:spacing w:after="0" w:line="265"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2,469,580 shares as reported on Schedule 13G/A filed with the SEC on February 14, 2018 by Deerfield Mgmt, L.P. (“Deerfield Mgmt”), Deerfield Management Company, L.P. (“Deerfield Management”), Deerfield Special Situations Fund, L.P. (“Special Situations”), Deerfield Partners, L.P. (“Deerfield Partners”), Deerfield International Master Fund, L.P. (“Deerfield International”) and James E. Flynn (collectively, the “Deerfield Reporting Persons”) pursuant to a joint filing agreement. Deerfield Mgmt is the general partner of Special Situations, Deerfield Partners and Deerfield International, and may be deemed to own beneficially the shares held by Special Situations, Deerfield Partners and Deerfield International. Deerfield Management is the investment advisor of Special Situations, Deerfield Partners and Deerfield International, and may be deemed to own beneficially the shares held by Special Situations, Deerfield Partners and Deerfield International. The principal business address of the Deerfield Reporting Persons is 780 Third Avenue, 37th Floor, New York, NY 10017.</w:t>
      </w:r>
    </w:p>
    <w:p>
      <w:pPr>
        <w:spacing w:after="0" w:line="2" w:lineRule="exact"/>
        <w:rPr>
          <w:rFonts w:ascii="Arial" w:cs="Arial" w:eastAsia="Arial" w:hAnsi="Arial"/>
          <w:sz w:val="17"/>
          <w:szCs w:val="17"/>
          <w:color w:val="auto"/>
        </w:rPr>
      </w:pPr>
    </w:p>
    <w:p>
      <w:pPr>
        <w:ind w:left="580" w:right="379" w:hanging="318"/>
        <w:spacing w:after="0" w:line="30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(i) 2,275,557 shares of common stock and (ii) 140,187 shares that may be acquired by Master Fund (as defined below) upon the exercise of warrants within 60 days of April 20, 2018, in each case as reported on Schedule 13G/A filed with the SEC on February 14, 2018 by Rock Springs Capital Management LP</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right="619"/>
        <w:spacing w:after="0" w:line="218" w:lineRule="exact"/>
        <w:rPr>
          <w:sz w:val="20"/>
          <w:szCs w:val="20"/>
          <w:color w:val="auto"/>
        </w:rPr>
      </w:pPr>
      <w:r>
        <w:rPr>
          <w:rFonts w:ascii="Arial" w:cs="Arial" w:eastAsia="Arial" w:hAnsi="Arial"/>
          <w:sz w:val="16"/>
          <w:szCs w:val="16"/>
          <w:color w:val="auto"/>
        </w:rPr>
        <w:t>(“RSCM”), Rock Springs Capital LLC (“RSC”) and Rock Springs Capital Master Fund LP (“Master Fund”) pursuant to a joint filing agreement. RSC is the general partner of RSCM, which serves as the investment manager to Master Fund, and each may be deemed to beneficially own the shares held by Master Fund. The principal business address of RSCM and RSC is 650 South Exeter, Suite 1070, Baltimore, MD 21202. The principal business address of Master Fund is c/o Walkers Corporate Limited, Cayman Corporate Centre, 27 Hospital Road, George Town, Grand Cayman, KY1</w:t>
      </w:r>
      <w:r>
        <w:rPr>
          <w:rFonts w:ascii="MS PGothic" w:cs="MS PGothic" w:eastAsia="MS PGothic" w:hAnsi="MS PGothic"/>
          <w:sz w:val="16"/>
          <w:szCs w:val="16"/>
          <w:color w:val="auto"/>
        </w:rPr>
        <w:t>‑</w:t>
      </w:r>
      <w:r>
        <w:rPr>
          <w:rFonts w:ascii="Arial" w:cs="Arial" w:eastAsia="Arial" w:hAnsi="Arial"/>
          <w:sz w:val="16"/>
          <w:szCs w:val="16"/>
          <w:color w:val="auto"/>
        </w:rPr>
        <w:t>9008, Cayman Islands.</w:t>
      </w:r>
    </w:p>
    <w:p>
      <w:pPr>
        <w:spacing w:after="0" w:line="5" w:lineRule="exact"/>
        <w:rPr>
          <w:sz w:val="20"/>
          <w:szCs w:val="20"/>
          <w:color w:val="auto"/>
        </w:rPr>
      </w:pPr>
    </w:p>
    <w:p>
      <w:pPr>
        <w:ind w:left="580" w:right="399" w:hanging="318"/>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1,518 shares directly owned by Mr. Raab, (ii) 69,385 shares owned directly by Michael G. Raab, trustee of the Michael G. Raab Living Trust dated July 25, 2012, (iii) an aggregate of 1,000 shares owned directly by trusts for the benefit of Mr. Raab’s children.</w:t>
      </w:r>
    </w:p>
    <w:p>
      <w:pPr>
        <w:spacing w:after="0" w:line="1" w:lineRule="exact"/>
        <w:rPr>
          <w:rFonts w:ascii="Arial" w:cs="Arial" w:eastAsia="Arial" w:hAnsi="Arial"/>
          <w:sz w:val="18"/>
          <w:szCs w:val="18"/>
          <w:color w:val="auto"/>
        </w:rPr>
      </w:pPr>
    </w:p>
    <w:p>
      <w:pPr>
        <w:ind w:left="580" w:right="299" w:hanging="318"/>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22,414 shares directly owned by Dr. Rosenbaum, (ii) 115,137 shares that may be acquired directly by Dr. Rosenbaum pursuant to the exercise of stock options within 60 days of April 20, 2018, (iii) 77,592 shares owned indirectly owned by David Paul Rosenbaum and Susan Edelstein Rosenbaum, Trustees of the David Paul Rosenbaum Family Trust, (iv) 1,545 shares owned directly by Dr. Rosenbaum’s spouse, and (v) 20,376 shares that may be acquired directly by Dr. Rosenbaum’s spouse pursuant to the exercise of stock options with 60 days of April 20, 2018.</w:t>
      </w:r>
    </w:p>
    <w:p>
      <w:pPr>
        <w:spacing w:after="0" w:line="2" w:lineRule="exact"/>
        <w:rPr>
          <w:rFonts w:ascii="Arial" w:cs="Arial" w:eastAsia="Arial" w:hAnsi="Arial"/>
          <w:sz w:val="18"/>
          <w:szCs w:val="18"/>
          <w:color w:val="auto"/>
        </w:rPr>
      </w:pPr>
    </w:p>
    <w:p>
      <w:pPr>
        <w:ind w:left="580" w:right="339" w:hanging="318"/>
        <w:spacing w:after="0" w:line="281"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(i) 33,877 shares directly owned by Mr. Mott, (ii) 45,000 shares that may be acquired directly by Mr. Mott pursuant to the exercise of stock options within 60 days of April 20, 2018 (iii) 2,665,520 shares owned by NEA 15, and 420,561 shares that may be acquired by NEA 15 pursuant to the exercise of warrants within</w:t>
      </w:r>
    </w:p>
    <w:p>
      <w:pPr>
        <w:spacing w:after="0" w:line="2" w:lineRule="exact"/>
        <w:rPr>
          <w:rFonts w:ascii="Arial" w:cs="Arial" w:eastAsia="Arial" w:hAnsi="Arial"/>
          <w:sz w:val="16"/>
          <w:szCs w:val="16"/>
          <w:color w:val="auto"/>
        </w:rPr>
      </w:pPr>
    </w:p>
    <w:p>
      <w:pPr>
        <w:ind w:left="580" w:right="319"/>
        <w:spacing w:after="0" w:line="216" w:lineRule="exact"/>
        <w:rPr>
          <w:rFonts w:ascii="Arial" w:cs="Arial" w:eastAsia="Arial" w:hAnsi="Arial"/>
          <w:sz w:val="16"/>
          <w:szCs w:val="16"/>
          <w:color w:val="auto"/>
        </w:rPr>
      </w:pPr>
      <w:r>
        <w:rPr>
          <w:rFonts w:ascii="Arial" w:cs="Arial" w:eastAsia="Arial" w:hAnsi="Arial"/>
          <w:sz w:val="17"/>
          <w:szCs w:val="17"/>
          <w:color w:val="auto"/>
        </w:rPr>
        <w:t>60 days of April 20, 2018, and (iv) 2,665,519 shares owned by NEA 15</w:t>
      </w:r>
      <w:r>
        <w:rPr>
          <w:rFonts w:ascii="MS PGothic" w:cs="MS PGothic" w:eastAsia="MS PGothic" w:hAnsi="MS PGothic"/>
          <w:sz w:val="17"/>
          <w:szCs w:val="17"/>
          <w:color w:val="auto"/>
        </w:rPr>
        <w:t>‑</w:t>
      </w:r>
      <w:r>
        <w:rPr>
          <w:rFonts w:ascii="Arial" w:cs="Arial" w:eastAsia="Arial" w:hAnsi="Arial"/>
          <w:sz w:val="17"/>
          <w:szCs w:val="17"/>
          <w:color w:val="auto"/>
        </w:rPr>
        <w:t>OF, and 420,561 shares that may be acquired by NEA 15</w:t>
      </w:r>
      <w:r>
        <w:rPr>
          <w:rFonts w:ascii="MS PGothic" w:cs="MS PGothic" w:eastAsia="MS PGothic" w:hAnsi="MS PGothic"/>
          <w:sz w:val="17"/>
          <w:szCs w:val="17"/>
          <w:color w:val="auto"/>
        </w:rPr>
        <w:t>‑</w:t>
      </w:r>
      <w:r>
        <w:rPr>
          <w:rFonts w:ascii="Arial" w:cs="Arial" w:eastAsia="Arial" w:hAnsi="Arial"/>
          <w:sz w:val="17"/>
          <w:szCs w:val="17"/>
          <w:color w:val="auto"/>
        </w:rPr>
        <w:t>OF pursuant to the exercise of warrants within 60 days of April 20, 2018. Mr. Mott is a manager of NEA 15, LLC, which is the sole general partner of NEA Partners 15, L.P., which is the sole general partner of NEA 15. NEA15, LLC is also the sole general partner of NEA Partners 15</w:t>
      </w:r>
      <w:r>
        <w:rPr>
          <w:rFonts w:ascii="MS PGothic" w:cs="MS PGothic" w:eastAsia="MS PGothic" w:hAnsi="MS PGothic"/>
          <w:sz w:val="17"/>
          <w:szCs w:val="17"/>
          <w:color w:val="auto"/>
        </w:rPr>
        <w:t>‑</w:t>
      </w:r>
      <w:r>
        <w:rPr>
          <w:rFonts w:ascii="Arial" w:cs="Arial" w:eastAsia="Arial" w:hAnsi="Arial"/>
          <w:sz w:val="17"/>
          <w:szCs w:val="17"/>
          <w:color w:val="auto"/>
        </w:rPr>
        <w:t>OF, L.P., which is the sole general partner of NEA 15</w:t>
      </w:r>
      <w:r>
        <w:rPr>
          <w:rFonts w:ascii="MS PGothic" w:cs="MS PGothic" w:eastAsia="MS PGothic" w:hAnsi="MS PGothic"/>
          <w:sz w:val="17"/>
          <w:szCs w:val="17"/>
          <w:color w:val="auto"/>
        </w:rPr>
        <w:t>‑</w:t>
      </w:r>
      <w:r>
        <w:rPr>
          <w:rFonts w:ascii="Arial" w:cs="Arial" w:eastAsia="Arial" w:hAnsi="Arial"/>
          <w:sz w:val="17"/>
          <w:szCs w:val="17"/>
          <w:color w:val="auto"/>
        </w:rPr>
        <w:t>OF. Mr. Mott disclaims beneficial ownership of the shares held by NEA 15 and NEA 15</w:t>
      </w:r>
      <w:r>
        <w:rPr>
          <w:rFonts w:ascii="MS PGothic" w:cs="MS PGothic" w:eastAsia="MS PGothic" w:hAnsi="MS PGothic"/>
          <w:sz w:val="17"/>
          <w:szCs w:val="17"/>
          <w:color w:val="auto"/>
        </w:rPr>
        <w:t>‑</w:t>
      </w:r>
      <w:r>
        <w:rPr>
          <w:rFonts w:ascii="Arial" w:cs="Arial" w:eastAsia="Arial" w:hAnsi="Arial"/>
          <w:sz w:val="17"/>
          <w:szCs w:val="17"/>
          <w:color w:val="auto"/>
        </w:rPr>
        <w:t>OF, as well as the shares that may be acquired by NEA 15 and NEA 15</w:t>
      </w:r>
      <w:r>
        <w:rPr>
          <w:rFonts w:ascii="MS PGothic" w:cs="MS PGothic" w:eastAsia="MS PGothic" w:hAnsi="MS PGothic"/>
          <w:sz w:val="17"/>
          <w:szCs w:val="17"/>
          <w:color w:val="auto"/>
        </w:rPr>
        <w:t>‑</w:t>
      </w:r>
      <w:r>
        <w:rPr>
          <w:rFonts w:ascii="Arial" w:cs="Arial" w:eastAsia="Arial" w:hAnsi="Arial"/>
          <w:sz w:val="17"/>
          <w:szCs w:val="17"/>
          <w:color w:val="auto"/>
        </w:rPr>
        <w:t>OF within 60 days of April 20, 2018, in each case, except to the extent of his pecuniary interest in such shares.</w:t>
      </w:r>
    </w:p>
    <w:p>
      <w:pPr>
        <w:spacing w:after="0" w:line="1" w:lineRule="exact"/>
        <w:rPr>
          <w:rFonts w:ascii="Arial" w:cs="Arial" w:eastAsia="Arial" w:hAnsi="Arial"/>
          <w:sz w:val="16"/>
          <w:szCs w:val="16"/>
          <w:color w:val="auto"/>
        </w:rPr>
      </w:pPr>
    </w:p>
    <w:p>
      <w:pPr>
        <w:ind w:left="580" w:right="379" w:hanging="318"/>
        <w:spacing w:after="0" w:line="261"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15,000 shares held by the Barthold Family Foundation, for which Dr. Ringold serves as a trustee, and (ii) 10,000 shares held in an IRA for the benefit of Dr. Ringold.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60" w:right="279"/>
        <w:spacing w:after="0" w:line="255" w:lineRule="auto"/>
        <w:rPr>
          <w:sz w:val="20"/>
          <w:szCs w:val="20"/>
          <w:color w:val="auto"/>
        </w:rPr>
      </w:pPr>
      <w:r>
        <w:rPr>
          <w:rFonts w:ascii="Arial" w:cs="Arial" w:eastAsia="Arial" w:hAnsi="Arial"/>
          <w:sz w:val="18"/>
          <w:szCs w:val="18"/>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 the Company’s knowledge, based solely on a review of the copies of such reports furnished to the Company and</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written representations that no other reports were required, during the year ended December 31, 2017, all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Section 16(a) filing requirements applicable to our officers, directors and greater than 10% beneficial owners were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met, except with respect to: (i) late Form 4 filings reporting sales of shares held by Paul Korner on January 5, 2017</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and David Rosenbaum on April 18, 2017, (ii) a late Form 4 filing reporting the issuance of a stock option to Annalisa</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Jenkins on June 7, 2017, (iiii) late Form 4 filings reporting the issuance of restricted stock units to Jeremy Caldwell,</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David Rosenbaum, Reginald Seeto, Michael Raab, Mark Kaufmann and Elizabeth Grammer on August 7, 2017 and</w:t>
      </w:r>
    </w:p>
    <w:p>
      <w:pPr>
        <w:spacing w:after="0" w:line="32" w:lineRule="exact"/>
        <w:rPr>
          <w:sz w:val="20"/>
          <w:szCs w:val="20"/>
          <w:color w:val="auto"/>
        </w:rPr>
      </w:pPr>
    </w:p>
    <w:p>
      <w:pPr>
        <w:ind w:left="260" w:right="379" w:firstLine="2"/>
        <w:spacing w:after="0" w:line="261" w:lineRule="auto"/>
        <w:tabs>
          <w:tab w:leader="none" w:pos="5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late Form 5 filing reporting the acquisition of a restricted stock unit and the sale of common stock beneficially held by David Rosenbaum.</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260" w:right="419"/>
        <w:spacing w:after="0" w:line="279" w:lineRule="auto"/>
        <w:rPr>
          <w:sz w:val="20"/>
          <w:szCs w:val="20"/>
          <w:color w:val="auto"/>
        </w:rPr>
      </w:pPr>
      <w:r>
        <w:rPr>
          <w:rFonts w:ascii="Arial" w:cs="Arial" w:eastAsia="Arial" w:hAnsi="Arial"/>
          <w:sz w:val="17"/>
          <w:szCs w:val="17"/>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117" w:lineRule="exact"/>
        <w:rPr>
          <w:sz w:val="20"/>
          <w:szCs w:val="20"/>
          <w:color w:val="auto"/>
        </w:rPr>
      </w:pPr>
    </w:p>
    <w:p>
      <w:pPr>
        <w:ind w:left="260" w:right="279"/>
        <w:spacing w:after="0" w:line="220" w:lineRule="exact"/>
        <w:rPr>
          <w:sz w:val="20"/>
          <w:szCs w:val="20"/>
          <w:color w:val="auto"/>
        </w:rPr>
      </w:pPr>
      <w:r>
        <w:rPr>
          <w:rFonts w:ascii="Arial" w:cs="Arial" w:eastAsia="Arial" w:hAnsi="Arial"/>
          <w:sz w:val="16"/>
          <w:szCs w:val="16"/>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w:t>
      </w:r>
      <w:r>
        <w:rPr>
          <w:rFonts w:ascii="MS PGothic" w:cs="MS PGothic" w:eastAsia="MS PGothic" w:hAnsi="MS PGothic"/>
          <w:sz w:val="16"/>
          <w:szCs w:val="16"/>
          <w:color w:val="auto"/>
        </w:rPr>
        <w:t>‑</w:t>
      </w:r>
      <w:r>
        <w:rPr>
          <w:rFonts w:ascii="Arial" w:cs="Arial" w:eastAsia="Arial" w:hAnsi="Arial"/>
          <w:sz w:val="16"/>
          <w:szCs w:val="16"/>
          <w:color w:val="auto"/>
        </w:rPr>
        <w:t>1700 or by mail at Ardelyx, Inc., 34175 Ardenwood Blvd., Suite 200, Fremont, CA 94555.</w:t>
      </w:r>
    </w:p>
    <w:p>
      <w:pPr>
        <w:spacing w:after="0" w:line="203" w:lineRule="exact"/>
        <w:rPr>
          <w:sz w:val="20"/>
          <w:szCs w:val="20"/>
          <w:color w:val="auto"/>
        </w:rPr>
      </w:pPr>
    </w:p>
    <w:p>
      <w:pPr>
        <w:ind w:left="260" w:right="259"/>
        <w:spacing w:after="0" w:line="279" w:lineRule="auto"/>
        <w:rPr>
          <w:sz w:val="20"/>
          <w:szCs w:val="20"/>
          <w:color w:val="auto"/>
        </w:rPr>
      </w:pPr>
      <w:r>
        <w:rPr>
          <w:rFonts w:ascii="Arial" w:cs="Arial" w:eastAsia="Arial" w:hAnsi="Arial"/>
          <w:sz w:val="17"/>
          <w:szCs w:val="17"/>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117" w:lineRule="exact"/>
        <w:rPr>
          <w:sz w:val="20"/>
          <w:szCs w:val="20"/>
          <w:color w:val="auto"/>
        </w:rPr>
      </w:pPr>
    </w:p>
    <w:p>
      <w:pPr>
        <w:ind w:left="260" w:right="659"/>
        <w:spacing w:after="0" w:line="277"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Reports</w:t>
      </w:r>
    </w:p>
    <w:p>
      <w:pPr>
        <w:spacing w:after="0" w:line="117" w:lineRule="exact"/>
        <w:rPr>
          <w:sz w:val="20"/>
          <w:szCs w:val="20"/>
          <w:color w:val="auto"/>
        </w:rPr>
      </w:pPr>
    </w:p>
    <w:p>
      <w:pPr>
        <w:jc w:val="both"/>
        <w:ind w:left="260" w:right="299"/>
        <w:spacing w:after="0" w:line="221" w:lineRule="exact"/>
        <w:rPr>
          <w:sz w:val="20"/>
          <w:szCs w:val="20"/>
          <w:color w:val="auto"/>
        </w:rPr>
      </w:pPr>
      <w:r>
        <w:rPr>
          <w:rFonts w:ascii="Arial" w:cs="Arial" w:eastAsia="Arial" w:hAnsi="Arial"/>
          <w:sz w:val="16"/>
          <w:szCs w:val="16"/>
          <w:b w:val="1"/>
          <w:bCs w:val="1"/>
          <w:color w:val="auto"/>
        </w:rPr>
        <w:t>This proxy statement is accompanied by our 2017 Annual Report to Stockholders, which includes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for the fiscal year ended December 31, 2017, or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includes our audited consolidated financial statements. We have filed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with the SEC, and it is available free of charge at the SEC’s website at www.sec.gov and on our website at ir.ardelyx.com. In addition, upon</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26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260" w:right="499"/>
        <w:spacing w:after="0" w:line="222" w:lineRule="exact"/>
        <w:rPr>
          <w:sz w:val="20"/>
          <w:szCs w:val="20"/>
          <w:color w:val="auto"/>
        </w:rPr>
      </w:pPr>
      <w:r>
        <w:rPr>
          <w:rFonts w:ascii="Arial" w:cs="Arial" w:eastAsia="Arial" w:hAnsi="Arial"/>
          <w:sz w:val="18"/>
          <w:szCs w:val="18"/>
          <w:b w:val="1"/>
          <w:bCs w:val="1"/>
          <w:color w:val="auto"/>
        </w:rPr>
        <w:t>written request to the Company’s Corporate Secretary at Ardelyx, Inc., Suite 200, 34175 Ardenwood Blvd., Fremont, CA 94555, we will mail a paper copy of our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including the consolidated financial statements and the financial statement schedules, to you free of charge.</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260" w:right="459"/>
        <w:spacing w:after="0" w:line="257" w:lineRule="auto"/>
        <w:rPr>
          <w:sz w:val="20"/>
          <w:szCs w:val="20"/>
          <w:color w:val="auto"/>
        </w:rPr>
      </w:pPr>
      <w:r>
        <w:rPr>
          <w:rFonts w:ascii="Arial" w:cs="Arial" w:eastAsia="Arial" w:hAnsi="Arial"/>
          <w:sz w:val="18"/>
          <w:szCs w:val="18"/>
          <w:color w:val="auto"/>
        </w:rPr>
        <w:t>As of the date of this proxy statement, our board of directors knows of no other matters that will be presented for consideration at the 2018 Annual Meeting other than the matters described in this proxy statement. If other matters are properly brought before the 2018 Annual Meeting, then proxies will be voted in accordance with the recommendation of the board of directors or, in the absence of such a recommendation, in accordance with the best judgment of the proxy holder.</w:t>
      </w:r>
    </w:p>
    <w:p>
      <w:pPr>
        <w:spacing w:after="0" w:line="18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Elizabeth Grammer</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-130810</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Executive Vice President and General Counsel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April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83185</wp:posOffset>
            </wp:positionV>
            <wp:extent cx="539432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43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260"/>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527050</wp:posOffset>
            </wp:positionV>
            <wp:extent cx="5394325" cy="7075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94325" cy="707517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260"/>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398145</wp:posOffset>
            </wp:positionV>
            <wp:extent cx="5394325" cy="7254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4325" cy="725487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260"/>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398145</wp:posOffset>
            </wp:positionV>
            <wp:extent cx="5394325" cy="5754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4325" cy="575437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2"/>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6"/>
    </w:lvl>
  </w:abstractNum>
  <w:abstractNum w:abstractNumId="24">
    <w:nsid w:val="79838CB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2019-12-07T12:48:31Z</dcterms:created>
  <dcterms:modified xsi:type="dcterms:W3CDTF">2019-12-07T12:48:31Z</dcterms:modified>
</cp:coreProperties>
</file>