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10-Q</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2"/>
        </w:rPr>
      </w:pPr>
      <w:r>
        <w:rPr>
          <w:rFonts w:ascii="Times New Roman;sans-serif" w:hAnsi="Times New Roman;sans-serif"/>
          <w:b w:val="false"/>
          <w:color w:val="000000"/>
          <w:sz w:val="12"/>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0" w:after="0"/>
        <w:jc w:val="center"/>
        <w:rPr/>
      </w:pPr>
      <w:r>
        <w:rPr>
          <w:rFonts w:ascii="Times New Roman;sans-serif" w:hAnsi="Times New Roman;sans-serif"/>
          <w:b/>
          <w:color w:val="000000"/>
          <w:sz w:val="20"/>
        </w:rPr>
        <w:t>For the quarterly period ended</w:t>
      </w:r>
      <w:r>
        <w:rPr>
          <w:color w:val="000000"/>
        </w:rPr>
        <w:t xml:space="preserve"> </w:t>
      </w: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spacing w:lineRule="auto" w:line="288" w:before="0" w:after="0"/>
        <w:jc w:val="center"/>
        <w:rPr/>
      </w:pPr>
      <w:r>
        <w:rPr>
          <w:rFonts w:ascii="Times New Roman;sans-serif" w:hAnsi="Times New Roman;sans-serif"/>
          <w:b/>
          <w:color w:val="000000"/>
          <w:sz w:val="20"/>
        </w:rPr>
        <w:t>Commission file number:</w:t>
      </w:r>
      <w:r>
        <w:rPr>
          <w:color w:val="000000"/>
        </w:rPr>
        <w:t xml:space="preserve"> </w:t>
      </w:r>
      <w:r>
        <w:rPr>
          <w:rFonts w:ascii="Times New Roman;sans-serif" w:hAnsi="Times New Roman;sans-serif"/>
          <w:b/>
          <w:color w:val="000000"/>
          <w:sz w:val="20"/>
        </w:rPr>
        <w:t>001-36485</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drawing>
          <wp:inline distT="0" distB="63500" distL="0" distR="0">
            <wp:extent cx="571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 cy="571500"/>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ARDELYX, INC.</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8025" w:type="dxa"/>
        <w:jc w:val="left"/>
        <w:tblInd w:w="0" w:type="dxa"/>
        <w:tblCellMar>
          <w:top w:w="28" w:type="dxa"/>
          <w:left w:w="28" w:type="dxa"/>
          <w:bottom w:w="28" w:type="dxa"/>
          <w:right w:w="28" w:type="dxa"/>
        </w:tblCellMar>
      </w:tblPr>
      <w:tblGrid>
        <w:gridCol w:w="1822"/>
        <w:gridCol w:w="1601"/>
        <w:gridCol w:w="1617"/>
        <w:gridCol w:w="871"/>
        <w:gridCol w:w="871"/>
        <w:gridCol w:w="1243"/>
      </w:tblGrid>
      <w:tr>
        <w:trPr/>
        <w:tc>
          <w:tcPr>
            <w:tcW w:w="1822" w:type="dxa"/>
            <w:tcBorders/>
            <w:shd w:fill="auto" w:val="clear"/>
            <w:vAlign w:val="center"/>
          </w:tcPr>
          <w:p>
            <w:pPr>
              <w:pStyle w:val="TableContents"/>
              <w:spacing w:before="0" w:after="283"/>
              <w:rPr>
                <w:sz w:val="4"/>
                <w:szCs w:val="4"/>
              </w:rPr>
            </w:pPr>
            <w:r>
              <w:rPr>
                <w:sz w:val="4"/>
                <w:szCs w:val="4"/>
              </w:rPr>
            </w:r>
          </w:p>
        </w:tc>
        <w:tc>
          <w:tcPr>
            <w:tcW w:w="1601"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r>
      <w:tr>
        <w:trPr/>
        <w:tc>
          <w:tcPr>
            <w:tcW w:w="5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26-1303944</w:t>
            </w:r>
          </w:p>
        </w:tc>
      </w:tr>
      <w:tr>
        <w:trPr/>
        <w:tc>
          <w:tcPr>
            <w:tcW w:w="5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400 Fifth Avenue, Suite 210, Waltham, Massachusetts 02451</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(Zip Code)</w:t>
      </w:r>
    </w:p>
    <w:p>
      <w:pPr>
        <w:pStyle w:val="TextBody"/>
        <w:spacing w:lineRule="auto" w:line="288" w:before="240" w:after="283"/>
        <w:jc w:val="center"/>
        <w:rPr/>
      </w:pPr>
      <w:r>
        <w:rPr>
          <w:rFonts w:ascii="Times New Roman;sans-serif" w:hAnsi="Times New Roman;sans-serif"/>
          <w:b/>
          <w:color w:val="000000"/>
          <w:sz w:val="20"/>
        </w:rPr>
        <w:t>(510)</w:t>
      </w:r>
      <w:r>
        <w:rPr>
          <w:color w:val="000000"/>
        </w:rPr>
        <w:t xml:space="preserve"> </w:t>
      </w:r>
      <w:r>
        <w:rPr>
          <w:rFonts w:ascii="Times New Roman;sans-serif" w:hAnsi="Times New Roman;sans-serif"/>
          <w:b/>
          <w:color w:val="000000"/>
          <w:sz w:val="20"/>
        </w:rPr>
        <w:t>745-1700</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986" w:type="dxa"/>
        <w:jc w:val="left"/>
        <w:tblInd w:w="0" w:type="dxa"/>
        <w:tblCellMar>
          <w:top w:w="28" w:type="dxa"/>
          <w:left w:w="28" w:type="dxa"/>
          <w:bottom w:w="28" w:type="dxa"/>
          <w:right w:w="28" w:type="dxa"/>
        </w:tblCellMar>
      </w:tblPr>
      <w:tblGrid>
        <w:gridCol w:w="927"/>
        <w:gridCol w:w="813"/>
        <w:gridCol w:w="824"/>
        <w:gridCol w:w="109"/>
        <w:gridCol w:w="109"/>
        <w:gridCol w:w="109"/>
        <w:gridCol w:w="484"/>
        <w:gridCol w:w="484"/>
        <w:gridCol w:w="486"/>
        <w:gridCol w:w="109"/>
        <w:gridCol w:w="109"/>
        <w:gridCol w:w="109"/>
        <w:gridCol w:w="970"/>
        <w:gridCol w:w="970"/>
        <w:gridCol w:w="1374"/>
      </w:tblGrid>
      <w:tr>
        <w:trPr/>
        <w:tc>
          <w:tcPr>
            <w:tcW w:w="927"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5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ARDX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p>
      <w:pPr>
        <w:pStyle w:val="TextBody"/>
        <w:spacing w:lineRule="auto" w:line="288" w:before="200" w:after="283"/>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200" w:after="283"/>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    </w:t>
      </w:r>
      <w:r>
        <w:rPr>
          <w:rFonts w:ascii="Times New Roman;sans-serif" w:hAnsi="Times New Roman;sans-serif"/>
          <w:b w:val="false"/>
          <w:color w:val="000000"/>
          <w:sz w:val="16"/>
        </w:rPr>
        <w:t>No </w:t>
      </w:r>
      <w:r>
        <w:rPr>
          <w:color w:val="000000"/>
        </w:rPr>
        <w:t>☐</w:t>
      </w:r>
    </w:p>
    <w:p>
      <w:pPr>
        <w:pStyle w:val="TextBody"/>
        <w:spacing w:lineRule="auto" w:line="288" w:before="200" w:after="283"/>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200" w:after="283"/>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w:t>
      </w:r>
      <w:r>
        <w:rPr>
          <w:color w:val="000000"/>
        </w:rPr>
        <w:t> ☒</w:t>
      </w:r>
    </w:p>
    <w:p>
      <w:pPr>
        <w:pStyle w:val="TextBody"/>
        <w:spacing w:lineRule="auto" w:line="288" w:before="2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number of issued and outstanding shares of the registrant’s Common Stock, $0.0001 par value per share, as of April 28, 2023, was 214,462,429.</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in this Quarterly Report on Form 10-Q the terms “Ardelyx”, “we,” “us,” “our” and “the Company” refer to Ardelyx, Inc.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pStyle w:val="TextBody"/>
        <w:spacing w:before="0" w:after="0"/>
        <w:jc w:val="both"/>
        <w:rPr/>
      </w:pPr>
      <w:r>
        <w:rPr/>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our expectations regarding the timing of receipt from the U.S. Food and Drug Administration (“FDA”) of an Acknowledgement of Receipt letter for our new drug application (“NDA”) for XPHOZAH</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(tenapanor) for the control of serum phosphorus in adult patients with chronic kidney disease patients (“CKD”) on dialysis who have had an inadequate response or intolerance to a phosphate binder therapy, and our current expectation that such letter will include the classification of the resubmission and the goal review date for our NDA;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our expectations regarding the development of a label for the commercialization of XPHOZAH and our belief regarding what indication may be included in such a label;</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expectations regarding the potential for FDA approval for the NDA for XPHOZAH;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expectations regarding the timing of the FDA’s review of the NDA for XPHOZAH and, if approved, our current expectations regarding our timing to launch XPHOZAH;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our plans to address our operating cash flow requirements with our current cash, cash equivalents and short-term investments, cash generated from the sales of IBSRELA</w:t>
      </w:r>
      <w:r>
        <w:rPr>
          <w:rFonts w:ascii="Times New Roman;sans-serif" w:hAnsi="Times New Roman;sans-serif"/>
          <w:b w:val="false"/>
          <w:color w:val="000000"/>
          <w:sz w:val="13"/>
        </w:rPr>
        <w:t>®</w:t>
      </w:r>
      <w:r>
        <w:rPr>
          <w:rFonts w:ascii="Times New Roman;sans-serif" w:hAnsi="Times New Roman;sans-serif"/>
          <w:b w:val="false"/>
          <w:color w:val="000000"/>
          <w:sz w:val="20"/>
        </w:rPr>
        <w:t>, and if approved, sales of XPHOZAH, the potential receipt of anticipated milestone payments from our collaboration partners, the potential receipt of anticipated payments from our Japanese collaboration partner under the second amendment to our License Agreement, with additional financing sources and through the implementation of cash preservation activities to reduce or defer discretionary spending;</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plans with respect to RDX013 and RDX020;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estimates of our expenses, future revenue, capital requirements, our needs for additional financing and our ability to obtain additional capital; and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other risks and uncertainties, including those under the caption “Risk Factors.”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management’s current expectations, estimates, forecasts and projections about our business and the industry in which we operate and management’s beliefs and assumptions, and these forward-looking statements are not guarantees of future performance or development and involve known and unknown risks, uncertainties and other factors that are in some cases beyond our control. Factors that could cause actual results or conditions to differ from those anticipated by these and other forward-looking statements include those more fully described in the “ITEM 1A. RISK FACTORS” section and elsewhere in this Quarterly Report on Form 10-Q. Except as required by law, we assume no obligation to update any forward-looking statement publicly, or to revise any forward-looking statement to reflect events or developments occurring after the date of this Quarterly Report on Form 10-Q, even if new information becomes available in the future. Thus, you should not assume that our silence over time means that actual events are bearing out as expressed or implied in any such forward-looking statement.</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SUMMARY OF PRINCIPAL RISKS ASSOCIATED WITH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risks and uncertainties affecting our business include the following:</w:t>
      </w:r>
    </w:p>
    <w:p>
      <w:pPr>
        <w:pStyle w:val="TextBody"/>
        <w:spacing w:before="0" w:after="0"/>
        <w:jc w:val="both"/>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We have incurred significant losses since our inception and will incur losses in the future, which makes it difficult for us to assess our future viability; although our financial statements have been prepared on a going concern basis, our current level of cash, cash equivalents and short-term investments alone is not sufficient to meet our operating plans for the next twelve months, raising substantial doubt regarding our ability to continue as a going concern. </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will require additional financing for the foreseeable future as we invest in the commercialization of IBSRELA in the U.S., and prepare for and commercialize XPHOZAH in the U.S., if approved. The inability to access necessary capital </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when needed on acceptable terms, or at all, could force us to reduce our efforts to commercialize IBSRELA or, delay or limit the commercialization of XPHOZAH, if approved.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We have generated limited revenue from product sales and may never be profitable. </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are substantially dependent on the successful commercialization of IBSRELA, and there is no guarantee that we will achieve sufficient market acceptance for IBSRELA; secure adequate coverage and reimbursement for IBSRELA; or generate sufficient revenue from product sales of IBSRELA.</w:t>
      </w:r>
    </w:p>
    <w:p>
      <w:pPr>
        <w:pStyle w:val="TextBody"/>
        <w:spacing w:before="0" w:after="0"/>
        <w:rPr/>
      </w:pPr>
      <w:r>
        <w:rPr/>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We are pursuing regulatory approval for XPHOZAH. There can be no assurances that we will be successful in obtaining such regulatory approval.</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Even if we are successful in obtaining regulatory approval for XPHOZAH, there is no guarantee that we will achieve sufficient market acceptance for XPHOZAH; secure adequate coverage and reimbursement for XPHOZAH; or generate sufficient revenue from product sales of XPHOZAH.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IBSRELA and/or, if approved and commercialized, XPHOZAH, may cause undesirable side effects or have other properties that could limit the commercial success of the product.</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Third-party payor coverage and reimbursement status of newly-commercialized products are uncertain. Failure to obtain or maintain adequate coverage and reimbursement for IBSRELA and, if approved, for XPHOZAH could limit our ability to market those products and decrease our ability to generate revenue.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We rely completely on third parties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if approved and commercialized, of XPHOZAH, and our future development efforts for tenapanor may be materially harmed.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REGARDING TRADEMARKS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ARDELYX</w:t>
      </w:r>
      <w:r>
        <w:rPr>
          <w:rFonts w:ascii="Times New Roman;sans-serif" w:hAnsi="Times New Roman;sans-serif"/>
          <w:b w:val="false"/>
          <w:color w:val="000000"/>
          <w:sz w:val="13"/>
        </w:rPr>
        <w:t>®</w:t>
      </w:r>
      <w:r>
        <w:rPr>
          <w:rFonts w:ascii="Times New Roman;sans-serif" w:hAnsi="Times New Roman;sans-serif"/>
          <w:b w:val="false"/>
          <w:color w:val="000000"/>
          <w:sz w:val="20"/>
        </w:rPr>
        <w:t>, IBSRELA</w:t>
      </w:r>
      <w:r>
        <w:rPr>
          <w:rFonts w:ascii="Times New Roman;sans-serif" w:hAnsi="Times New Roman;sans-serif"/>
          <w:b w:val="false"/>
          <w:color w:val="000000"/>
          <w:sz w:val="13"/>
        </w:rPr>
        <w:t>®</w:t>
      </w:r>
      <w:r>
        <w:rPr>
          <w:rFonts w:ascii="Times New Roman;sans-serif" w:hAnsi="Times New Roman;sans-serif"/>
          <w:b w:val="false"/>
          <w:color w:val="000000"/>
          <w:sz w:val="20"/>
        </w:rPr>
        <w:t>, and XPHOZAH</w:t>
      </w:r>
      <w:r>
        <w:rPr>
          <w:rFonts w:ascii="Times New Roman;sans-serif" w:hAnsi="Times New Roman;sans-serif"/>
          <w:b/>
          <w:color w:val="000000"/>
          <w:sz w:val="13"/>
        </w:rPr>
        <w:t xml:space="preserve">® </w:t>
      </w:r>
      <w:r>
        <w:rPr>
          <w:rFonts w:ascii="Times New Roman;sans-serif" w:hAnsi="Times New Roman;sans-serif"/>
          <w:b w:val="false"/>
          <w:color w:val="000000"/>
          <w:sz w:val="20"/>
        </w:rPr>
        <w:t>are trademarks of Ardelyx. All other trademarks, trade names and service marks appearing in this Quarterly Report on Form 10-Q are the property of their respective owners.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ARDELYX, INC.</w:t>
      </w:r>
    </w:p>
    <w:tbl>
      <w:tblPr>
        <w:tblW w:w="8596" w:type="dxa"/>
        <w:jc w:val="left"/>
        <w:tblInd w:w="0" w:type="dxa"/>
        <w:tblCellMar>
          <w:top w:w="28" w:type="dxa"/>
          <w:left w:w="28" w:type="dxa"/>
          <w:bottom w:w="28" w:type="dxa"/>
          <w:right w:w="28" w:type="dxa"/>
        </w:tblCellMar>
      </w:tblPr>
      <w:tblGrid>
        <w:gridCol w:w="2890"/>
        <w:gridCol w:w="2539"/>
        <w:gridCol w:w="2550"/>
        <w:gridCol w:w="180"/>
        <w:gridCol w:w="181"/>
        <w:gridCol w:w="256"/>
      </w:tblGrid>
      <w:tr>
        <w:trPr/>
        <w:tc>
          <w:tcPr>
            <w:tcW w:w="2890" w:type="dxa"/>
            <w:tcBorders/>
            <w:shd w:fill="auto" w:val="clear"/>
            <w:vAlign w:val="center"/>
          </w:tcPr>
          <w:p>
            <w:pPr>
              <w:pStyle w:val="TableContents"/>
              <w:spacing w:before="0" w:after="283"/>
              <w:rPr>
                <w:sz w:val="4"/>
                <w:szCs w:val="4"/>
              </w:rPr>
            </w:pPr>
            <w:r>
              <w:rPr>
                <w:sz w:val="4"/>
                <w:szCs w:val="4"/>
              </w:rPr>
            </w:r>
          </w:p>
        </w:tc>
        <w:tc>
          <w:tcPr>
            <w:tcW w:w="2539" w:type="dxa"/>
            <w:tcBorders/>
            <w:shd w:fill="auto" w:val="clear"/>
            <w:vAlign w:val="center"/>
          </w:tcPr>
          <w:p>
            <w:pPr>
              <w:pStyle w:val="TableContents"/>
              <w:spacing w:before="0" w:after="283"/>
              <w:rPr>
                <w:sz w:val="4"/>
                <w:szCs w:val="4"/>
              </w:rPr>
            </w:pPr>
            <w:r>
              <w:rPr>
                <w:sz w:val="4"/>
                <w:szCs w:val="4"/>
              </w:rPr>
            </w:r>
          </w:p>
        </w:tc>
        <w:tc>
          <w:tcPr>
            <w:tcW w:w="255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a6a0b1ea655406093eb9e951c03313e_13">
              <w:r>
                <w:rPr>
                  <w:rStyle w:val="InternetLink"/>
                  <w:rFonts w:ascii="Times New Roman;sans-serif" w:hAnsi="Times New Roman;sans-serif"/>
                  <w:b/>
                  <w:color w:val="0000FF"/>
                  <w:sz w:val="20"/>
                  <w:u w:val="single"/>
                </w:rPr>
                <w:t>PART I. FINANCIAL INFORMATION</w:t>
              </w:r>
            </w:hyperlink>
          </w:p>
        </w:tc>
        <w:tc>
          <w:tcPr>
            <w:tcW w:w="6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a6a0b1ea655406093eb9e951c03313e_16">
              <w:r>
                <w:rPr>
                  <w:rStyle w:val="InternetLink"/>
                  <w:rFonts w:ascii="Times New Roman;sans-serif" w:hAnsi="Times New Roman;sans-serif"/>
                  <w:b w:val="false"/>
                  <w:color w:val="0000FF"/>
                  <w:sz w:val="20"/>
                  <w:u w:val="single"/>
                </w:rPr>
                <w:t>Item 1. Financial Statements:</w:t>
              </w:r>
            </w:hyperlink>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a6a0b1ea655406093eb9e951c03313e_19">
              <w:r>
                <w:rPr>
                  <w:rStyle w:val="InternetLink"/>
                  <w:rFonts w:ascii="Times New Roman;sans-serif" w:hAnsi="Times New Roman;sans-serif"/>
                  <w:b w:val="false"/>
                  <w:color w:val="0000FF"/>
                  <w:sz w:val="20"/>
                  <w:u w:val="single"/>
                </w:rPr>
                <w:t>Condensed Balance Sheets (unaudited)</w:t>
              </w:r>
            </w:hyperlink>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a6a0b1ea655406093eb9e951c03313e_22">
              <w:r>
                <w:rPr>
                  <w:rStyle w:val="InternetLink"/>
                  <w:rFonts w:ascii="Times New Roman;sans-serif" w:hAnsi="Times New Roman;sans-serif"/>
                  <w:b w:val="false"/>
                  <w:color w:val="0000FF"/>
                  <w:sz w:val="20"/>
                  <w:u w:val="single"/>
                </w:rPr>
                <w:t>Condensed Statements of Operations and Comprehensive Loss (unaudited)</w:t>
              </w:r>
            </w:hyperlink>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a6a0b1ea655406093eb9e951c03313e_25">
              <w:r>
                <w:rPr>
                  <w:rStyle w:val="InternetLink"/>
                  <w:rFonts w:ascii="Times New Roman;sans-serif" w:hAnsi="Times New Roman;sans-serif"/>
                  <w:b w:val="false"/>
                  <w:color w:val="0000FF"/>
                  <w:sz w:val="20"/>
                  <w:u w:val="single"/>
                </w:rPr>
                <w:t>Condensed Statements of Changes in Stockholders' Equity (unaudited)</w:t>
              </w:r>
            </w:hyperlink>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a6a0b1ea655406093eb9e951c03313e_28">
              <w:r>
                <w:rPr>
                  <w:rStyle w:val="InternetLink"/>
                  <w:rFonts w:ascii="Times New Roman;sans-serif" w:hAnsi="Times New Roman;sans-serif"/>
                  <w:b w:val="false"/>
                  <w:color w:val="0000FF"/>
                  <w:sz w:val="20"/>
                  <w:u w:val="single"/>
                </w:rPr>
                <w:t>Condensed Statements of Cash Flows (unaudited)</w:t>
              </w:r>
            </w:hyperlink>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a6a0b1ea655406093eb9e951c03313e_31">
              <w:r>
                <w:rPr>
                  <w:rStyle w:val="InternetLink"/>
                  <w:rFonts w:ascii="Times New Roman;sans-serif" w:hAnsi="Times New Roman;sans-serif"/>
                  <w:b w:val="false"/>
                  <w:color w:val="0000FF"/>
                  <w:sz w:val="20"/>
                  <w:u w:val="single"/>
                </w:rPr>
                <w:t>Notes to Condensed Financial Statements (unaudited)</w:t>
              </w:r>
            </w:hyperlink>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a6a0b1ea655406093eb9e951c03313e_85">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a6a0b1ea655406093eb9e951c03313e_121">
              <w:r>
                <w:rPr>
                  <w:rStyle w:val="InternetLink"/>
                  <w:rFonts w:ascii="Times New Roman;sans-serif" w:hAnsi="Times New Roman;sans-serif"/>
                  <w:b w:val="false"/>
                  <w:strike w:val="false"/>
                  <w:dstrike w:val="false"/>
                  <w:color w:val="0000FF"/>
                  <w:sz w:val="20"/>
                  <w:u w:val="none"/>
                  <w:effect w:val="none"/>
                </w:rPr>
                <w:t>Item 3. Quantitative and Qualitative Disclosures About Market Risk</w:t>
              </w:r>
            </w:hyperlink>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a6a0b1ea655406093eb9e951c03313e_124">
              <w:r>
                <w:rPr>
                  <w:rStyle w:val="InternetLink"/>
                  <w:rFonts w:ascii="Times New Roman;sans-serif" w:hAnsi="Times New Roman;sans-serif"/>
                  <w:b w:val="false"/>
                  <w:strike w:val="false"/>
                  <w:dstrike w:val="false"/>
                  <w:color w:val="0000FF"/>
                  <w:sz w:val="20"/>
                  <w:u w:val="none"/>
                  <w:effect w:val="none"/>
                </w:rPr>
                <w:t>Item 4. Controls and Procedures</w:t>
              </w:r>
            </w:hyperlink>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a6a0b1ea655406093eb9e951c03313e_127">
              <w:r>
                <w:rPr>
                  <w:rStyle w:val="InternetLink"/>
                  <w:rFonts w:ascii="Times New Roman;sans-serif" w:hAnsi="Times New Roman;sans-serif"/>
                  <w:b/>
                  <w:color w:val="0000FF"/>
                  <w:sz w:val="20"/>
                  <w:u w:val="single"/>
                </w:rPr>
                <w:t>PART II. OTHER INFORMATION</w:t>
              </w:r>
            </w:hyperlink>
          </w:p>
        </w:tc>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a6a0b1ea655406093eb9e951c03313e_130">
              <w:r>
                <w:rPr>
                  <w:rStyle w:val="InternetLink"/>
                  <w:rFonts w:ascii="Times New Roman;sans-serif" w:hAnsi="Times New Roman;sans-serif"/>
                  <w:b w:val="false"/>
                  <w:color w:val="0000FF"/>
                  <w:sz w:val="20"/>
                  <w:u w:val="single"/>
                </w:rPr>
                <w:t>Item 1. Legal Proceedings</w:t>
              </w:r>
            </w:hyperlink>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a6a0b1ea655406093eb9e951c03313e_133">
              <w:r>
                <w:rPr>
                  <w:rStyle w:val="InternetLink"/>
                  <w:rFonts w:ascii="Times New Roman;sans-serif" w:hAnsi="Times New Roman;sans-serif"/>
                  <w:b w:val="false"/>
                  <w:color w:val="0000FF"/>
                  <w:sz w:val="20"/>
                  <w:u w:val="single"/>
                </w:rPr>
                <w:t>Item 1A. Risk Factors</w:t>
              </w:r>
            </w:hyperlink>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a6a0b1ea655406093eb9e951c03313e_136">
              <w:r>
                <w:rPr>
                  <w:rStyle w:val="InternetLink"/>
                  <w:rFonts w:ascii="Times New Roman;sans-serif" w:hAnsi="Times New Roman;sans-serif"/>
                  <w:b w:val="false"/>
                  <w:color w:val="0000FF"/>
                  <w:sz w:val="20"/>
                  <w:u w:val="single"/>
                </w:rPr>
                <w:t>Item 2. Unregistered Sales of Equity Securities and Use of Proceeds</w:t>
              </w:r>
            </w:hyperlink>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a6a0b1ea655406093eb9e951c03313e_139">
              <w:r>
                <w:rPr>
                  <w:rStyle w:val="InternetLink"/>
                  <w:rFonts w:ascii="Times New Roman;sans-serif" w:hAnsi="Times New Roman;sans-serif"/>
                  <w:b w:val="false"/>
                  <w:color w:val="0000FF"/>
                  <w:sz w:val="20"/>
                  <w:u w:val="single"/>
                </w:rPr>
                <w:t>Item 3. Defaults Upon Senior Securities</w:t>
              </w:r>
            </w:hyperlink>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a6a0b1ea655406093eb9e951c03313e_142">
              <w:r>
                <w:rPr>
                  <w:rStyle w:val="InternetLink"/>
                  <w:rFonts w:ascii="Times New Roman;sans-serif" w:hAnsi="Times New Roman;sans-serif"/>
                  <w:b w:val="false"/>
                  <w:color w:val="0000FF"/>
                  <w:sz w:val="20"/>
                  <w:u w:val="single"/>
                </w:rPr>
                <w:t>Item 4. Mine Safety Disclosures</w:t>
              </w:r>
            </w:hyperlink>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a6a0b1ea655406093eb9e951c03313e_145">
              <w:r>
                <w:rPr>
                  <w:rStyle w:val="InternetLink"/>
                  <w:rFonts w:ascii="Times New Roman;sans-serif" w:hAnsi="Times New Roman;sans-serif"/>
                  <w:b w:val="false"/>
                  <w:color w:val="0000FF"/>
                  <w:sz w:val="20"/>
                  <w:u w:val="single"/>
                </w:rPr>
                <w:t>Item 5. Other Information</w:t>
              </w:r>
            </w:hyperlink>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a6a0b1ea655406093eb9e951c03313e_148">
              <w:r>
                <w:rPr>
                  <w:rStyle w:val="InternetLink"/>
                  <w:rFonts w:ascii="Times New Roman;sans-serif" w:hAnsi="Times New Roman;sans-serif"/>
                  <w:b w:val="false"/>
                  <w:color w:val="0000FF"/>
                  <w:sz w:val="20"/>
                  <w:u w:val="single"/>
                </w:rPr>
                <w:t>Item 6. Exhibits</w:t>
              </w:r>
            </w:hyperlink>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a6a0b1ea655406093eb9e951c03313e_151">
              <w:r>
                <w:rPr>
                  <w:rStyle w:val="InternetLink"/>
                  <w:rFonts w:ascii="Times New Roman;sans-serif" w:hAnsi="Times New Roman;sans-serif"/>
                  <w:b w:val="false"/>
                  <w:color w:val="0000FF"/>
                  <w:sz w:val="20"/>
                  <w:u w:val="single"/>
                </w:rPr>
                <w:t>Signatures</w:t>
              </w:r>
            </w:hyperlink>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867"/>
        <w:gridCol w:w="2356"/>
        <w:gridCol w:w="2316"/>
        <w:gridCol w:w="211"/>
        <w:gridCol w:w="826"/>
        <w:gridCol w:w="109"/>
        <w:gridCol w:w="109"/>
        <w:gridCol w:w="109"/>
        <w:gridCol w:w="109"/>
        <w:gridCol w:w="211"/>
        <w:gridCol w:w="826"/>
        <w:gridCol w:w="156"/>
      </w:tblGrid>
      <w:tr>
        <w:trPr/>
        <w:tc>
          <w:tcPr>
            <w:tcW w:w="2867" w:type="dxa"/>
            <w:tcBorders/>
            <w:shd w:fill="auto" w:val="clear"/>
            <w:vAlign w:val="center"/>
          </w:tcPr>
          <w:p>
            <w:pPr>
              <w:pStyle w:val="TableContents"/>
              <w:spacing w:before="0" w:after="283"/>
              <w:rPr>
                <w:sz w:val="4"/>
                <w:szCs w:val="4"/>
              </w:rPr>
            </w:pPr>
            <w:r>
              <w:rPr>
                <w:sz w:val="4"/>
                <w:szCs w:val="4"/>
              </w:rPr>
            </w:r>
          </w:p>
        </w:tc>
        <w:tc>
          <w:tcPr>
            <w:tcW w:w="2356" w:type="dxa"/>
            <w:tcBorders/>
            <w:shd w:fill="auto" w:val="clear"/>
            <w:vAlign w:val="center"/>
          </w:tcPr>
          <w:p>
            <w:pPr>
              <w:pStyle w:val="TableContents"/>
              <w:spacing w:before="0" w:after="283"/>
              <w:rPr>
                <w:sz w:val="4"/>
                <w:szCs w:val="4"/>
              </w:rPr>
            </w:pPr>
            <w:r>
              <w:rPr>
                <w:sz w:val="4"/>
                <w:szCs w:val="4"/>
              </w:rPr>
            </w:r>
          </w:p>
        </w:tc>
        <w:tc>
          <w:tcPr>
            <w:tcW w:w="23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commercial manufacturing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non-current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royalty obligation related to the sale of future royalties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14)</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5,000,000 shares authorized; no shares issued and outstanding as of March 31, 2023 and December 31, 2022, respectively.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300,000,000 shares authorized; 214,462,050 and 198,575,016 shares issued and outstanding as of March 31, 2023 and December 31, 2022,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(780,137)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190,066 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8588" w:type="dxa"/>
        <w:jc w:val="center"/>
        <w:tblInd w:w="0" w:type="dxa"/>
        <w:tblCellMar>
          <w:top w:w="28" w:type="dxa"/>
          <w:left w:w="28" w:type="dxa"/>
          <w:bottom w:w="28" w:type="dxa"/>
          <w:right w:w="28" w:type="dxa"/>
        </w:tblCellMar>
      </w:tblPr>
      <w:tblGrid>
        <w:gridCol w:w="1882"/>
        <w:gridCol w:w="1650"/>
        <w:gridCol w:w="1658"/>
        <w:gridCol w:w="264"/>
        <w:gridCol w:w="922"/>
        <w:gridCol w:w="109"/>
        <w:gridCol w:w="109"/>
        <w:gridCol w:w="109"/>
        <w:gridCol w:w="109"/>
        <w:gridCol w:w="264"/>
        <w:gridCol w:w="922"/>
        <w:gridCol w:w="109"/>
        <w:gridCol w:w="109"/>
        <w:gridCol w:w="109"/>
        <w:gridCol w:w="109"/>
        <w:gridCol w:w="154"/>
      </w:tblGrid>
      <w:tr>
        <w:trPr/>
        <w:tc>
          <w:tcPr>
            <w:tcW w:w="1882" w:type="dxa"/>
            <w:tcBorders/>
            <w:shd w:fill="auto" w:val="clear"/>
            <w:vAlign w:val="center"/>
          </w:tcPr>
          <w:p>
            <w:pPr>
              <w:pStyle w:val="TableContents"/>
              <w:spacing w:before="0" w:after="283"/>
              <w:rPr>
                <w:sz w:val="4"/>
                <w:szCs w:val="4"/>
              </w:rPr>
            </w:pPr>
            <w:r>
              <w:rPr>
                <w:sz w:val="4"/>
                <w:szCs w:val="4"/>
              </w:rPr>
            </w:r>
          </w:p>
        </w:tc>
        <w:tc>
          <w:tcPr>
            <w:tcW w:w="1650"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the sale of future royalties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common stock - basic and diluted</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loss per share - basic and diluted</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207,023,127 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130,934,795 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ARDELYX,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CHANGES IN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2023 and 2022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shares)</w:t>
      </w:r>
    </w:p>
    <w:p>
      <w:pPr>
        <w:pStyle w:val="TextBody"/>
        <w:spacing w:before="0" w:after="0"/>
        <w:jc w:val="center"/>
        <w:rPr/>
      </w:pPr>
      <w:r>
        <w:rPr/>
      </w:r>
    </w:p>
    <w:tbl>
      <w:tblPr>
        <w:tblW w:w="3984"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15" w:type="dxa"/>
            <w:gridSpan w:val="3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974"/>
        <w:gridCol w:w="401"/>
        <w:gridCol w:w="403"/>
        <w:gridCol w:w="593"/>
        <w:gridCol w:w="593"/>
        <w:gridCol w:w="196"/>
        <w:gridCol w:w="109"/>
        <w:gridCol w:w="109"/>
        <w:gridCol w:w="109"/>
        <w:gridCol w:w="214"/>
        <w:gridCol w:w="366"/>
        <w:gridCol w:w="111"/>
        <w:gridCol w:w="109"/>
        <w:gridCol w:w="109"/>
        <w:gridCol w:w="109"/>
        <w:gridCol w:w="211"/>
        <w:gridCol w:w="826"/>
        <w:gridCol w:w="109"/>
        <w:gridCol w:w="109"/>
        <w:gridCol w:w="109"/>
        <w:gridCol w:w="109"/>
        <w:gridCol w:w="211"/>
        <w:gridCol w:w="844"/>
        <w:gridCol w:w="109"/>
        <w:gridCol w:w="109"/>
        <w:gridCol w:w="109"/>
        <w:gridCol w:w="109"/>
        <w:gridCol w:w="368"/>
        <w:gridCol w:w="656"/>
        <w:gridCol w:w="192"/>
        <w:gridCol w:w="109"/>
        <w:gridCol w:w="109"/>
        <w:gridCol w:w="109"/>
        <w:gridCol w:w="211"/>
        <w:gridCol w:w="826"/>
        <w:gridCol w:w="156"/>
      </w:tblGrid>
      <w:tr>
        <w:trPr/>
        <w:tc>
          <w:tcPr>
            <w:tcW w:w="974"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7"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198,575,016 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165,969 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8"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options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207,773 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8"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at the market offering</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15,477,291 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on available-for-sale securities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2023</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214,462,050 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before="0" w:after="0"/>
        <w:ind w:left="0" w:right="0" w:firstLine="720"/>
        <w:rPr/>
      </w:pPr>
      <w:r>
        <w:rPr/>
      </w:r>
    </w:p>
    <w:tbl>
      <w:tblPr>
        <w:tblW w:w="3984"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15" w:type="dxa"/>
            <w:gridSpan w:val="3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991"/>
        <w:gridCol w:w="425"/>
        <w:gridCol w:w="426"/>
        <w:gridCol w:w="593"/>
        <w:gridCol w:w="593"/>
        <w:gridCol w:w="196"/>
        <w:gridCol w:w="109"/>
        <w:gridCol w:w="109"/>
        <w:gridCol w:w="109"/>
        <w:gridCol w:w="214"/>
        <w:gridCol w:w="366"/>
        <w:gridCol w:w="111"/>
        <w:gridCol w:w="109"/>
        <w:gridCol w:w="109"/>
        <w:gridCol w:w="109"/>
        <w:gridCol w:w="211"/>
        <w:gridCol w:w="826"/>
        <w:gridCol w:w="109"/>
        <w:gridCol w:w="109"/>
        <w:gridCol w:w="109"/>
        <w:gridCol w:w="109"/>
        <w:gridCol w:w="211"/>
        <w:gridCol w:w="845"/>
        <w:gridCol w:w="109"/>
        <w:gridCol w:w="109"/>
        <w:gridCol w:w="109"/>
        <w:gridCol w:w="109"/>
        <w:gridCol w:w="368"/>
        <w:gridCol w:w="656"/>
        <w:gridCol w:w="192"/>
        <w:gridCol w:w="109"/>
        <w:gridCol w:w="109"/>
        <w:gridCol w:w="109"/>
        <w:gridCol w:w="218"/>
        <w:gridCol w:w="747"/>
        <w:gridCol w:w="163"/>
      </w:tblGrid>
      <w:tr>
        <w:trPr/>
        <w:tc>
          <w:tcPr>
            <w:tcW w:w="991"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3"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1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8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130,182,535 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2"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8" w:type="dxa"/>
            <w:gridSpan w:val="3"/>
            <w:tcBorders/>
            <w:shd w:fill="auto" w:val="clear"/>
            <w:vAlign w:val="center"/>
          </w:tcPr>
          <w:p>
            <w:pPr>
              <w:pStyle w:val="TableContents"/>
              <w:spacing w:before="0" w:after="283"/>
              <w:rPr>
                <w:sz w:val="4"/>
                <w:szCs w:val="4"/>
              </w:rPr>
            </w:pPr>
            <w:r>
              <w:rPr>
                <w:sz w:val="4"/>
                <w:szCs w:val="4"/>
              </w:rPr>
            </w:r>
          </w:p>
        </w:tc>
      </w:tr>
      <w:tr>
        <w:trPr/>
        <w:tc>
          <w:tcPr>
            <w:tcW w:w="1842"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8" w:type="dxa"/>
            <w:gridSpan w:val="3"/>
            <w:tcBorders/>
            <w:shd w:fill="auto" w:val="clear"/>
            <w:vAlign w:val="center"/>
          </w:tcPr>
          <w:p>
            <w:pPr>
              <w:pStyle w:val="TableContents"/>
              <w:spacing w:before="0" w:after="283"/>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113,469 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2"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8" w:type="dxa"/>
            <w:gridSpan w:val="3"/>
            <w:tcBorders/>
            <w:shd w:fill="auto" w:val="clear"/>
            <w:vAlign w:val="center"/>
          </w:tcPr>
          <w:p>
            <w:pPr>
              <w:pStyle w:val="TableContents"/>
              <w:spacing w:before="0" w:after="283"/>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at the market offering</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5,907,256 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(28,071)</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2022</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136,330,360 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999" w:type="dxa"/>
        <w:jc w:val="center"/>
        <w:tblInd w:w="0" w:type="dxa"/>
        <w:tblCellMar>
          <w:top w:w="28" w:type="dxa"/>
          <w:left w:w="28" w:type="dxa"/>
          <w:bottom w:w="28" w:type="dxa"/>
          <w:right w:w="28" w:type="dxa"/>
        </w:tblCellMar>
      </w:tblPr>
      <w:tblGrid>
        <w:gridCol w:w="2679"/>
        <w:gridCol w:w="2350"/>
        <w:gridCol w:w="2366"/>
        <w:gridCol w:w="211"/>
        <w:gridCol w:w="796"/>
        <w:gridCol w:w="109"/>
        <w:gridCol w:w="109"/>
        <w:gridCol w:w="109"/>
        <w:gridCol w:w="109"/>
        <w:gridCol w:w="211"/>
        <w:gridCol w:w="796"/>
        <w:gridCol w:w="154"/>
      </w:tblGrid>
      <w:tr>
        <w:trPr/>
        <w:tc>
          <w:tcPr>
            <w:tcW w:w="2679"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c>
          <w:tcPr>
            <w:tcW w:w="23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 liabilities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refinancing costs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equipment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long-lived assets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commercial manufacturing</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and redemptions of investments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and equipment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2022 Loan, net of issuance costs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2018 Loan, net of costs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in at the market offering, net of issuance costs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equity incentive and stock purchase plans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and cash equivalents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beginning of period</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Supplementary disclosure of cash flow information:</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Supplementary disclosure of non-cash activities:</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derivative in connection with issuance of loan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pPr>
      <w:r>
        <w:rPr>
          <w:rFonts w:ascii="Times New Roman;sans-serif" w:hAnsi="Times New Roman;sans-serif"/>
          <w:b/>
          <w:color w:val="000000"/>
          <w:sz w:val="20"/>
        </w:rPr>
        <w:t>ARDELYX, INC</w:t>
      </w:r>
      <w:r>
        <w:rPr>
          <w:rFonts w:ascii="Times New Roman;sans-serif" w:hAnsi="Times New Roman;sans-serif"/>
          <w:b w:val="false"/>
          <w:color w:val="000000"/>
          <w:sz w:val="20"/>
        </w:rPr>
        <w: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per share amounts and where otherwise noted)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1.ORGANIZATION AND BASIS OF PRESENTATION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Ardelyx, Inc. (“Company,” “we,” “us” or “our”) is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targeted, first-in-class, oral, small molecule therapy. Tenapanor, branded as IBSRELA, is approved in the U.S. for the treatment of adults with irritable bowel syndrome with constipation (“IBS-C”). In April 2023, we resubmitted a New Drug Application (“NDA”) to the U.S. Food and Drug Administration (“FDA”) for the approval of XPHOZAH (tenapanor) for the control of serum phosphate in adult patients with chronic kidney disease (“CKD”) on dialysis who have had an inadequate response or intolerance to a phosphate binder therapy, under the brand name XPHOZAH. We also have a development stage asset, RDX013 for adult patients with CKD and/or heart failure with hyperkalemia, or elevated serum potassium, and a discovery phase asset, RDX020 for adult patients with metabolic acidosis, a serious electrolyte disorder, in patients with CKD.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one business segment, which is the development and commercialization of biopharmaceutical products.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condensed financial statements have been prepared in accordance with accounting principles generally accepted in the United States of America (“U.S. GAAP”) and pursuant to the requirements of the Securities and Exchange Commission (“SEC”) for interim reporting. As permitted under those rules and regulations, certain footnotes or other financial information that are normally required by U.S. GAAP have been condensed or omitted. These condensed financial statements have been prepared on the same basis as our most recent annual financial statements and, in the opinion of management, reflect all adjustments, which include only normal recurring adjustments necessary to present fairly our financial position, results of operations, changes in stockholders’ equity, and cash flows for the interim periods presented.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financial statements and related financial information should be read in conjunction with the audited financial statements and the related notes thereto included in our Annual Report on Form 10-K for the year ended December 31, 2022. The results for the three months ended March 31, 2023 are not necessarily indicative of results to be expected for the entire year ending December 31, 2023, or for any other interim period or future year.</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judgments that affect the amounts reported in the financial statements and accompanying notes thereto. On an ongoing basis, management evaluates its estimates, including those related to recognition of revenue, clinical trial accruals, contract manufacturing accruals, utilization of inventory,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cash, cash equivalents and short-term investments of approximately $130.4 million. We have incurred operating losses since inception in 2007 and our accumulated deficit as of March 31, 2023 is $806.9 million. Our current level of cash, cash equivalents and short-term investments alone is not sufficient to meet our plans for the next twelve months following the issuance of these condensed financial statements on May 3, 2023. These factors raise substantial doubt regarding our ability to continue as a going concern for a period of one year from the issuance of these condensed financial statements. We plan to address our operating cash flow requirements with our current cash, cash equivalents and short-term investments, cash generated from product sales of IBSRELA, and if approved, cash generated from sales of XPHOZAH, our potential receipt of anticipated milestones payments from our collaboration partners, our potential receipt of anticipated payments from our Japanese collaboration partner under the second amendment to our License Agreement, with additional financing sources and through the implementation of cash preservation activities to reduce or defer discretionary spending.</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for at least the next twelve months following the issuance of these financial statements, our liquidity, financial condition and business prospects will be materially affected. These financial statements have been prepared on a going concern basis and do not include any adjustments to the amounts and classification of assets and liabilities that may be necessary in the event that we can no longer continue as a going concern.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described in Note 2 to our audited financial statements for the fiscal year ended December 31, 2022, included in our Annual Report on Form 10-K. There have been no material changes in our significant accounting policies as previously disclosed in our Annual Report on Form 10-K for the fiscal year ended December 31, 2022.</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New Accounting Pronouncements - Recently Adopted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no new accounting pronouncements subsequent to filing our most recent Annual Report on Form 10-K.</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Not Yet Adopted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various accounting standards and interpretations issued recently, none of which are expected to have a material impact on our financial position,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CASH, CASH EQUIVALENTS AND INVESTMENTS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classified as cash, cash equivalents and short-term investments as of March 31, 2023 and December 31, 2022 are summarized below (in thousands):</w:t>
      </w:r>
    </w:p>
    <w:tbl>
      <w:tblPr>
        <w:tblW w:w="8843" w:type="dxa"/>
        <w:jc w:val="left"/>
        <w:tblInd w:w="0" w:type="dxa"/>
        <w:tblCellMar>
          <w:top w:w="28" w:type="dxa"/>
          <w:left w:w="28" w:type="dxa"/>
          <w:bottom w:w="28" w:type="dxa"/>
          <w:right w:w="28" w:type="dxa"/>
        </w:tblCellMar>
      </w:tblPr>
      <w:tblGrid>
        <w:gridCol w:w="1364"/>
        <w:gridCol w:w="1196"/>
        <w:gridCol w:w="1205"/>
        <w:gridCol w:w="262"/>
        <w:gridCol w:w="1027"/>
        <w:gridCol w:w="135"/>
        <w:gridCol w:w="109"/>
        <w:gridCol w:w="109"/>
        <w:gridCol w:w="109"/>
        <w:gridCol w:w="211"/>
        <w:gridCol w:w="406"/>
        <w:gridCol w:w="109"/>
        <w:gridCol w:w="109"/>
        <w:gridCol w:w="109"/>
        <w:gridCol w:w="109"/>
        <w:gridCol w:w="211"/>
        <w:gridCol w:w="436"/>
        <w:gridCol w:w="109"/>
        <w:gridCol w:w="109"/>
        <w:gridCol w:w="109"/>
        <w:gridCol w:w="109"/>
        <w:gridCol w:w="211"/>
        <w:gridCol w:w="826"/>
        <w:gridCol w:w="154"/>
      </w:tblGrid>
      <w:tr>
        <w:trPr/>
        <w:tc>
          <w:tcPr>
            <w:tcW w:w="1364"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7,986 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84,501 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23,353 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investments</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130,393 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tbl>
      <w:tblPr>
        <w:tblW w:w="8843" w:type="dxa"/>
        <w:jc w:val="left"/>
        <w:tblInd w:w="0" w:type="dxa"/>
        <w:tblCellMar>
          <w:top w:w="28" w:type="dxa"/>
          <w:left w:w="28" w:type="dxa"/>
          <w:bottom w:w="28" w:type="dxa"/>
          <w:right w:w="28" w:type="dxa"/>
        </w:tblCellMar>
      </w:tblPr>
      <w:tblGrid>
        <w:gridCol w:w="1364"/>
        <w:gridCol w:w="1196"/>
        <w:gridCol w:w="1205"/>
        <w:gridCol w:w="262"/>
        <w:gridCol w:w="1027"/>
        <w:gridCol w:w="135"/>
        <w:gridCol w:w="109"/>
        <w:gridCol w:w="109"/>
        <w:gridCol w:w="109"/>
        <w:gridCol w:w="211"/>
        <w:gridCol w:w="406"/>
        <w:gridCol w:w="109"/>
        <w:gridCol w:w="109"/>
        <w:gridCol w:w="109"/>
        <w:gridCol w:w="109"/>
        <w:gridCol w:w="211"/>
        <w:gridCol w:w="436"/>
        <w:gridCol w:w="109"/>
        <w:gridCol w:w="109"/>
        <w:gridCol w:w="109"/>
        <w:gridCol w:w="109"/>
        <w:gridCol w:w="211"/>
        <w:gridCol w:w="826"/>
        <w:gridCol w:w="154"/>
      </w:tblGrid>
      <w:tr>
        <w:trPr/>
        <w:tc>
          <w:tcPr>
            <w:tcW w:w="1364"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11,827 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84,313 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25,336 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investments</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123,963 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consist of money market funds with original maturities of three months or less at the time of purchase, and the carrying amount is a reasonable approximation of fair value. We invest our cash in high quality securities of financial and commercial institutions. These securities are carried at fair value, which is based on readily available market information, with unrealized gains and losses included in accumulated other comprehensive loss within stockholders’ equity on our condensed balance sheets. We use the specific identification method to determine the amount of realized gains or losses on sales of marketable securities. Realized gains or losses have been insignificant and are included in other income, net, in the statement of operations and comprehensive loss.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the short-term available-for sale securities held as of March 31, 2023 and December 31, 2022 had contractual maturities of less than one year. Our available-for-sale securities are subject to a periodic impairment review. We consider a debt security to be impaired when its fair value is less than its carrying cost, in which case we would further review the investment to determine whether it is other-than-temporarily impaired. When we evaluate an investment for other-than-temporary impairment, we review factors such as the length of time and extent to which fair value has been below cost basis, the financial condition of the issuer and any changes thereto, intent to sell, and whether it is more likely than not we will be required to sell the investment before the recovery of its cost basis. If an investment is other-than-temporarily impaired or subject to credit losses, we write it down through the statement of operations and comprehensive loss to its fair value and establish that value as a new cost basis for the investment. Our unrealized losses as of March 31, 2023 and December 31, 2022 were not material. We determined that none of our available-for-sale securities were other-than-temporarily impaired as of March 31, 2023 and December 31, 2022, and no investment was in a continuous unrealized loss position for more than one year. As such, we believe that it is more likely than not that the investments will be held until maturity or a forecasted recovery of fair value.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FAIR VALUE MEASUREMENTS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three-level hierarchy for the inputs to valuation techniques is briefly summarized as follows: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246"/>
        <w:gridCol w:w="216"/>
        <w:gridCol w:w="218"/>
        <w:gridCol w:w="2885"/>
        <w:gridCol w:w="2743"/>
        <w:gridCol w:w="3897"/>
      </w:tblGrid>
      <w:tr>
        <w:trPr/>
        <w:tc>
          <w:tcPr>
            <w:tcW w:w="2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743" w:type="dxa"/>
            <w:tcBorders/>
            <w:shd w:fill="auto" w:val="clear"/>
            <w:vAlign w:val="center"/>
          </w:tcPr>
          <w:p>
            <w:pPr>
              <w:pStyle w:val="TableContents"/>
              <w:spacing w:before="0" w:after="283"/>
              <w:rPr>
                <w:sz w:val="4"/>
                <w:szCs w:val="4"/>
              </w:rPr>
            </w:pPr>
            <w:r>
              <w:rPr>
                <w:sz w:val="4"/>
                <w:szCs w:val="4"/>
              </w:rPr>
            </w:r>
          </w:p>
        </w:tc>
        <w:tc>
          <w:tcPr>
            <w:tcW w:w="3897" w:type="dxa"/>
            <w:tcBorders/>
            <w:shd w:fill="auto" w:val="clear"/>
            <w:vAlign w:val="center"/>
          </w:tcPr>
          <w:p>
            <w:pPr>
              <w:pStyle w:val="TableContents"/>
              <w:spacing w:before="0" w:after="283"/>
              <w:rPr>
                <w:sz w:val="4"/>
                <w:szCs w:val="4"/>
              </w:rPr>
            </w:pPr>
            <w:r>
              <w:rPr>
                <w:sz w:val="4"/>
                <w:szCs w:val="4"/>
              </w:rPr>
            </w:r>
          </w:p>
        </w:tc>
      </w:tr>
      <w:tr>
        <w:trPr/>
        <w:tc>
          <w:tcPr>
            <w:tcW w:w="6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w:t>
            </w:r>
          </w:p>
        </w:tc>
        <w:tc>
          <w:tcPr>
            <w:tcW w:w="952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are based on quoted prices in active markets for identical assets or liabilities and readily accessible by us at the reporting date.</w:t>
            </w:r>
          </w:p>
        </w:tc>
      </w:tr>
      <w:tr>
        <w:trPr/>
        <w:tc>
          <w:tcPr>
            <w:tcW w:w="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w:t>
            </w:r>
          </w:p>
        </w:tc>
        <w:tc>
          <w:tcPr>
            <w:tcW w:w="952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w:t>
            </w:r>
          </w:p>
        </w:tc>
        <w:tc>
          <w:tcPr>
            <w:tcW w:w="952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based on unobservable inputs for which there is little or no market data, which require us to develop our own assumptions.</w:t>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fair value of our financial assets and liabilities that are measured or disclosed on a recurring basis by level within the fair value hierarchy (in thousands):</w:t>
      </w:r>
    </w:p>
    <w:tbl>
      <w:tblPr>
        <w:tblW w:w="8714" w:type="dxa"/>
        <w:jc w:val="center"/>
        <w:tblInd w:w="0" w:type="dxa"/>
        <w:tblCellMar>
          <w:top w:w="28" w:type="dxa"/>
          <w:left w:w="28" w:type="dxa"/>
          <w:bottom w:w="28" w:type="dxa"/>
          <w:right w:w="28" w:type="dxa"/>
        </w:tblCellMar>
      </w:tblPr>
      <w:tblGrid>
        <w:gridCol w:w="1769"/>
        <w:gridCol w:w="871"/>
        <w:gridCol w:w="884"/>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176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 for exit fees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8714" w:type="dxa"/>
        <w:jc w:val="left"/>
        <w:tblInd w:w="0" w:type="dxa"/>
        <w:tblCellMar>
          <w:top w:w="28" w:type="dxa"/>
          <w:left w:w="28" w:type="dxa"/>
          <w:bottom w:w="28" w:type="dxa"/>
          <w:right w:w="28" w:type="dxa"/>
        </w:tblCellMar>
      </w:tblPr>
      <w:tblGrid>
        <w:gridCol w:w="1769"/>
        <w:gridCol w:w="871"/>
        <w:gridCol w:w="884"/>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176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for exit fee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pPr>
      <w:r>
        <w:rPr>
          <w:rFonts w:ascii="Times New Roman;sans-serif" w:hAnsi="Times New Roman;sans-serif"/>
          <w:b w:val="false"/>
          <w:color w:val="000000"/>
          <w:sz w:val="20"/>
        </w:rPr>
        <w:t xml:space="preserve">Where quoted prices are available in an active market, securities are classified as Level 1. We classify money market funds as Level 1. When quoted market prices are not available for the specific security, we estimate fair value by using benchmark yields, reported trades, broker/dealer quotes and issuer spreads. We classify U.S. government-sponsored agency bonds, U.S. treasury notes, corporate bonds, commercial paper, and asset-backed securities as Level 2. In certain cases, where there is limited activity or less transparency around inputs to valuation, securities or derivative liabilities, such as the 2018 Exit Fee and the 2022 Exit Fee, as defined and discussed in </w:t>
      </w:r>
      <w:r>
        <w:rPr>
          <w:rFonts w:ascii="Times New Roman;sans-serif" w:hAnsi="Times New Roman;sans-serif"/>
          <w:b w:val="false"/>
          <w:i/>
          <w:color w:val="000000"/>
          <w:sz w:val="20"/>
        </w:rPr>
        <w:t>Note 9. Derivative Liabilities</w:t>
      </w:r>
      <w:r>
        <w:rPr>
          <w:rFonts w:ascii="Times New Roman;sans-serif" w:hAnsi="Times New Roman;sans-serif"/>
          <w:b w:val="false"/>
          <w:color w:val="000000"/>
          <w:sz w:val="20"/>
        </w:rPr>
        <w:t>, are classified as Level 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reflected in the condensed balance sheets for cash equivalents, short-term investments, accounts receivable, prepaid expenses and other current assets, accounts payable and accrued expenses approximate their fair values at both March 31, 2023 and December 31, 2022, due to their short-term nature.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procedures under the expected credit loss model, including an assessment of unrealized losses in our portfolio, we concluded that any unrealized losses on our marketable securities were not attributable to credit and, therefore, we have not recorded an allowance for credit losses for these securities as of March 31, 2023 and December 31, 2022.</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Debt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principal amount outstanding under our term loan facilities is subject to a variable interest rate. Therefore, we believe the carrying amount of the term loan facility approximates fair value as of March 31, 2023 and December 31, 2022. See </w:t>
      </w:r>
      <w:r>
        <w:rPr>
          <w:rFonts w:ascii="Times New Roman;sans-serif" w:hAnsi="Times New Roman;sans-serif"/>
          <w:b w:val="false"/>
          <w:i/>
          <w:color w:val="000000"/>
          <w:sz w:val="20"/>
        </w:rPr>
        <w:t>Note 8. Borrowing</w:t>
      </w:r>
      <w:r>
        <w:rPr>
          <w:color w:val="000000"/>
        </w:rPr>
        <w:t xml:space="preserve"> </w:t>
      </w:r>
      <w:r>
        <w:rPr>
          <w:rFonts w:ascii="Times New Roman;sans-serif" w:hAnsi="Times New Roman;sans-serif"/>
          <w:b w:val="false"/>
          <w:color w:val="000000"/>
          <w:sz w:val="20"/>
        </w:rPr>
        <w:t>for a description of the Level 2 inputs used to estimate the fair value of the liability.</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pPr>
      <w:r>
        <w:rPr>
          <w:rFonts w:ascii="Times New Roman;sans-serif" w:hAnsi="Times New Roman;sans-serif"/>
          <w:b w:val="false"/>
          <w:color w:val="000000"/>
          <w:sz w:val="20"/>
        </w:rPr>
        <w:t xml:space="preserve">The carrying value of the deferred royalty obligation related to the sale of future royalties approximates its fair value as of March 31, 2023 and December 31, 2022 and is based on our current estimates of future royalties and commercialization milestones expected to be paid to us by Kyowa Kirin Co., Ltd. ("Kyowa Kirin") over the life of the agreement. See </w:t>
      </w:r>
      <w:r>
        <w:rPr>
          <w:rFonts w:ascii="Times New Roman;sans-serif" w:hAnsi="Times New Roman;sans-serif"/>
          <w:b w:val="false"/>
          <w:i/>
          <w:color w:val="000000"/>
          <w:sz w:val="20"/>
        </w:rPr>
        <w:t>Note 7. Deferred Royalty Obligation Related to the Sale of Future Royalties</w:t>
      </w:r>
      <w:r>
        <w:rPr>
          <w:color w:val="000000"/>
        </w:rPr>
        <w:t xml:space="preserve"> </w:t>
      </w:r>
      <w:r>
        <w:rPr>
          <w:rFonts w:ascii="Times New Roman;sans-serif" w:hAnsi="Times New Roman;sans-serif"/>
          <w:b w:val="false"/>
          <w:color w:val="000000"/>
          <w:sz w:val="20"/>
        </w:rPr>
        <w:t>for a description of the Level 3 inputs used to estimate the fair value of the liability.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4. INVENTORY</w:t>
      </w:r>
    </w:p>
    <w:p>
      <w:pPr>
        <w:pStyle w:val="TextBody"/>
        <w:spacing w:lineRule="auto" w:line="288" w:before="240" w:after="60"/>
        <w:jc w:val="both"/>
        <w:rPr>
          <w:rFonts w:ascii="Times New Roman;sans-serif" w:hAnsi="Times New Roman;sans-serif"/>
          <w:b w:val="false"/>
          <w:color w:val="000000"/>
          <w:sz w:val="20"/>
        </w:rPr>
      </w:pPr>
      <w:r>
        <w:rPr>
          <w:rFonts w:ascii="Times New Roman;sans-serif" w:hAnsi="Times New Roman;sans-serif"/>
          <w:b w:val="false"/>
          <w:color w:val="000000"/>
          <w:sz w:val="20"/>
        </w:rPr>
        <w:t>We began capitalizing inventory during the fourth quarter of 2021, at which time our intent to commercialize IBSRELA was established and we commenced preparation for the commercial launch of IBSRELA. Inventory as of March 31, 2023 and December 31, 2022 consisted of the following (in thousands):</w:t>
      </w:r>
    </w:p>
    <w:tbl>
      <w:tblPr>
        <w:tblW w:w="5814" w:type="dxa"/>
        <w:jc w:val="center"/>
        <w:tblInd w:w="0" w:type="dxa"/>
        <w:tblCellMar>
          <w:top w:w="28" w:type="dxa"/>
          <w:left w:w="28" w:type="dxa"/>
          <w:bottom w:w="28" w:type="dxa"/>
          <w:right w:w="28" w:type="dxa"/>
        </w:tblCellMar>
      </w:tblPr>
      <w:tblGrid>
        <w:gridCol w:w="706"/>
        <w:gridCol w:w="620"/>
        <w:gridCol w:w="624"/>
        <w:gridCol w:w="109"/>
        <w:gridCol w:w="109"/>
        <w:gridCol w:w="109"/>
        <w:gridCol w:w="292"/>
        <w:gridCol w:w="998"/>
        <w:gridCol w:w="150"/>
        <w:gridCol w:w="109"/>
        <w:gridCol w:w="109"/>
        <w:gridCol w:w="109"/>
        <w:gridCol w:w="344"/>
        <w:gridCol w:w="1175"/>
        <w:gridCol w:w="251"/>
      </w:tblGrid>
      <w:tr>
        <w:trPr/>
        <w:tc>
          <w:tcPr>
            <w:tcW w:w="706"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40,124 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25,064 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commercial manufacturing of $13.8 million and $13.6 million as of March 31, 2023 and December 31, 2022, respectively, consisted of prepayments to third party contract manufacturing organizations for the manufacture of IBSRELA for production orders which we expect work to commence within the next 12 months.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 PRODUCT REVENUE, NET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received approval from the FDA in September 2019 to market IBSRELA in the U.S. We began selling IBSRELA in the U.S. in March 2022. We recorded net revenue for IBSRELA of $11.4 million and $0.5 million during the three months ended March 31, 2023 and 2022, respectively. We distribute IBSRELA principally through major wholesalers, specialty pharmacies and group purchasing organizations ("GPOs") (collectively, our "Customers"). Our Customers subsequently sell IBSRELA to pharmacies and patients. Separately, we enter into arrangements with third parties that provide for government-mandated rebates, chargebacks and discounts. Revenue from product sales is recognized when our performance obligations are satisfied, which is when Customers obtain control of our product and occurs upon delivery.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to Cardinal Health, AmerisourceBergen Drug Corporation, and McKesson Corporation made up 22.2%, 21.6%, and 20.8%, respectively, of our product sales, net during the three months ended March 31, 2023.</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activities and ending reserve balances for each significant category of discounts and allowances, which constitute variable consideration, were as follows (in thousands):</w:t>
      </w:r>
    </w:p>
    <w:tbl>
      <w:tblPr>
        <w:tblW w:w="10205" w:type="dxa"/>
        <w:jc w:val="center"/>
        <w:tblInd w:w="0" w:type="dxa"/>
        <w:tblCellMar>
          <w:top w:w="28" w:type="dxa"/>
          <w:left w:w="28" w:type="dxa"/>
          <w:bottom w:w="28" w:type="dxa"/>
          <w:right w:w="28" w:type="dxa"/>
        </w:tblCellMar>
      </w:tblPr>
      <w:tblGrid>
        <w:gridCol w:w="828"/>
        <w:gridCol w:w="715"/>
        <w:gridCol w:w="719"/>
        <w:gridCol w:w="553"/>
        <w:gridCol w:w="1222"/>
        <w:gridCol w:w="288"/>
        <w:gridCol w:w="109"/>
        <w:gridCol w:w="109"/>
        <w:gridCol w:w="109"/>
        <w:gridCol w:w="547"/>
        <w:gridCol w:w="1599"/>
        <w:gridCol w:w="282"/>
        <w:gridCol w:w="109"/>
        <w:gridCol w:w="109"/>
        <w:gridCol w:w="109"/>
        <w:gridCol w:w="335"/>
        <w:gridCol w:w="978"/>
        <w:gridCol w:w="172"/>
        <w:gridCol w:w="109"/>
        <w:gridCol w:w="109"/>
        <w:gridCol w:w="109"/>
        <w:gridCol w:w="211"/>
        <w:gridCol w:w="616"/>
        <w:gridCol w:w="159"/>
      </w:tblGrid>
      <w:tr>
        <w:trPr/>
        <w:tc>
          <w:tcPr>
            <w:tcW w:w="828"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59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Discounts and Chargebacks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Rebates, Wholesaler and GPO Fees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Copay and Returns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w:t>
            </w:r>
          </w:p>
        </w:tc>
        <w:tc>
          <w:tcPr>
            <w:tcW w:w="1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2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Credits/payments</w:t>
            </w:r>
          </w:p>
        </w:tc>
        <w:tc>
          <w:tcPr>
            <w:tcW w:w="1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2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6. COLLABORATION AND LICENSING AGREEMENTS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Kyowa Kirin Co., Ltd. (“Kyowa Kirin”)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2017, we entered into an exclusive license agreement with Kyowa Kirin (“2017 Kyowa Kirin Agreement”), under which we granted Kyowa Kirin an exclusive license to develop and commercialize certain NHE3 inhibitors including tenapanor in Japan for the treatment of cardiorenal diseases and conditions, excluding cancer. We retained the rights to tenapanor outside of Japan, and also retained the rights to tenapanor in Japan for indications other than those stated above. Pursuant to the 2017 Kyowa Kirin Agreement, Kyowa Kirin is responsible for all costs and expenses incurred in the development and commercialization of tenapanor for all licensed indications in Japan. We are responsible for supplying the tenapanor drug substance for Kyowa Kirin’s use in development and commercialization throughout the term of the 2017 Kyowa Kirin Agreement, provided that Kyowa Kirin may exercise an option to manufacture the tenapanor drug substance under certain conditions. In October 2022, we entered into a Commercial Supply Agreement with Kyowa Kirin to further define the obligations of the parties with respect to the commercial supply of tenapanor drug substance (“2022 Kyowa Kirin Supply Agreement”). As detailed below under the heading “Deferred revenue’ we have received advanced payments from Kyowa Kirin for the manufacturing of tenapanor drug substance that will be used to satisfy Kyowa Kirin needs. </w:t>
      </w:r>
    </w:p>
    <w:p>
      <w:pPr>
        <w:pStyle w:val="TextBody"/>
        <w:spacing w:lineRule="auto" w:line="288" w:before="240" w:after="283"/>
        <w:jc w:val="both"/>
        <w:rPr/>
      </w:pPr>
      <w:r>
        <w:rPr>
          <w:rFonts w:ascii="Times New Roman;sans-serif" w:hAnsi="Times New Roman;sans-serif"/>
          <w:b w:val="false"/>
          <w:color w:val="000000"/>
          <w:sz w:val="20"/>
        </w:rPr>
        <w:t xml:space="preserve">We assessed these arrangements in accordance with Accounting Standards Update (“ASU”) No. 2014-09, </w:t>
      </w:r>
      <w:r>
        <w:rPr>
          <w:rFonts w:ascii="Times New Roman;sans-serif" w:hAnsi="Times New Roman;sans-serif"/>
          <w:b w:val="false"/>
          <w:i/>
          <w:color w:val="000000"/>
          <w:sz w:val="20"/>
        </w:rPr>
        <w:t xml:space="preserve">Revenue from Contracts with Customers (Topic 606) and related amendments (“ASC 606”) </w:t>
      </w:r>
      <w:r>
        <w:rPr>
          <w:rFonts w:ascii="Times New Roman;sans-serif" w:hAnsi="Times New Roman;sans-serif"/>
          <w:b w:val="false"/>
          <w:color w:val="000000"/>
          <w:sz w:val="20"/>
        </w:rPr>
        <w:t>and concluded that the contract counterparty, Kyowa Kirin, is a customer. Under the terms of the 2017 Kyowa Kirin Agreement, we received</w:t>
      </w:r>
      <w:r>
        <w:rPr>
          <w:color w:val="000000"/>
        </w:rPr>
        <w:t xml:space="preserve"> </w:t>
      </w:r>
      <w:r>
        <w:rPr>
          <w:rFonts w:ascii="Times New Roman;sans-serif" w:hAnsi="Times New Roman;sans-serif"/>
          <w:b w:val="false"/>
          <w:color w:val="000000"/>
          <w:sz w:val="20"/>
        </w:rPr>
        <w:t xml:space="preserve">$30.0 million in upfront license fees, which was recognized as revenue when the agreement was executed. Based on our assessment, management determined that the license and the manufacturing supply services were its material performance obligations at the inception of the 2017 Kyowa Kirin Agreement, and as such, each of the performance obligations is distinct. </w:t>
      </w:r>
    </w:p>
    <w:p>
      <w:pPr>
        <w:pStyle w:val="TextBody"/>
        <w:spacing w:lineRule="auto" w:line="288" w:before="240" w:after="283"/>
        <w:jc w:val="both"/>
        <w:rPr/>
      </w:pPr>
      <w:r>
        <w:rPr>
          <w:rFonts w:ascii="Times New Roman;sans-serif" w:hAnsi="Times New Roman;sans-serif"/>
          <w:b w:val="false"/>
          <w:color w:val="000000"/>
          <w:sz w:val="20"/>
        </w:rPr>
        <w:t>Under the terms of the 2017 Kyowa Kirin Agreement, Kyowa Kirin paid us an up-front license fee of $30.0 million. We may be entitled to receive up to</w:t>
      </w:r>
      <w:r>
        <w:rPr>
          <w:color w:val="000000"/>
        </w:rPr>
        <w:t xml:space="preserve"> </w:t>
      </w:r>
      <w:r>
        <w:rPr>
          <w:rFonts w:ascii="Times New Roman;sans-serif" w:hAnsi="Times New Roman;sans-serif"/>
          <w:b w:val="false"/>
          <w:color w:val="000000"/>
          <w:sz w:val="20"/>
        </w:rPr>
        <w:t xml:space="preserve">$55.0 million in total development and regulatory milestones, of which $20.0 million has been received and recognized as revenue as of March 31, 2023. We may also be eligible to receive approximately ¥8.5 billion for commercialization milestones, or approximately $64.1 million at the currency exchange rate on March 31, 2023, as well as reimbursement of costs plus a reasonable overhead for the supply of product and royalties on net sales throughout the term of the agreement. As discussed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xml:space="preserve">, the future royalties and commercial milestone payments we may receive under the 2017 Kyowa Kirin Agreement will be remitted to HealthCare Royalty Partners IV, L.P. pursuant to a Royalty and Sales Milestone Interest Acquisition Agreement. The variable consideration related to the remaining milestone payments was fully constrained at March 31, 2023. </w:t>
      </w:r>
    </w:p>
    <w:p>
      <w:pPr>
        <w:pStyle w:val="TextBody"/>
        <w:spacing w:lineRule="auto" w:line="288" w:before="240" w:after="283"/>
        <w:jc w:val="both"/>
        <w:rPr/>
      </w:pPr>
      <w:r>
        <w:rPr>
          <w:rFonts w:ascii="Times New Roman;sans-serif" w:hAnsi="Times New Roman;sans-serif"/>
          <w:b w:val="false"/>
          <w:color w:val="000000"/>
          <w:sz w:val="20"/>
        </w:rPr>
        <w:t xml:space="preserve">In April 2022, we entered into a second amendment to the 2017 Kyowa Kirin Agreement ("2022 Amendment"). Under the terms of the 2022 Amendment, we and Kyowa Kirin have agreed to a reduction in the royalty rate payable to us by Kyowa Kirin upon net sales of tenapanor for hyperphosphatemia in Japan. The royalty rate will be reduced from the high teens to low double digits for a two-year period of time following the first commercial sale in Japan, and then to mid-single digits for the remainder of the royalty term. As discussed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xml:space="preserve">, the future commercial milestones and royalties we may receive under the 2017 Kyowa Kirin Agreement will be remitted to HealthCare Royalty Partners IV, L.P. pursuant to a Royalty and Sales Milestone Interest Acquisition Agreement. As consideration for the reduction in the royalty rate, Kyowa Kirin agreed to pay us up to an additional $40.0 million payable in two tranches, with the first payment due following Kyowa Kirin's filing with the Japanese Ministry of Health, Labour and Welfare of its application for marketing approval for tenapanor and the second payment due following Kyowa Kirin’s receipt of regulatory approval to market tenapanor for hyperphosphatemia in Japan.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we announced that Kyowa Kirin submitted an NDA to the Japanese Ministry of Health, Labour and Welfare for tenapanor for the improvement of hyperphosphatemia in adult patients with CKD on dialysis, which resulted in payment to us from Kyowa Kirin for an aggregate of $35.0 million for milestone payments and payments under the 2022 Amendment. We received these payments during the fourth quarter of 2022 and recorded them as licensing revenue on our statement of operations and comprehensive loss. The remaining variable consideration related to the reduction in the royalty rate was fully constrained at March 31, 2023.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and 2022, we did not recognize a material amount of revenue pursuant to the 2017 Kyowa Kirin Agreement.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Shanghai Fosun Pharmaceutical Industrial Development Co. Ltd. (“Fosun Pharma”)</w:t>
      </w:r>
    </w:p>
    <w:p>
      <w:pPr>
        <w:pStyle w:val="TextBody"/>
        <w:spacing w:lineRule="auto" w:line="288" w:before="240" w:after="283"/>
        <w:jc w:val="both"/>
        <w:rPr/>
      </w:pPr>
      <w:r>
        <w:rPr>
          <w:rFonts w:ascii="Times New Roman;sans-serif" w:hAnsi="Times New Roman;sans-serif"/>
          <w:b w:val="false"/>
          <w:color w:val="000000"/>
          <w:sz w:val="20"/>
        </w:rPr>
        <w:t>In December 2017, we entered into an exclusive license agreement with Fosun Pharma ("Fosun Agreement") for the development, commercialization and distribution of tenapanor in China for both hyperphosphatemia and IBS-C. We assessed these arrangements in accordance with ASC 606 and concluded that the contract counterparty, Fosun Pharma, is a customer. Under the terms of the Fosun Agreement, we received</w:t>
      </w:r>
      <w:r>
        <w:rPr>
          <w:color w:val="000000"/>
        </w:rPr>
        <w:t xml:space="preserve"> </w:t>
      </w:r>
      <w:r>
        <w:rPr>
          <w:rFonts w:ascii="Times New Roman;sans-serif" w:hAnsi="Times New Roman;sans-serif"/>
          <w:b w:val="false"/>
          <w:color w:val="000000"/>
          <w:sz w:val="20"/>
        </w:rPr>
        <w:t xml:space="preserve">$12.0 million in up-front license fees which was recognized as revenue when the agreement was executed. Based on our assessment, we determined that the license and the manufacturing supply services represented the material performance obligations at the inception of the agreement and, as such, each of the performance obligations are distinct. </w:t>
      </w:r>
    </w:p>
    <w:p>
      <w:pPr>
        <w:pStyle w:val="TextBody"/>
        <w:spacing w:lineRule="auto" w:line="288" w:before="240" w:after="283"/>
        <w:jc w:val="both"/>
        <w:rPr/>
      </w:pPr>
      <w:r>
        <w:rPr>
          <w:rFonts w:ascii="Times New Roman;sans-serif" w:hAnsi="Times New Roman;sans-serif"/>
          <w:b w:val="false"/>
          <w:color w:val="000000"/>
          <w:sz w:val="20"/>
        </w:rPr>
        <w:t>We may be entitled to receive development and commercialization milestones of up to</w:t>
      </w:r>
      <w:r>
        <w:rPr>
          <w:color w:val="000000"/>
        </w:rPr>
        <w:t xml:space="preserve"> </w:t>
      </w:r>
      <w:r>
        <w:rPr>
          <w:rFonts w:ascii="Times New Roman;sans-serif" w:hAnsi="Times New Roman;sans-serif"/>
          <w:b w:val="false"/>
          <w:color w:val="000000"/>
          <w:sz w:val="20"/>
        </w:rPr>
        <w:t>$110.0 million, of which $3.0 million has been received and recognized as revenue as of March 31, 2023, as well as reimbursement of cost plus a reasonable overhead for the supply of product and tiered royalties on net sales ranging from the mid-teens to</w:t>
      </w:r>
      <w:r>
        <w:rPr>
          <w:color w:val="000000"/>
        </w:rPr>
        <w:t xml:space="preserve"> </w:t>
      </w:r>
      <w:r>
        <w:rPr>
          <w:rFonts w:ascii="Times New Roman;sans-serif" w:hAnsi="Times New Roman;sans-serif"/>
          <w:b w:val="false"/>
          <w:color w:val="000000"/>
          <w:sz w:val="20"/>
        </w:rPr>
        <w:t>20%. The variable consideration related to the remaining development milestone payments was fully constrained at March 31, 2023.</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and 2022, we did not recognize a material amount of revenue pursuant to the Fosun Agreement.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Knight Therapeutics, Inc. (“Knight“)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2018, we entered into an exclusive license agreement with Knight Therapeutics, Inc., ("Knight Agreement") for the development, commercialization and distribution of tenapanor in Canada for hyperphosphatemia and IBS-C. We assessed this arrangement in accordance with ASC 606 and concluded that the contract counterparty, Knight, is a customer. Based on our assessment, we determined that the license and the manufacturing supply services were the material performance obligations at the inception of the agreement and, as such, each of the performance obligations are distinct.</w:t>
      </w:r>
    </w:p>
    <w:p>
      <w:pPr>
        <w:pStyle w:val="TextBody"/>
        <w:spacing w:lineRule="auto" w:line="288" w:before="240" w:after="283"/>
        <w:jc w:val="both"/>
        <w:rPr/>
      </w:pPr>
      <w:r>
        <w:rPr>
          <w:rFonts w:ascii="Times New Roman;sans-serif" w:hAnsi="Times New Roman;sans-serif"/>
          <w:b w:val="false"/>
          <w:color w:val="000000"/>
          <w:sz w:val="20"/>
        </w:rPr>
        <w:t>Under the terms of the Knight Agreement, we received a</w:t>
      </w:r>
      <w:r>
        <w:rPr>
          <w:color w:val="000000"/>
        </w:rPr>
        <w:t xml:space="preserve"> </w:t>
      </w:r>
      <w:r>
        <w:rPr>
          <w:rFonts w:ascii="Times New Roman;sans-serif" w:hAnsi="Times New Roman;sans-serif"/>
          <w:b w:val="false"/>
          <w:color w:val="000000"/>
          <w:sz w:val="20"/>
        </w:rPr>
        <w:t>$2.3 million non-refundable, one-time upfront payment in March 2018 and may be eligible to receive additional development and commercialization milestone payments worth up to CAD 22.2 million, or approximately $16.3 million at the currency exchange rate on March 31, 2023, of which $0.7 million has been received and recognized as revenue as of March 31, 2023. We are also eligible to receive royalties ranging from the mid-single digits to the low twenties throughout the term of the agreement, and a transfer price for manufacturing services.</w:t>
      </w:r>
      <w:r>
        <w:rPr>
          <w:color w:val="000000"/>
        </w:rPr>
        <w:t xml:space="preserve"> </w:t>
      </w:r>
      <w:r>
        <w:rPr>
          <w:rFonts w:ascii="Times New Roman;sans-serif" w:hAnsi="Times New Roman;sans-serif"/>
          <w:b w:val="false"/>
          <w:color w:val="000000"/>
          <w:sz w:val="20"/>
        </w:rPr>
        <w:t>The variable consideration related to the remaining development milestone payments was fully constrained at March 31, 2023.</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we did not recognize a material amount of revenue pursuant to the Knight Agreement.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AstraZeneca AB (“AstraZeneca”)</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2015, we entered into a termination agreement with AstraZeneca (the “AstraZeneca Termination Agreement”) pursuant to which we have agreed to pay AstraZeneca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other NHE3 products, up to a maximum of $75.0 million in aggregate for (i) and (ii). As of March 31, 2023, to date in aggregate, we have recognized $16.4 million of the $75.0 million, which has been recorded as cost of revenue, and have paid AstraZeneca $11.9 million. During the three months ended March 31, 2023, we recognized and recorded $1.2 million as cost of revenue related to the AstraZeneca Termination Agreement. During the three months ended March 31, 2022 we recognized $0.1 million as cost of revenue related to the AstraZeneca Termination Agreement.</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changes in our current and non-current deferred revenue balances during the reporting period, which are all attributable to the 2017 Kyowa Kirin Agreement (in thousands):</w:t>
      </w:r>
    </w:p>
    <w:tbl>
      <w:tblPr>
        <w:tblW w:w="10134" w:type="dxa"/>
        <w:jc w:val="left"/>
        <w:tblInd w:w="0" w:type="dxa"/>
        <w:tblCellMar>
          <w:top w:w="28" w:type="dxa"/>
          <w:left w:w="28" w:type="dxa"/>
          <w:bottom w:w="28" w:type="dxa"/>
          <w:right w:w="28" w:type="dxa"/>
        </w:tblCellMar>
      </w:tblPr>
      <w:tblGrid>
        <w:gridCol w:w="2929"/>
        <w:gridCol w:w="2577"/>
        <w:gridCol w:w="2594"/>
        <w:gridCol w:w="211"/>
        <w:gridCol w:w="616"/>
        <w:gridCol w:w="109"/>
        <w:gridCol w:w="109"/>
        <w:gridCol w:w="109"/>
        <w:gridCol w:w="109"/>
        <w:gridCol w:w="211"/>
        <w:gridCol w:w="406"/>
        <w:gridCol w:w="154"/>
      </w:tblGrid>
      <w:tr>
        <w:trPr/>
        <w:tc>
          <w:tcPr>
            <w:tcW w:w="2929" w:type="dxa"/>
            <w:tcBorders/>
            <w:shd w:fill="auto" w:val="clear"/>
            <w:vAlign w:val="center"/>
          </w:tcPr>
          <w:p>
            <w:pPr>
              <w:pStyle w:val="TableContents"/>
              <w:spacing w:before="0" w:after="283"/>
              <w:rPr>
                <w:sz w:val="4"/>
                <w:szCs w:val="4"/>
              </w:rPr>
            </w:pPr>
            <w:r>
              <w:rPr>
                <w:sz w:val="4"/>
                <w:szCs w:val="4"/>
              </w:rPr>
            </w:r>
          </w:p>
        </w:tc>
        <w:tc>
          <w:tcPr>
            <w:tcW w:w="2577" w:type="dxa"/>
            <w:tcBorders/>
            <w:shd w:fill="auto" w:val="clear"/>
            <w:vAlign w:val="center"/>
          </w:tcPr>
          <w:p>
            <w:pPr>
              <w:pStyle w:val="TableContents"/>
              <w:spacing w:before="0" w:after="283"/>
              <w:rPr>
                <w:sz w:val="4"/>
                <w:szCs w:val="4"/>
              </w:rPr>
            </w:pPr>
            <w:r>
              <w:rPr>
                <w:sz w:val="4"/>
                <w:szCs w:val="4"/>
              </w:rPr>
            </w:r>
          </w:p>
        </w:tc>
        <w:tc>
          <w:tcPr>
            <w:tcW w:w="25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revenue - current</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81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8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due to amounts reclassified from non-current, to be recognized in the next twelve months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to amounts invoiced, for which cash has not yet been received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810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810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8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9924" w:type="dxa"/>
        <w:jc w:val="left"/>
        <w:tblInd w:w="0" w:type="dxa"/>
        <w:tblCellMar>
          <w:top w:w="28" w:type="dxa"/>
          <w:left w:w="28" w:type="dxa"/>
          <w:bottom w:w="28" w:type="dxa"/>
          <w:right w:w="28" w:type="dxa"/>
        </w:tblCellMar>
      </w:tblPr>
      <w:tblGrid>
        <w:gridCol w:w="2744"/>
        <w:gridCol w:w="2413"/>
        <w:gridCol w:w="2418"/>
        <w:gridCol w:w="211"/>
        <w:gridCol w:w="721"/>
        <w:gridCol w:w="109"/>
        <w:gridCol w:w="109"/>
        <w:gridCol w:w="109"/>
        <w:gridCol w:w="109"/>
        <w:gridCol w:w="211"/>
        <w:gridCol w:w="616"/>
        <w:gridCol w:w="154"/>
      </w:tblGrid>
      <w:tr>
        <w:trPr/>
        <w:tc>
          <w:tcPr>
            <w:tcW w:w="2744" w:type="dxa"/>
            <w:tcBorders/>
            <w:shd w:fill="auto" w:val="clear"/>
            <w:vAlign w:val="center"/>
          </w:tcPr>
          <w:p>
            <w:pPr>
              <w:pStyle w:val="TableContents"/>
              <w:spacing w:before="0" w:after="283"/>
              <w:rPr>
                <w:sz w:val="4"/>
                <w:szCs w:val="4"/>
              </w:rPr>
            </w:pPr>
            <w:r>
              <w:rPr>
                <w:sz w:val="4"/>
                <w:szCs w:val="4"/>
              </w:rPr>
            </w:r>
          </w:p>
        </w:tc>
        <w:tc>
          <w:tcPr>
            <w:tcW w:w="2413" w:type="dxa"/>
            <w:tcBorders/>
            <w:shd w:fill="auto" w:val="clear"/>
            <w:vAlign w:val="center"/>
          </w:tcPr>
          <w:p>
            <w:pPr>
              <w:pStyle w:val="TableContents"/>
              <w:spacing w:before="0" w:after="283"/>
              <w:rPr>
                <w:sz w:val="4"/>
                <w:szCs w:val="4"/>
              </w:rPr>
            </w:pPr>
            <w:r>
              <w:rPr>
                <w:sz w:val="4"/>
                <w:szCs w:val="4"/>
              </w:rPr>
            </w:r>
          </w:p>
        </w:tc>
        <w:tc>
          <w:tcPr>
            <w:tcW w:w="24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revenue - non-current</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5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to amounts invoiced, for which cash has not yet been received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unbilled prepayments recorded during the period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due to amounts reclassified as current, to be recognized in the next twelve months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7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DEFERRED ROYALTY OBLIGATION RELATED TO THE SALE OF FUTURE ROYALTIES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we and HealthCare Royalty Partners IV, L.P. (“HCR”) entered into a Royalty and Sales Milestone Interest Acquisition Agreement (“HCR Agreement”). Under the terms of the HCR Agreement, HCR has agreed to pay us up to $20.0 million in exchange for the royalty payments and commercial milestone payments (collectively the “Royalty Interest Payments”) that we may receive under our 2017 License Agreement with Kyowa Kirin based upon Kyowa Kirin's net sales of tenapanor in Japan for hyperphosphatemia. As consideration for the sale of the Royalty Interest Payments, HCR paid to us a $10.0 million upfront payment, and we are eligible to receive a $5.0 million payment following Kyowa Kirin's receipt of regulatory approval to market tenapanor for hyperphosphatemia in Japan, and another $5.0 million payment in the event net sales by Kyowa Kirin in Japan exceed a certain annual target level by the end of 2025.</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HCR Agreement is effective until terminated by the mutual agreement of the parties and contains customary representations and warranties and customary affirmative and negative covenants, including, among others, requirements as to prosecution, maintenance, defense and enforcement of certain patent rights in Japan, restrictions regarding our ability to forgive, release or reduce any Royalty Interest Payments due to us under the 2017 Kyowa Kirin Agreement, to create or incur any liens with respect to the Royalty Interest Payments, the 2017 Kyowa Kirin Agreement or certain patents, or to sell, license or transfer certain patents in the field and territory described in the 2017 Kyowa Kirin Agreement.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HCR Agreement contains customary events of default with respect to which we may incur indemnification obligations to HCR for any losses incurred by HCR and related parties as a result of the event of default, subject to a specified limitation of liability cap. Under the HCR Agreement, an event of default will occur if, among other things, any of the representations and warranties included in the HCR Agreement proves not to have been true and correct in all material respects, at the time it was made, we breach any of our covenants under the HCR Agreement, subject to specified cure periods with respect to certain breaches, we are in breach or default under the 2017 Kyowa Kirin Agreement in any manner which is likely to cause a material adverse effect on the Royalty Interest Payments, the occurrence of a termination of the 2017 Kyowa Kirin Agreement under certain circumstances or we or our assets become subject to certain legal proceedings, such as bankruptcy proceedings, or we are unable to pay our debts as they become due.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received the $10.0 million upfront payment from HCR during June 2022 and recorded it as a deferred royalty obligation related to the sale of future royalties ("deferred royalty obligation") on our balance sheet. Due to our ongoing manufacturing obligations under the 2017 Kyowa Kirin Agreement, we account for the proceeds as imputed debt and therefore will recognize royalties received under the arrangement as non-cash royalty revenue. Non-cash interest expense will be recognized over the life of the HCR Agreement using the effective interest method based on the imputed interest rate derived from estimated amounts and timing of future royalty payments to be received from Kyowa Kirin. As part of the sale, we incurred approximately $0.4 million in transaction costs, which, along with the deferred royalty obligation, are being amortized to non-cash interest expense over the estimated life of the HCR Agreement using the effective interest method. As future royalties are remitted to us by Kyowa Kirin, and subsequently from us to HCR, the balance of the deferred royalty obligation will be effectively repaid over the life of the HCR Agreement. There are a number of factors that could materially affect the fair value of the deferred royalty obligation. Such factors include, but are not limited to, the amount and timing of potential future royalty payments to be received from Kyowa Kirin under the 2017 Kyowa Kirin agreement, changing standards of care, the introduction of competing products, manufacturing or other delays, intellectual property matters, adverse events that result in governmental health authority imposed restrictions on the use of the drug products, significant changes in foreign exchange rates as the royalties remitted to HCR are made in U.S. dollars while the underlying sales of the products by Kyowa Kirin are made in Japanese yen, and other events or circumstances that could result in reduced royalty payments from Kyowa Kirin, which are not within our control, and all of which would result in a reduction of non-cash royalty revenues and the non-cash interest expense over the life of the deferred royalty obligation. We periodically assess the estimated royalty payments from Kyowa Kirin and, to the extent that the amount or timing of such payments is materially different than our original estimates, we prospectively adjust the imputed interest rate and the related amortization of the deferred royalty obligation. As of March 31, 2023, our effective interest rate used to amortize the liability is 34.4%.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recognized approximately $1.0 million of non-cash interest expense for the amortization of the deferred royalty obligation. As of March 31, 2023, we have received no royalty payments from Kyowa Kirin and, therefore, the deferred royalty obligation has not begun to be reduced.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8. BORROWING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Solar Capital and Western Alliance Bank Loan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May 2018, we entered into a loan and security agreement (as amended on October 9, 2020, March 1, 2021, May 5, 2021, and July 29, 2021) (the "2018 Loan Agreement") with Solar Capital Ltd. and Western Alliance Bank (collectively the “2018 Lenders”). The 2018 Loan Agreement provided for a loan facility for up to $50.0 million with a maturity date of November 1, 2022 (the “2018 Loan”). As of the Closing Date for the 2022 Loan, as discussed below, we owed $25.0 million in principal payments from the 2018 Loan, which we repaid in full at that time.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As discussed in </w:t>
      </w:r>
      <w:r>
        <w:rPr>
          <w:rFonts w:ascii="Times New Roman;sans-serif" w:hAnsi="Times New Roman;sans-serif"/>
          <w:b w:val="false"/>
          <w:i/>
          <w:color w:val="000000"/>
          <w:sz w:val="20"/>
        </w:rPr>
        <w:t>Note 9. Derivative Liability</w:t>
      </w:r>
      <w:r>
        <w:rPr>
          <w:rFonts w:ascii="Times New Roman;sans-serif" w:hAnsi="Times New Roman;sans-serif"/>
          <w:b w:val="false"/>
          <w:color w:val="000000"/>
          <w:sz w:val="20"/>
        </w:rPr>
        <w:t xml:space="preserve">, in connection with entering into the 2018 Loan Agreement, we entered into an agreement pursuant to which we agreed to pay $1.5 million in cash upon the occurrence of certain conditions (the "2018 Exit Fee"). Our obligations for the 2018 Exit Fee remain outstanding following the full repayment of the 2018 Loan in February 2022.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SLR Investment Corp. Loan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2022 (“Closing Date”), we entered into a loan and security agreement (“2022 Loan Agreement”) with SLR Investment Corp. as collateral agent (“Agent”), and the lenders listed in the 2022 Loan Agreement (collectively the “2022 Lenders”). The 2022 Loan Agreement was subsequently amended on August 1, 2022 and February 9, 2023. We concluded that the Loan amendments were modifications to the 2022 Loan Agreement and are accounted for accordingly. The 2022 Loan Agreement as amended provides for a senior secured loan facility, with $27.5 million (“Term A Loan”) funded on the Closing Date and an additional $22.5 million which we may borrow on or prior to December 20, 2023; provided that (i) we have received approval by the FDA for our NDA for XPHOZAH by November 30, 2023, and (ii) we have achieved certain product revenue milestone targets described in the 2022 Loan Agreement (“Term B Loan”, and collectively, the Term A Loan and the Term B Loan, the “2022 Loan”). The 2022 Term A Loan funds were used to repay the 2018 Loan with the 2018 Lenders. The 2022 Loan has a maturity date of March 1, 2027.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2022 Loan as amended bear interest at a floating per annum interest rate with 7.95% plus the greater of (a) one percent (1.00%) per annum and (b)(i) 0.022% plus (ii) 1-month CME Term SOFR reference rate as published by the CME Term SOFR Administrator on the CME Term SOFR Administrator’s Website. We are permitted to make interest-only payments on the 2022 Loan through March 31, 2024, which date will be extended to March 31, 2025 if we receive approval by the FDA for our NDA for XPHOZAH on or prior to November 30, 2023 or achieve a defined net product revenue threshold for 2023. Accordingly, beginning on April 1, 2024 or April 1, 2025, we will be required to make monthly payments of interest plus repayment of the 2022 Loan in consecutive equal monthly installments of principal over 36 months or 24 months, respectively. We were obligated to pay $0.2 million, upon the closing of the Term A Loan, and we are obligated to pay $0.1 million on the earliest of (i) the funding date of the Term B Loan, (ii) July 25, 2023, and (iii) the prepayment, refinancing, substitution, or replacement of the Term A Loan on or prior to July 25, 2023. We are obligated to pay a final fee equal to 4.95% of the aggregate original principal amount of the 2022 Loan funded upon the earliest to occur of the maturity date, the acceleration of the 2022 Loan, and the prepayment, refinancing, substitution, or replacement of the 2022 Loan. We may voluntarily prepay the outstanding 2022 Loan balance, subject to a prepayment premium of (i) 3% of the outstanding principal amount of the 2022 Loan if prepaid prior to or on the first anniversary of the Closing Date, (ii) 2% of the outstanding principal amount of the 2022 Loan if prepaid after the first anniversary of the Closing Date through and including the second anniversary of the Closing Date, or (iii) 1% of the outstanding principal amount of the 2022 Loan if prepaid after the second anniversary of the Closing Date and prior to the maturity date. The 2022 Loan is secured by substantially all of our assets, except for our intellectual property and certain other customary exclusions. Additionally, in connection with the 2022 Loan, we entered into an agreement, whereby we agreed to pay an exit fee in the amount of 2% of the 2022 Loan funded (“2022 Exit Fee”) upon (i) any change of control transaction or (ii) our achievement of net revenue from the sale of any products equal to or greater than $100.0 million, measured on a six (6) months basis, tested monthly at the end of each month. Notwithstanding the prepayment or termination of the 2022 Loan, the 2022 Exit Fee will expire 10 years from the Closing Date.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2022 Loan Agreement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or to redeem capital stock. We have agreed to not allow our cash and cash equivalents to be less than the eighty percent (80%) of the outstanding 2022 Term Loan balance for any period in which our net revenue from the sale of any products, calculated on a trailing six (6) month basis and tested monthly, is less than sixty percent (60%) of the outstanding 2022 Loan balance.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addition, the 2022 Loan Agreement contains customary events of default that entitle the Agent to cause our indebtedness under the 2022 Loan Agreement to become immediately due and payable, and to exercise remedies against us and the collateral securing the 2022 Term Loan, including our cash. Under the 2022 Loan Agreement, an event of default will occur if, among other things, we fail to make payments under the 2022 Loan Agreement, we breach any of our covenants under the 2022 Loan Agreement, subject to specified cure periods with respect to certain breaches, certain Lenders determine that a material adverse change has occurred, we or our assets become subject to certain legal proceedings, such as bankruptcy proceedings, we are unable to pay our debts as they become due or we default on contracts with third parties which would permit the holder of indebtedness to accelerate the maturity of such indebtedness or that could have a material adverse change on us. Upon the occurrence and for the duration of an event of default, an additional default interest rate equal to 4% per annum will apply to all obligations owed under the 2022 Loan Agreement. We have classified the 2022 Loan balance as a current liability as of March 31, 2023 due to the determination of the existence of substantial doubt about our ability to continue operating as a going concern discussed in </w:t>
      </w:r>
      <w:r>
        <w:rPr>
          <w:rFonts w:ascii="Times New Roman;sans-serif" w:hAnsi="Times New Roman;sans-serif"/>
          <w:b w:val="false"/>
          <w:i/>
          <w:color w:val="000000"/>
          <w:sz w:val="20"/>
        </w:rPr>
        <w:t>Note 1. Organization and Basis of Presentation: Liquidity</w:t>
      </w:r>
      <w:r>
        <w:rPr>
          <w:color w:val="000000"/>
        </w:rPr>
        <w:t xml:space="preserve"> </w:t>
      </w:r>
      <w:r>
        <w:rPr>
          <w:rFonts w:ascii="Times New Roman;sans-serif" w:hAnsi="Times New Roman;sans-serif"/>
          <w:b w:val="false"/>
          <w:color w:val="000000"/>
          <w:sz w:val="20"/>
        </w:rPr>
        <w:t>and our assessment that the material adverse change clause under the 2022 Loan Agreement is not within our control. The lenders have not invoked the material adverse change clause as of the date of issuance of these condensed financial statements.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future payment obligations related to the 2022 Loan, excluding interest payments and the 2022 final fee, were as follows (in thousands) and may be condensed to the 24 months ending March 1, 2027 if certain conditions noted above to extend the interest-only period are achieved:</w:t>
      </w:r>
    </w:p>
    <w:tbl>
      <w:tblPr>
        <w:tblW w:w="5405" w:type="dxa"/>
        <w:jc w:val="left"/>
        <w:tblInd w:w="0" w:type="dxa"/>
        <w:tblCellMar>
          <w:top w:w="28" w:type="dxa"/>
          <w:left w:w="28" w:type="dxa"/>
          <w:bottom w:w="28" w:type="dxa"/>
          <w:right w:w="28" w:type="dxa"/>
        </w:tblCellMar>
      </w:tblPr>
      <w:tblGrid>
        <w:gridCol w:w="1566"/>
        <w:gridCol w:w="1372"/>
        <w:gridCol w:w="1381"/>
        <w:gridCol w:w="211"/>
        <w:gridCol w:w="721"/>
        <w:gridCol w:w="154"/>
      </w:tblGrid>
      <w:tr>
        <w:trPr/>
        <w:tc>
          <w:tcPr>
            <w:tcW w:w="1566"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repayment obligations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and debt issuance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Unaccreted value of final fee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DERIVATIVE LIABILITIES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2018 Exit Fee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May 2018, in connection with entering into the 2018 Loan Agreement, we entered into an agreement pursuant to which we agreed to pay $1.5 million in cash ("2018 Exit Fee") upon any change of control transaction in respect of the Company or if we obtain both (i) FDA approval of XPHOZAH and (ii) FDA approval of IBSRELA, which was obtained on September 12, 2019 (“2018 Exit Fee Agreement”). Notwithstanding the February 2022 prepayment of the 2018 Loan, our obligation to pay the 2018 Exit Fee will expire on May 16, 2028. We concluded that the 2018 Exit Fee is a freestanding derivative which should be accounted for at fair value on a recurring basis. The estimated fair value of the 2018 Exit Fee is recorded as a derivative liability and included in accrued expense and other current liabilities on the accompanying condensed balance sheets. As of March 31, 2023 and December 31, 2022, the estimated fair value of the 2018 Exit Fee was $1.3 million and $1.2 million,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derivative instrument include: (i) our estimates of both the probability and timing of a potential $1.5 million payment to Solar Capital Ltd. and Western Alliance Bank as a result of the FDA approvals, and (ii) a discount rate which was derived from our estimated cost of debt, adjusted with current LIBOR. Generally, increases or decreases in the probability of occurrence would result in a directionally similar impact in the fair value measurement of the derivative instrument and it is estimated that a 10% increase (decrease), not to exceed 100%, in the probability of occurrence would result in a fair value fluctuation of no more than $0.1 million.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2022 Exit Fee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in connection with entering into the 2022 Loan Agreement, we entered into an agreement, whereby we agreed to pay an exit fee in the amount of 2% of the 2022 Loan funded (“2022 Exit Fee”) upon (i) any change of control transaction or (ii) our achievement of net revenue from the sale of any products equal to or greater than $100.0 million, measured on a six (6) months basis ("Revenue Milestone"), tested monthly at the end of each month. Notwithstanding the prepayment or termination of the 2022 Loan, the 2022 Exit Fee will expire on February 23, 2032. We concluded that the 2022 Exit Fee is a freestanding derivative which should be accounted for at fair value on a recurring basis. The estimated fair value of the 2022 Exit Fee is recorded as a derivative liability and included in accrued expenses and other current liabilities on the accompanying condensed balance sheets. As of March 31, 2023 and December 31, 2022, the estimated fair value of the 2022 Exit Fee was $0.5 million and $0.4 million,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2022 derivative liability include: (i) our estimates of both the probability and timing of achieving the Revenue Milestone and (ii) the probability and timing of funding the Term B Loan, which is dependent upon (a) approval by the FDA for our NDA for the control of serum phosphorus in adult patients with CKD on dialysis by November 30, 2023, and (b) achievement of certain product revenue milestone targets. Generally, increases or decreases in the probability of occurrence would result in a directionally similar impact in the fair value measurement of the derivative liability and it is estimated that a 10% increase (decrease) in the probability of occurrence would not result in a material fair value fluctuation.</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recurring measurements included in Level 3 of the fair value hierarchy are presented as other income, net in our condensed statements of operations and comprehensive loss and were as follows for the three months ended March 31, 2023 and 2022 (in thousands):</w:t>
      </w:r>
    </w:p>
    <w:tbl>
      <w:tblPr>
        <w:tblW w:w="5244" w:type="dxa"/>
        <w:jc w:val="left"/>
        <w:tblInd w:w="0" w:type="dxa"/>
        <w:tblCellMar>
          <w:top w:w="28" w:type="dxa"/>
          <w:left w:w="28" w:type="dxa"/>
          <w:bottom w:w="28" w:type="dxa"/>
          <w:right w:w="28" w:type="dxa"/>
        </w:tblCellMar>
      </w:tblPr>
      <w:tblGrid>
        <w:gridCol w:w="1087"/>
        <w:gridCol w:w="953"/>
        <w:gridCol w:w="960"/>
        <w:gridCol w:w="211"/>
        <w:gridCol w:w="616"/>
        <w:gridCol w:w="109"/>
        <w:gridCol w:w="109"/>
        <w:gridCol w:w="109"/>
        <w:gridCol w:w="109"/>
        <w:gridCol w:w="211"/>
        <w:gridCol w:w="616"/>
        <w:gridCol w:w="154"/>
      </w:tblGrid>
      <w:tr>
        <w:trPr/>
        <w:tc>
          <w:tcPr>
            <w:tcW w:w="1087"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Exit Fee addition at fair value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estimated fair value:</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Exit Fee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Exit Fee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LEASES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our leases are operating leases and each contain customary rent escalation clauses. Certain of the leases have both lease and non-lease components. We have elected to account for each separate lease component and the non-lease components associated with that lease component as a single lease component for all classes of underlying assets.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additional details of our facility leases presented in our condensed balance sheets (dollars in thousands):</w:t>
      </w:r>
    </w:p>
    <w:tbl>
      <w:tblPr>
        <w:tblW w:w="7434" w:type="dxa"/>
        <w:jc w:val="left"/>
        <w:tblInd w:w="0" w:type="dxa"/>
        <w:tblCellMar>
          <w:top w:w="28" w:type="dxa"/>
          <w:left w:w="28" w:type="dxa"/>
          <w:bottom w:w="28" w:type="dxa"/>
          <w:right w:w="28" w:type="dxa"/>
        </w:tblCellMar>
      </w:tblPr>
      <w:tblGrid>
        <w:gridCol w:w="1409"/>
        <w:gridCol w:w="1240"/>
        <w:gridCol w:w="1250"/>
        <w:gridCol w:w="513"/>
        <w:gridCol w:w="264"/>
        <w:gridCol w:w="662"/>
        <w:gridCol w:w="109"/>
        <w:gridCol w:w="109"/>
        <w:gridCol w:w="109"/>
        <w:gridCol w:w="586"/>
        <w:gridCol w:w="302"/>
        <w:gridCol w:w="881"/>
      </w:tblGrid>
      <w:tr>
        <w:trPr/>
        <w:tc>
          <w:tcPr>
            <w:tcW w:w="1409"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Facilities</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9,295</w:t>
            </w:r>
          </w:p>
        </w:tc>
      </w:tr>
      <w:tr>
        <w:trPr/>
        <w:tc>
          <w:tcPr>
            <w:tcW w:w="3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liabilities</w:t>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w:t>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w:t>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9,749</w:t>
            </w:r>
          </w:p>
        </w:tc>
      </w:tr>
      <w:tr>
        <w:trPr/>
        <w:tc>
          <w:tcPr>
            <w:tcW w:w="3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life (years)</w:t>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7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6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lease costs, which are included in operating expenses in our condensed statements of operations and comprehensive loss, were as follows (in thousands):</w:t>
      </w:r>
    </w:p>
    <w:tbl>
      <w:tblPr>
        <w:tblW w:w="5742" w:type="dxa"/>
        <w:jc w:val="left"/>
        <w:tblInd w:w="0" w:type="dxa"/>
        <w:tblCellMar>
          <w:top w:w="28" w:type="dxa"/>
          <w:left w:w="28" w:type="dxa"/>
          <w:bottom w:w="28" w:type="dxa"/>
          <w:right w:w="28" w:type="dxa"/>
        </w:tblCellMar>
      </w:tblPr>
      <w:tblGrid>
        <w:gridCol w:w="896"/>
        <w:gridCol w:w="787"/>
        <w:gridCol w:w="792"/>
        <w:gridCol w:w="267"/>
        <w:gridCol w:w="781"/>
        <w:gridCol w:w="138"/>
        <w:gridCol w:w="138"/>
        <w:gridCol w:w="138"/>
        <w:gridCol w:w="138"/>
        <w:gridCol w:w="267"/>
        <w:gridCol w:w="781"/>
        <w:gridCol w:w="138"/>
        <w:gridCol w:w="109"/>
        <w:gridCol w:w="109"/>
        <w:gridCol w:w="109"/>
        <w:gridCol w:w="154"/>
      </w:tblGrid>
      <w:tr>
        <w:trPr/>
        <w:tc>
          <w:tcPr>
            <w:tcW w:w="896"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w:t>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undiscounted cash payment obligations for our operating lease liabilities as of March 31, 2023 (in thousands):</w:t>
      </w:r>
    </w:p>
    <w:tbl>
      <w:tblPr>
        <w:tblW w:w="5015" w:type="dxa"/>
        <w:jc w:val="left"/>
        <w:tblInd w:w="0" w:type="dxa"/>
        <w:tblCellMar>
          <w:top w:w="28" w:type="dxa"/>
          <w:left w:w="28" w:type="dxa"/>
          <w:bottom w:w="28" w:type="dxa"/>
          <w:right w:w="28" w:type="dxa"/>
        </w:tblCellMar>
      </w:tblPr>
      <w:tblGrid>
        <w:gridCol w:w="1460"/>
        <w:gridCol w:w="1282"/>
        <w:gridCol w:w="1292"/>
        <w:gridCol w:w="211"/>
        <w:gridCol w:w="616"/>
        <w:gridCol w:w="154"/>
      </w:tblGrid>
      <w:tr>
        <w:trPr/>
        <w:tc>
          <w:tcPr>
            <w:tcW w:w="1460"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operating lease payments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Imputed interest expenses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operating lease liability</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we entered into a sub-lease Agreement (the “Sub-lease”) with Chronus Health, Inc. ("Chronus). The Sub-lease permits use by Chronus of a portion of the space in our facility in Fremont, California. We lease the facility from a different counterparty under a separate head lease that commenced in September 2008 and has been amended multiple times to add space and to extend the lease term through March 2025. We have sub-leased to Chronus approximately 21,644 square feet of the 72,500 square foot building's interior space, plus corresponding exterior support space and parking. The term of the Sub-lease shall expire on February 1, 2025.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Sub-lease we recognized an impairment of long-lived assets totaling $0.4 million during the three months ended March 31, 2023, which consisted primarily of impairment to the Fremont facility right-of-use asset. The Sub-lease commenced in April 2023 and we have recognized no income from the sub-lease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11. STOCKHOLDERS’ EQUITY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At the Market Offerings Agreement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we filed an additional prospectus supplement under a Registration Statement which was filed in July 2020 for the offering, issuance and sale by us of up to a maximum aggregate offering price of $150.0 million of our common stock that may be issued and sold, from time to time, under a sales agreement we entered into with Jefferies (the "2021 Open Market Sales Agreement"), pursuant to which we may, from time to time, sell up to $150.0 million in shares of our common stock through Jefferies. Pursuant to the 2021 Open Market Sales Agreement, Jefferies, as our sales agent, received a commission of up to 3% of the gross sales price for shares of common stock sold under the 2021 Open Market Sales Agreement. During the three months ended March 31, 2023 we sold 15.5 million shares and received gross proceeds of $51.9 million at a weighted average sales price of approximately $3.35 per share under the 2021 Open Market Sales Agreement. As of March 31, 2023, we have sold a total of 95.2 million shares and received the maximum gross proceeds of $150.0 million under the 2021 Open Market Sales Agreement.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we filed a Form S-3 registration statement,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LLC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As of March 31, 2023, there have been no sales of our common stock under the 2023 Open Market Sales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12. EQUITY INCENTIVE PLANS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recognized for stock options, restricted stock units ("RSUs"), and our employee stock purchase program (the "ESPP") are recorded as operating expenses in our condensed statements of operations and comprehensive loss, as follows (in thousands):</w:t>
      </w:r>
    </w:p>
    <w:tbl>
      <w:tblPr>
        <w:tblW w:w="6222" w:type="dxa"/>
        <w:jc w:val="center"/>
        <w:tblInd w:w="0" w:type="dxa"/>
        <w:tblCellMar>
          <w:top w:w="28" w:type="dxa"/>
          <w:left w:w="28" w:type="dxa"/>
          <w:bottom w:w="28" w:type="dxa"/>
          <w:right w:w="28" w:type="dxa"/>
        </w:tblCellMar>
      </w:tblPr>
      <w:tblGrid>
        <w:gridCol w:w="1071"/>
        <w:gridCol w:w="941"/>
        <w:gridCol w:w="943"/>
        <w:gridCol w:w="267"/>
        <w:gridCol w:w="781"/>
        <w:gridCol w:w="138"/>
        <w:gridCol w:w="138"/>
        <w:gridCol w:w="138"/>
        <w:gridCol w:w="138"/>
        <w:gridCol w:w="267"/>
        <w:gridCol w:w="781"/>
        <w:gridCol w:w="138"/>
        <w:gridCol w:w="109"/>
        <w:gridCol w:w="109"/>
        <w:gridCol w:w="109"/>
        <w:gridCol w:w="154"/>
      </w:tblGrid>
      <w:tr>
        <w:trPr/>
        <w:tc>
          <w:tcPr>
            <w:tcW w:w="1071"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total unrecognized stock-based compensation expense, net of estimated forfeitures, and average remaining vesting period, included the following (dollars in thousands):</w:t>
      </w:r>
    </w:p>
    <w:tbl>
      <w:tblPr>
        <w:tblW w:w="9115" w:type="dxa"/>
        <w:jc w:val="left"/>
        <w:tblInd w:w="0" w:type="dxa"/>
        <w:tblCellMar>
          <w:top w:w="28" w:type="dxa"/>
          <w:left w:w="28" w:type="dxa"/>
          <w:bottom w:w="28" w:type="dxa"/>
          <w:right w:w="28" w:type="dxa"/>
        </w:tblCellMar>
      </w:tblPr>
      <w:tblGrid>
        <w:gridCol w:w="618"/>
        <w:gridCol w:w="543"/>
        <w:gridCol w:w="548"/>
        <w:gridCol w:w="664"/>
        <w:gridCol w:w="2273"/>
        <w:gridCol w:w="348"/>
        <w:gridCol w:w="109"/>
        <w:gridCol w:w="109"/>
        <w:gridCol w:w="109"/>
        <w:gridCol w:w="1109"/>
        <w:gridCol w:w="1109"/>
        <w:gridCol w:w="1576"/>
      </w:tblGrid>
      <w:tr>
        <w:trPr/>
        <w:tc>
          <w:tcPr>
            <w:tcW w:w="618"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2273"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Unrecognized Compensation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Remaining Vesting Period (Years)</w:t>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grants</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21,127 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grants</w:t>
            </w:r>
          </w:p>
        </w:tc>
        <w:tc>
          <w:tcPr>
            <w:tcW w:w="66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7,309 </w:t>
            </w:r>
          </w:p>
        </w:tc>
        <w:tc>
          <w:tcPr>
            <w:tcW w:w="3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6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w:t>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stock option activity and related information for the three months ended March 31, 2023 is as follows (in thousands, except dollar amounts):</w:t>
      </w:r>
    </w:p>
    <w:tbl>
      <w:tblPr>
        <w:tblW w:w="6283" w:type="dxa"/>
        <w:jc w:val="left"/>
        <w:tblInd w:w="0" w:type="dxa"/>
        <w:tblCellMar>
          <w:top w:w="28" w:type="dxa"/>
          <w:left w:w="28" w:type="dxa"/>
          <w:bottom w:w="28" w:type="dxa"/>
          <w:right w:w="28" w:type="dxa"/>
        </w:tblCellMar>
      </w:tblPr>
      <w:tblGrid>
        <w:gridCol w:w="939"/>
        <w:gridCol w:w="825"/>
        <w:gridCol w:w="830"/>
        <w:gridCol w:w="540"/>
        <w:gridCol w:w="540"/>
        <w:gridCol w:w="541"/>
        <w:gridCol w:w="109"/>
        <w:gridCol w:w="109"/>
        <w:gridCol w:w="109"/>
        <w:gridCol w:w="419"/>
        <w:gridCol w:w="1015"/>
        <w:gridCol w:w="307"/>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Exercise Price per</w:t>
              <w:br/>
              <w:t>Share</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13,963 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0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6,472 </w:t>
            </w:r>
          </w:p>
        </w:tc>
        <w:tc>
          <w:tcPr>
            <w:tcW w:w="5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canceled</w:t>
            </w:r>
          </w:p>
        </w:tc>
        <w:tc>
          <w:tcPr>
            <w:tcW w:w="10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5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20,343 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2023</w:t>
            </w:r>
          </w:p>
        </w:tc>
        <w:tc>
          <w:tcPr>
            <w:tcW w:w="1080" w:type="dxa"/>
            <w:gridSpan w:val="2"/>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9,185 </w:t>
            </w:r>
          </w:p>
        </w:tc>
        <w:tc>
          <w:tcPr>
            <w:tcW w:w="541"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307"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RSUs activity and related information for the three months ended March 31, 2023 is as follows (in thousands, except dollar amounts):</w:t>
      </w:r>
    </w:p>
    <w:tbl>
      <w:tblPr>
        <w:tblW w:w="7663" w:type="dxa"/>
        <w:jc w:val="left"/>
        <w:tblInd w:w="0" w:type="dxa"/>
        <w:tblCellMar>
          <w:top w:w="28" w:type="dxa"/>
          <w:left w:w="28" w:type="dxa"/>
          <w:bottom w:w="28" w:type="dxa"/>
          <w:right w:w="28" w:type="dxa"/>
        </w:tblCellMar>
      </w:tblPr>
      <w:tblGrid>
        <w:gridCol w:w="1664"/>
        <w:gridCol w:w="1458"/>
        <w:gridCol w:w="1467"/>
        <w:gridCol w:w="335"/>
        <w:gridCol w:w="335"/>
        <w:gridCol w:w="336"/>
        <w:gridCol w:w="109"/>
        <w:gridCol w:w="109"/>
        <w:gridCol w:w="109"/>
        <w:gridCol w:w="419"/>
        <w:gridCol w:w="1015"/>
        <w:gridCol w:w="307"/>
      </w:tblGrid>
      <w:tr>
        <w:trPr/>
        <w:tc>
          <w:tcPr>
            <w:tcW w:w="1664"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1467"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Grant Date Fair</w:t>
              <w:br/>
              <w:t>Value Per Share</w:t>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units at December 31, 2022</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3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units at March 31, 2023</w:t>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sold approximately 0.2 million shares of our common stock under the ESPP. The shares were purchased by employees at an average purchase price of $0.83 per share resulting in proceeds to us of approximately $0.1 million.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Issuance of Common Stock for Services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Amended and Restated Non-Employee Director Compensation Program, members of our board of directors may elect to receive shares of our stock in lieu of their cash fees. During the three months ended March 31, 2023, we issued no shares of our common stock to members of the board of directors in accordance with the program.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13. NET LOSS PER SHARE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we had net losses for the three months ended March 31, 2023 and 2022, all potential common shares were determined to be anti-dilutive.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computation of net loss per common share (in thousands, except per share amounts): </w:t>
      </w:r>
    </w:p>
    <w:p>
      <w:pPr>
        <w:pStyle w:val="TextBody"/>
        <w:spacing w:before="0" w:after="0"/>
        <w:jc w:val="both"/>
        <w:rPr/>
      </w:pPr>
      <w:r>
        <w:rPr/>
      </w:r>
    </w:p>
    <w:tbl>
      <w:tblPr>
        <w:tblW w:w="8711" w:type="dxa"/>
        <w:jc w:val="left"/>
        <w:tblInd w:w="0" w:type="dxa"/>
        <w:tblCellMar>
          <w:top w:w="28" w:type="dxa"/>
          <w:left w:w="28" w:type="dxa"/>
          <w:bottom w:w="28" w:type="dxa"/>
          <w:right w:w="28" w:type="dxa"/>
        </w:tblCellMar>
      </w:tblPr>
      <w:tblGrid>
        <w:gridCol w:w="1969"/>
        <w:gridCol w:w="1731"/>
        <w:gridCol w:w="1744"/>
        <w:gridCol w:w="230"/>
        <w:gridCol w:w="868"/>
        <w:gridCol w:w="118"/>
        <w:gridCol w:w="118"/>
        <w:gridCol w:w="118"/>
        <w:gridCol w:w="118"/>
        <w:gridCol w:w="230"/>
        <w:gridCol w:w="868"/>
        <w:gridCol w:w="118"/>
        <w:gridCol w:w="109"/>
        <w:gridCol w:w="109"/>
        <w:gridCol w:w="109"/>
        <w:gridCol w:w="154"/>
      </w:tblGrid>
      <w:tr>
        <w:trPr/>
        <w:tc>
          <w:tcPr>
            <w:tcW w:w="1969" w:type="dxa"/>
            <w:tcBorders/>
            <w:shd w:fill="auto" w:val="clear"/>
            <w:vAlign w:val="center"/>
          </w:tcPr>
          <w:p>
            <w:pPr>
              <w:pStyle w:val="TableContents"/>
              <w:spacing w:before="0" w:after="283"/>
              <w:rPr>
                <w:sz w:val="4"/>
                <w:szCs w:val="4"/>
              </w:rPr>
            </w:pPr>
            <w:r>
              <w:rPr>
                <w:sz w:val="4"/>
                <w:szCs w:val="4"/>
              </w:rPr>
            </w:r>
          </w:p>
        </w:tc>
        <w:tc>
          <w:tcPr>
            <w:tcW w:w="1731" w:type="dxa"/>
            <w:tcBorders/>
            <w:shd w:fill="auto" w:val="clear"/>
            <w:vAlign w:val="center"/>
          </w:tcPr>
          <w:p>
            <w:pPr>
              <w:pStyle w:val="TableContents"/>
              <w:spacing w:before="0" w:after="283"/>
              <w:rPr>
                <w:sz w:val="4"/>
                <w:szCs w:val="4"/>
              </w:rPr>
            </w:pPr>
            <w:r>
              <w:rPr>
                <w:sz w:val="4"/>
                <w:szCs w:val="4"/>
              </w:rPr>
            </w:r>
          </w:p>
        </w:tc>
        <w:tc>
          <w:tcPr>
            <w:tcW w:w="1744"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 and diluted</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207,023 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130,935 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common stock - basic and diluted</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the total numbers of securities that could potentially dilute net income per share in the future that were not considered in the diluted net loss per share calculations because the effect would have been anti-dilutive were as follows (in thousands):</w:t>
      </w:r>
    </w:p>
    <w:tbl>
      <w:tblPr>
        <w:tblW w:w="6240" w:type="dxa"/>
        <w:jc w:val="left"/>
        <w:tblInd w:w="0" w:type="dxa"/>
        <w:tblCellMar>
          <w:top w:w="28" w:type="dxa"/>
          <w:left w:w="28" w:type="dxa"/>
          <w:bottom w:w="28" w:type="dxa"/>
          <w:right w:w="28" w:type="dxa"/>
        </w:tblCellMar>
      </w:tblPr>
      <w:tblGrid>
        <w:gridCol w:w="1073"/>
        <w:gridCol w:w="946"/>
        <w:gridCol w:w="950"/>
        <w:gridCol w:w="310"/>
        <w:gridCol w:w="310"/>
        <w:gridCol w:w="310"/>
        <w:gridCol w:w="310"/>
        <w:gridCol w:w="310"/>
        <w:gridCol w:w="310"/>
        <w:gridCol w:w="310"/>
        <w:gridCol w:w="310"/>
        <w:gridCol w:w="310"/>
        <w:gridCol w:w="109"/>
        <w:gridCol w:w="109"/>
        <w:gridCol w:w="109"/>
        <w:gridCol w:w="154"/>
      </w:tblGrid>
      <w:tr>
        <w:trPr/>
        <w:tc>
          <w:tcPr>
            <w:tcW w:w="1073"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19,855</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ESPP shares issuable</w:t>
            </w:r>
          </w:p>
        </w:tc>
        <w:tc>
          <w:tcPr>
            <w:tcW w:w="9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22,991</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14. CONTINGENCIES</w:t>
      </w:r>
    </w:p>
    <w:p>
      <w:pPr>
        <w:pStyle w:val="TextBody"/>
        <w:spacing w:lineRule="auto" w:line="288" w:before="240" w:after="283"/>
        <w:jc w:val="both"/>
        <w:rPr/>
      </w:pPr>
      <w:r>
        <w:rPr>
          <w:rFonts w:ascii="Times New Roman;sans-serif" w:hAnsi="Times New Roman;sans-serif"/>
          <w:b w:val="false"/>
          <w:color w:val="000000"/>
          <w:sz w:val="20"/>
        </w:rPr>
        <w:t xml:space="preserve">On July 30 and August 12, 2021, two putative securities class action lawsuits were commenced in the U.S. District Court for the Northern District of California naming as defendants Ardelyx and two current officers captioned </w:t>
      </w:r>
      <w:r>
        <w:rPr>
          <w:rFonts w:ascii="Times New Roman;sans-serif" w:hAnsi="Times New Roman;sans-serif"/>
          <w:b w:val="false"/>
          <w:i/>
          <w:color w:val="000000"/>
          <w:sz w:val="20"/>
        </w:rPr>
        <w:t>Strezsak v. Ardelyx, Inc., et al.</w:t>
      </w:r>
      <w:r>
        <w:rPr>
          <w:rFonts w:ascii="Times New Roman;sans-serif" w:hAnsi="Times New Roman;sans-serif"/>
          <w:b w:val="false"/>
          <w:color w:val="000000"/>
          <w:sz w:val="20"/>
        </w:rPr>
        <w:t>, Case No. 4:21-cv-05868-HSG, and Siegel</w:t>
      </w:r>
      <w:r>
        <w:rPr>
          <w:color w:val="000000"/>
        </w:rPr>
        <w:t xml:space="preserve"> </w:t>
      </w:r>
      <w:r>
        <w:rPr>
          <w:rFonts w:ascii="Times New Roman;sans-serif" w:hAnsi="Times New Roman;sans-serif"/>
          <w:b w:val="false"/>
          <w:i/>
          <w:color w:val="000000"/>
          <w:sz w:val="20"/>
        </w:rPr>
        <w:t>v. Ardelyx, Inc., et al.</w:t>
      </w:r>
      <w:r>
        <w:rPr>
          <w:rFonts w:ascii="Times New Roman;sans-serif" w:hAnsi="Times New Roman;sans-serif"/>
          <w:b w:val="false"/>
          <w:color w:val="000000"/>
          <w:sz w:val="20"/>
        </w:rPr>
        <w:t>, Case No. 5:21-cv-06228-HSG (together, the “Securities Class Actions”). The complaints allege that the defendants violated Sections 10(b) and 20(a) of the Securities Exchange Act of 1934, as amended, and Rule 10b-5 thereunder, by making false and misleading statements and omissions of material fact related to tenapanor. The plaintiffs seek damages and interest, and an award of costs, including attorneys’ fees. On July 19, 2022, the court consolidated the two putative class actions and appointed a lead plaintiff and lead counsel. The lead plaintiff filed an amended complaint on September 29, 2022. Defendants filed a motion to dismiss the amended complaint on December 2, 2022. In January and February 2023, in lieu of filing a response to defendant’s motion to dismiss, plaintiffs filed a motion seeking leave to further amend their complaint and defendants filed an opposition to the motion for leave to further amend the complaint. On April 6, 2023, the court granted plaintiff’s motion for leave to further amend the complaint. With the second amended complaint, the plaintiffs seek to represent all persons who purchased or otherwise acquired Ardelyx securities between March 6, 2020 and July 19, 2021. The parties have stipulated to a schedule for the filing of Defendants second motion to dismiss on June 2, 2023, and a hearing on the motion to dismiss to held on September 14, 2023. We believe the plaintiff’s claims are without merit and we have not recorded any accrual for a contingent liability associated with these legal proceedings.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We believe the plaintiff’s claims are without merit and we have not recorded any accrual for a contingent liability associated with these legal proceedings.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arising in the ordinary course of business. As of March 31, 2023, there is no litigation pending that would reasonably be expected to have a material adverse effect on our results of operations and financial condition, and no contingent liabilities were accrued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Annual Report on Form 10-K for the year ended December 31, 2022.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targeted, first-in-class, oral, small molecule therapy. Tenapanor, branded as IBSRELA, is approved in the U.S. for the treatment of adults with irritable bowel syndrome with constipation (“IBS-C”). In April 2023, we resubmitted a New Drug Application (“NDA”) to the U.S. Food and Drug Administration (“FDA”) for the approval of XPHOZAH (tenapanor) for the control of serum phosphate in adult patients with chronic kidney disease (“CKD”) on dialysis who have had an inadequate response or intolerance to a phosphate binder therapy, under the brand name XPHOZAH. We also have a development stage asset, RDX013 for adult patients with CKD and/or heart failure with hyperkalemia, or elevated serum potassium, and a discovery stage asset, RDX020, for adult patients with metabolic acidosis, a serious electrolyte disorder, in patients with CKD.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Since commencing operations in October 2007, substantially all our efforts have been dedicated to our research and development (“R&amp;D”) activities, including developing tenapanor and developing our proprietary drug discovery and design platform. We realized our first product sales of IBSRELA</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(tenapanor) in March 2022. As of March 31, 2023, we had an accumulated deficit of $806.9 million.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expect to continue to incur substantial operating losses for the foreseeable future as we invest in the commercialization of IBSRELA, seek to gain approval in the U.S. for XPHOZAH</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(tenapanor); prepare for and commercialize XPHOZAH in the U.S., if approved; and incur manufacturing and development cost for tenapanor. To date, we have funded our operations from the sale and issuance of common stock and convertible preferred stock, funds from our collaboration partnerships, which includes license fees, milestones and product supply revenue, funds from our loan agreements with our lenders, as well as from sales of IBSRELA.</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Commercial Product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IBSRELA for IBS-C</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unique discovery platform and deep understanding of the primary mechanism of sodium transport in the intestine resulted in our discovery and development of IBSRELA, a first-in-class, FDA approved, sodium hydrogen exchange 3 ("NHE3") inhibitor for the treatment of IBS-C in adults. IBSRELA acts locally in the gut and is minimally absorbed. IBS-C is a gastrointestinal ("GI") disorder characterized by both abdominal pain and altered bowel movements, and is estimated to affect 12 million people in the U.S. IBS-C is associated with significantly impaired quality of life, reduced productivity, and substantial economic burden.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our first sales of IBSRELA in the U.S. in March 2022. For our commercial launch of IBSRELA, we designed a market-responsive commercial strategy and built a commercial organization highly experienced in launching novel therapies into specialty areas. The dynamics of the IBS-C market reflect an established patient base, limited number of competitors all confined to a single mechanism of action, concentrated number of prescribers, and recognized unmet need. In addition, market research indicated a favorable response to the IBSRELA product profile as a novel mechanism therapy. These dynamics enabled a targeted promotional focus on patients currently being managed for IBS-C by the approximately 9,000 high-writing healthcare providers that account for 50% of IBS-C prescriptions. Central to our go to market strategy for IBSRELA has been our highly experienced specialty sales force, many with existing relationships across their GI target base, full company engagement, and innovative peer-to-peer and digital initiatives.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competition for IBSRELA will come largely from the three prescription products indicated for IBS-C: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commercial agreements with Shanghai Fosun Pharmaceutical Industrial Development Co. Ltd. ("Fosun Pharma") in China and Knight Therapeutics, Inc. ("Knight") in Canada for IBSRELA for IBS-C. Knight is currently marketing IBSRELA in Canada.</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Product Pipeline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Development Candidate XPHOZAH: A Potential New Approach for the Control of Serum Phosphorus in Adult Patients with CKD on Dialysis Who Have Had an Inadequate Response or Intolerance to a Phosphate Binder Therapy</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XPHOZAH (tenapanor) is a first-in-class medicine being developed for the control of serum phosphorus, or hyperphosphatemia, in adult patients with CKD on dialysis who have had an inadequate response or intolerance to a phosphate binder therapy. XPHOZAH has a unique mechanism of action and acts locally in the gut to inhibit NHE3. This results in the tightening of the epithelial cell junctions, thereby significantly reducing paracellular uptake of phosphate, the primary pathway of phosphate absorption. It is estimated that there are more than 550,000 adult patients with CKD on dialysis in the U.S. and approximately 80% of those patients are being treated with phosphate lowering therapies. Seventy-seven percent of patients treated with phosphate binders to treat hyperphosphatemia were unable to consistently maintain phosphorous levels &lt;=5.5 mg/dL over a six-month period. If approved, XPHOZAH would be the first therapy for phosphate management that blocks phosphate absorption at the primary site of uptake.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we submitted a NDA to the FDA for XPHOZAH. The NDA was supported by three Phase 3 trials involving more than 1,200 adult patients that evaluated the use of tenapanor for the control of serum phosphorus in adult patients with CKD on dialysis, with two trials evaluating tenapanor as monotherapy and one trial evaluating tenapanor as part of a dual mechanism approach with phosphate binders. All three Phase 3 trials met their primary and key secondary endpoints.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28, 2021, we received a Complete Response Letter ("CRL") from the FDA’s Division of Cardiology and Nephrology ("the Division") regarding our NDA for XPHOZAH. In December 2021 we submitted a Formal Dispute Resolution Request ("FDRR") to the Office of Cardiology, Hematology, Endocrinology and Nephrology ("OCHEN"). At the request of the FDA’s Office of New Drugs ("OND"), as part of our second level of appeal of the CRL, a Cardiovascular and Renal Drug Advisory Committee meeting on was held on November 16, 2022 with the committee voting that the benefits of XPHOZAH outweigh its risks nine to four as a monotherapy and ten to two, with one abstention, in combination with phosphate binder therapy. In December 2022, the OND granted our appeal to the CRL for the NDA for XPHOZAH and directed the Division to work with us to develop an appropriate label for the commercialization of XPHOZAH. We believe that a label could reflect an indication for patients whose hyperphosphatemia is insufficiently managed on binder therapy. On February 13, 2023, we participated in a Type A meeting with the Division where we discussed the resubmission of the NDA, and the information to be contained in the resubmitted NDA.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we resubmitted a NDA to the FDA for the approval of XPHOZAH for the control of serum phosphate in adult patients with CKD on dialysis who have had an inadequate response or intolerance to a phosphate binder therapy. An Acknowledgement of Receipt letter from the FDA, confirming the resubmission is complete, is expected in mid-May. We expect that the letter will include the classification of the resubmission and the review goal date. We currently expect that the FDA will act upon the XPHOZAH NDA in the second half of 2023, and that, if approved, we will launch XPHOZAH in the second half of 2023.</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commercial agreements with Kyowa Kirin, Co. Ltd. ("Kyowa Kirin") in Japan, Fosun Pharma in China and Knight in Canada for tenapanor for hyperphosphatemia. In October 2022, Kyowa Kirin submitted an NDA to the Japanese Ministry of Health, Labour and Welfare for tenapanor for the improvement of hyperphosphatemia in adult patients with CKD on dialysis.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Discovery and Developmental Assets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small molecule potassium secretagogue program, RDX013, for the potential treatment of hyperkalemia, or elevated serum potassium. Hyperkalemia is a common problem in patients with heart and kidney disease, particularly in patients taking customary blood pressure medications known as renin-angiotensin-aldosterone system ("RAAS") inhibitors. RDX013 is a novel mechanism agent designed to target the underlying biological mechanisms of potassium secretion to lower elevated potassium. We have completed a Phase 2 dose ranging clinical trial evaluating the safety and efficacy of RDX013 for the treatment of hyperkalemia in CKD patients who are not on dialysis. While the results of the study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discovery program targeting the inhibition of the chloride bicarbonate exchanger for the treatment of metabolic acidosis, a highly prevalent comorbidity in CKD patients that is strongly correlated with disease progression and adverse outcomes. We have identified lead compounds that are potent, selective and proprietary inhibitors of bicarbonate secretion.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do not currently expect to meaningfully advance either of these two assets until such time as we have determined our available resources can support additional activities after prioritization of the commercialization of IBSRELA and, if approved, XPHOZAH.</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Collaboration Partners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exclusive rights to tenapanor in the U.S. and we have established agreements with Kyowa Kirin in Japan, Fosun Pharma in China and Knight in Canada for the development and commercialization of tenapanor for certain indications in their respective territories. </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In March 2018, we entered into an exclusive license agreement with Knight (“Knight Agreement”) for the development, commercialization and distribution of tenapanor in Canada for hyperphosphatemia and IBS-C. In March 2021, Knight announced the commercial availability of IBSRELA in Canada, following its approval by Health Canada in April 2020. Under the terms of the Knight Agreement, Knight paid us a</w:t>
      </w:r>
      <w:r>
        <w:rPr>
          <w:color w:val="000000"/>
        </w:rPr>
        <w:t xml:space="preserve"> </w:t>
      </w:r>
      <w:r>
        <w:rPr>
          <w:rFonts w:ascii="Times New Roman;sans-serif" w:hAnsi="Times New Roman;sans-serif"/>
          <w:b w:val="false"/>
          <w:color w:val="000000"/>
          <w:sz w:val="20"/>
        </w:rPr>
        <w:t>$2.3 million non-refundable, one-time payment in March 2018. We may also be eligible to receive approximately CAD 22.2 million for development and commercialization milestones, or approximately $16.3 million at the currency exchange rate on March 31, 2023, of which $0.7 million has been received and recognized as revenue as of March 31, 2023. We are also eligible to receive royalties throughout the term of the agreement, and a transfer price for manufacturing services. The variable consideration related to the remaining development milestone payments has not been included in the transaction price as they were fully constrained at March 31, 2023.</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In November 2017, we entered into an exclusive license agreement with Kyowa Kirin (“2017 Kyowa Kirin Agreement”) for the development, commercialization and distribution of tenapanor in Japan for cardiorenal indications. Under the terms of the 2017 Kyowa Kirin Agreement, we received a $30.0 million upfront payment from Kyowa Kirin, and we may be entitled to receive up to</w:t>
      </w:r>
      <w:r>
        <w:rPr>
          <w:color w:val="000000"/>
        </w:rPr>
        <w:t xml:space="preserve"> </w:t>
      </w:r>
      <w:r>
        <w:rPr>
          <w:rFonts w:ascii="Times New Roman;sans-serif" w:hAnsi="Times New Roman;sans-serif"/>
          <w:b w:val="false"/>
          <w:color w:val="000000"/>
          <w:sz w:val="20"/>
        </w:rPr>
        <w:t xml:space="preserve">$55.0 million in total development and regulatory milestones, of which $20.0 million has been received and recognized as revenue as of March 31, 2023. We may also be eligible to receive approximately ¥8.5 billion for commercialization milestones, or approximately $64.1 million at the currency exchange rate on March 31, 2023, as well as reimbursement of costs plus a reasonable overhead for the supply of product and royalties on net sales throughout the term of the agreement. As discussed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the future royalties and commercial milestone payments we may receive under the 2017 Kyowa Kirin Agreement will be remitted to HealthCare Royalty Partners IV, L.P. pursuant to a Royalty and Sales Milestone Interest Acquisition Agreement.</w:t>
      </w:r>
    </w:p>
    <w:p>
      <w:pPr>
        <w:pStyle w:val="TextBody"/>
        <w:spacing w:lineRule="auto" w:line="288" w:before="240" w:after="283"/>
        <w:jc w:val="both"/>
        <w:rPr/>
      </w:pPr>
      <w:r>
        <w:rPr>
          <w:rFonts w:ascii="Times New Roman;sans-serif" w:hAnsi="Times New Roman;sans-serif"/>
          <w:b w:val="false"/>
          <w:color w:val="000000"/>
          <w:sz w:val="20"/>
        </w:rPr>
        <w:t xml:space="preserve">On April 11, 2022, we entered into a second amendment to the 2017 Kyowa Kirin Agreement ("2022 Amendment"). Under the terms of the 2022 Amendment, we and Kyowa Kirin agreed to a reduction in the royalty rate payable to us by Kyowa Kirin upon net sales of tenapanor in Japan. The royalty rate was reduced from the high teens to low double digits for a two-year period of time following the first commercial sale in Japan, and then to mid-single digits for the remainder of the royalty term. As discussed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xml:space="preserve">, the future royalties we may receive under the 2017 Kyowa Kirin Agreement will be remitted to HealthCare Royalty Partners IV, L.P. pursuant to a Royalty and Sales Milestone Interest Acquisition Agreement. As consideration for the reduction in the royalty rate, Kyowa Kirin agreed to pay us up to an additional $40.0 million payable in two tranches, with the first payment received in the fourth quarter of 2022 following Kyowa Kirin’s October 2022 filing with the Japanese Ministry of Health, Labour and Welfare of its application for marketing approval for tenapanor and the second payment due following Kyowa Kirin’s receipt of regulatory approval to market tenapanor for hyperphosphatemia in Japan.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we announced that Kyowa Kirin submitted a NDA to the Japanese Ministry of Health, Labour and Welfare for tenapanor for the improvement of hyperphosphatemia in adult patients with CKD on dialysis, which resulted in payment to us from Kyowa Kirin for an aggregate of $35.0 million for milestone payments and payments under the 2022 Amendment. </w:t>
      </w:r>
    </w:p>
    <w:p>
      <w:pPr>
        <w:pStyle w:val="TextBody"/>
        <w:spacing w:lineRule="auto" w:line="288" w:before="240" w:after="283"/>
        <w:jc w:val="both"/>
        <w:rPr/>
      </w:pPr>
      <w:r>
        <w:rPr>
          <w:rFonts w:ascii="Times New Roman;sans-serif" w:hAnsi="Times New Roman;sans-serif"/>
          <w:b w:val="false"/>
          <w:color w:val="000000"/>
          <w:sz w:val="20"/>
        </w:rPr>
        <w:t>In December 2017, we entered into an exclusive license agreement with Fosun Pharma (“Fosun Agreement”) for the development and commercialization of tenapanor in China for both hyperphosphatemia and IBS-C. Under the terms of the Fosun Agreement, Fosun paid us a</w:t>
      </w:r>
      <w:r>
        <w:rPr>
          <w:color w:val="000000"/>
        </w:rPr>
        <w:t xml:space="preserve"> </w:t>
      </w:r>
      <w:r>
        <w:rPr>
          <w:rFonts w:ascii="Times New Roman;sans-serif" w:hAnsi="Times New Roman;sans-serif"/>
          <w:b w:val="false"/>
          <w:color w:val="000000"/>
          <w:sz w:val="20"/>
        </w:rPr>
        <w:t>$12.0 million upfront</w:t>
      </w:r>
      <w:r>
        <w:rPr>
          <w:color w:val="000000"/>
        </w:rPr>
        <w:t xml:space="preserve"> </w:t>
      </w:r>
      <w:r>
        <w:rPr>
          <w:rFonts w:ascii="Times New Roman;sans-serif" w:hAnsi="Times New Roman;sans-serif"/>
          <w:b w:val="false"/>
          <w:color w:val="000000"/>
          <w:sz w:val="20"/>
        </w:rPr>
        <w:t>license fee. We may be entitled to receive development and commercialization milestones of up to</w:t>
      </w:r>
      <w:r>
        <w:rPr>
          <w:color w:val="000000"/>
        </w:rPr>
        <w:t xml:space="preserve"> </w:t>
      </w:r>
      <w:r>
        <w:rPr>
          <w:rFonts w:ascii="Times New Roman;sans-serif" w:hAnsi="Times New Roman;sans-serif"/>
          <w:b w:val="false"/>
          <w:color w:val="000000"/>
          <w:sz w:val="20"/>
        </w:rPr>
        <w:t>$110.0 million, of which $3.0 million has been received and recognized as revenue as of March 31, 2023, as well as reimbursement of cost plus a reasonable overhead for the supply of product and tiered royalties on net sales ranging from the mid-teens to 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Impact of COVID-19</w:t>
      </w:r>
    </w:p>
    <w:p>
      <w:pPr>
        <w:pStyle w:val="TextBody"/>
        <w:spacing w:lineRule="auto" w:line="288" w:before="240" w:after="283"/>
        <w:jc w:val="both"/>
        <w:rPr/>
      </w:pPr>
      <w:r>
        <w:rPr>
          <w:rFonts w:ascii="Times New Roman;sans-serif" w:hAnsi="Times New Roman;sans-serif"/>
          <w:b w:val="false"/>
          <w:color w:val="000000"/>
          <w:sz w:val="20"/>
        </w:rPr>
        <w:t>The global COVID-19 pandemic has impacted the operational decisions of companies worldwide. We have undertaken measures to protect our employees, partners, collaborators, and vendors, some of which impact our operations. To date, we have been able to continue our operations with our workforce, most of whom have the ability to work in company-provided offices or remotely, and our pre-existing infrastructure that supports secure access to our internal systems. For a discussion of risks of COVID-19 relating to our business, see “Part II: Other Information-Item 1A.- Risk Factors- Risks Related to Our Business-</w:t>
      </w:r>
      <w:r>
        <w:rPr>
          <w:color w:val="000000"/>
        </w:rPr>
        <w:t xml:space="preserve"> </w:t>
      </w:r>
      <w:r>
        <w:rPr>
          <w:rFonts w:ascii="Times New Roman;sans-serif" w:hAnsi="Times New Roman;sans-serif"/>
          <w:b w:val="false"/>
          <w:i/>
          <w:color w:val="000000"/>
          <w:sz w:val="20"/>
        </w:rPr>
        <w:t>The ongoing effects of the COVID-19 pandemic, or any other outbreak of</w:t>
      </w:r>
      <w:r>
        <w:rPr>
          <w:color w:val="000000"/>
        </w:rPr>
        <w:t xml:space="preserve"> </w:t>
      </w:r>
      <w:r>
        <w:rPr>
          <w:rFonts w:ascii="Times New Roman;sans-serif" w:hAnsi="Times New Roman;sans-serif"/>
          <w:b w:val="false"/>
          <w:i/>
          <w:color w:val="000000"/>
          <w:sz w:val="20"/>
        </w:rPr>
        <w:t>epidemic diseases, or the perception of their effects, could have a material adverse effect on our business, financial condition, results of operations or cash flows</w:t>
      </w:r>
      <w:r>
        <w:rPr>
          <w:rFonts w:ascii="Times New Roman;sans-serif" w:hAnsi="Times New Roman;sans-serif"/>
          <w:b w:val="false"/>
          <w:color w:val="000000"/>
          <w:sz w:val="20"/>
        </w:rPr>
        <w:t>.” As of the date of issuance of this financial report, we are not aware of any specific event or circumstance that would require updates to our estimates and judgments or revisions to the carrying value of our assets or liabilities. These estimates may change as new events occur and additional information is obtained.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Judgments and Estimates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financial condition and results of operations is based on our condensed financial statements, which have been prepared in accordance with accounting principles generally accepted in the United States.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pStyle w:val="TextBody"/>
        <w:spacing w:lineRule="auto" w:line="288" w:before="240" w:after="283"/>
        <w:jc w:val="both"/>
        <w:rPr/>
      </w:pPr>
      <w:r>
        <w:rPr>
          <w:rFonts w:ascii="Times New Roman;sans-serif" w:hAnsi="Times New Roman;sans-serif"/>
          <w:b w:val="false"/>
          <w:color w:val="000000"/>
          <w:sz w:val="20"/>
        </w:rPr>
        <w:t xml:space="preserve">The critical accounting policies that we believe impact significant judgments and estimates used in the preparation of our condensed financial statements presented in this report are described in Part II, Item 7,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xml:space="preserve">, in our Annual Report on Form 10-K filed with the SEC on March 2, 2023.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we did not adopt any new critical accounting policies and significant judgements and estimates.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240" w:after="283"/>
        <w:jc w:val="both"/>
        <w:rPr/>
      </w:pPr>
      <w:r>
        <w:rPr>
          <w:rFonts w:ascii="Times New Roman;sans-serif" w:hAnsi="Times New Roman;sans-serif"/>
          <w:b w:val="false"/>
          <w:color w:val="000000"/>
          <w:sz w:val="20"/>
        </w:rPr>
        <w:t xml:space="preserve">A summary of recent accounting pronouncements that we have adopted or may expect to adopt is included in </w:t>
      </w:r>
      <w:r>
        <w:rPr>
          <w:rFonts w:ascii="Times New Roman;sans-serif" w:hAnsi="Times New Roman;sans-serif"/>
          <w:b w:val="false"/>
          <w:i/>
          <w:color w:val="000000"/>
          <w:sz w:val="20"/>
        </w:rPr>
        <w:t>Note 1 – Organization and Basis of Presentation</w:t>
      </w:r>
      <w:r>
        <w:rPr>
          <w:color w:val="000000"/>
        </w:rPr>
        <w:t xml:space="preserve"> </w:t>
      </w:r>
      <w:r>
        <w:rPr>
          <w:rFonts w:ascii="Times New Roman;sans-serif" w:hAnsi="Times New Roman;sans-serif"/>
          <w:b w:val="false"/>
          <w:color w:val="000000"/>
          <w:sz w:val="20"/>
        </w:rPr>
        <w:t xml:space="preserve">to our condensed financial statements (see Part I, Item 1 </w:t>
      </w:r>
      <w:r>
        <w:rPr>
          <w:rFonts w:ascii="Times New Roman;sans-serif" w:hAnsi="Times New Roman;sans-serif"/>
          <w:b w:val="false"/>
          <w:i/>
          <w:color w:val="000000"/>
          <w:sz w:val="20"/>
        </w:rPr>
        <w:t>Notes to</w:t>
      </w:r>
      <w:r>
        <w:rPr>
          <w:color w:val="000000"/>
        </w:rPr>
        <w:t xml:space="preserve"> </w:t>
      </w:r>
      <w:r>
        <w:rPr>
          <w:rFonts w:ascii="Times New Roman;sans-serif" w:hAnsi="Times New Roman;sans-serif"/>
          <w:b w:val="false"/>
          <w:i/>
          <w:color w:val="000000"/>
          <w:sz w:val="20"/>
        </w:rPr>
        <w:t>Condensed Financial Statements</w:t>
      </w:r>
      <w:r>
        <w:rPr>
          <w:rFonts w:ascii="Times New Roman;sans-serif" w:hAnsi="Times New Roman;sans-serif"/>
          <w:b w:val="false"/>
          <w:color w:val="000000"/>
          <w:sz w:val="20"/>
        </w:rPr>
        <w:t>, of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to date has been generated primarily through license, research and development collaborative agreements with various collaboration partners. We realized our first commercial product sales of IBSRELA beginning in March 2022. In the future, we may generate revenue from a combination of our own product sales and payments in connection with our current or future collaborative partnerships, including license fees, other upfront payments, milestone payments, royalties and payments for drug product and/or drug substance. We expect that any revenue we generate will fluctuate in future periods as a result of, among other factors: the extent to which we are successful in our commercialization of IBSRELA; whether we are able to gain approval from the FDA for our NDA for XPHOZAH; our ability to obtain and sustain an adequate level of coverage and reimbursement for IBSRELA by third-party payors; whether and the extent to which we are successful in our commercialization of XPHOZAH, if approved; whether or when XPHOZAH, if approved, along with other oral ESRD-related drugs without an injectable or intravenous equivalent, are bundled into the end stage renal disease (“ESRD”) prospective payment system, and the manner in which such introduction into the ESRD prospective payment system may occur; the timing and progress of goods and services provided pursuant to our current or future collaborative partnerships; our or our collaborators’ achievement of clinical, regulatory or commercialization milestones, to the extent achieved; the timing and amount of any payments to us relating to the aforementioned milestones; addressing any competing technological and market developments; maintaining, protecting and expanding our portfolio of intellectual property rights, including patents, trade secrets, and know-how, and our ability to develop, manufacture and commercialize our product candidates and products without infringing intellectual property rights of others; attracting, hiring, and retaining qualified personnel; and the extent to which tenapanor or other licensed products are approved and successfully commercialized by a collaboration partner. If our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 collaboration partners or any future collaboration partners fail to obtain regulatory approval for tenapanor or other licensed products, our ability to generate future revenue from our collaborative arrangements, and our results of operations and financial position, would be materially and adversely affected. Our past revenue performance is not necessarily indicative of results to be expected in future periods.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of the cost of commercial goods sold to our Customers and international partners under product supply agreements, as well as royalty expense based on sales of tenapanor. 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A portion of the costs of IBSRELA units recognized as revenue during the three months ended March 31, 2023 were expensed prior to the fourth quarter of 2021, at which time our intent to commercialize IBSRELA was established and we commenced preparation for the commercial launch of IBSRELA. We believe our cost of revenue for the three months ended March 31, 2023 would have been $0.4 million higher if we had not previously expensed certain material and production costs with respect to the units sold. The increase in cost of revenue as of March 31, 2022 would have been immaterial. As of March 31, 2023 and December 31, 2022, we had approximately $26.9 million and $28.0 million, respectively, of inventory on hand that was previously expensed as research and development expense and will not be reported as cost of revenue sold in future periods when sales of IBSRELA are recognized as revenue.</w:t>
      </w:r>
    </w:p>
    <w:p>
      <w:pPr>
        <w:pStyle w:val="TextBody"/>
        <w:spacing w:lineRule="auto" w:line="288" w:before="240" w:after="283"/>
        <w:jc w:val="both"/>
        <w:rPr/>
      </w:pPr>
      <w:r>
        <w:rPr>
          <w:rFonts w:ascii="Times New Roman;sans-serif" w:hAnsi="Times New Roman;sans-serif"/>
          <w:b w:val="false"/>
          <w:color w:val="000000"/>
          <w:sz w:val="20"/>
        </w:rPr>
        <w:t xml:space="preserve">Cost of revenue includes payments due to AstraZeneca AB (“AstraZeneca”), which under the terms of a termination agreement entered into in 2015 (“AZ Termination Agreement”) is entitled to (i) future royalties at a rate of 10% of net sales of tenapanor or other NHE3 products by us or our licensees, and (ii) 20% of non-royalty revenue received from our collaboration partners in connection with the development and commercialization of tenapanor or other NHE3 products. We have agreed to pay AstraZeneca up to a maximum of $75.0 million in the aggregate for (i) and (ii). We recognize these expenses as cost of revenue when we recognize the corresponding revenue that gives rise to payments due to AstraZeneca. To date, we have recognized an aggregate of $16.4 million as cost of revenue under the AZ Termination Agreement. See details in </w:t>
      </w:r>
      <w:r>
        <w:rPr>
          <w:rFonts w:ascii="Times New Roman;sans-serif" w:hAnsi="Times New Roman;sans-serif"/>
          <w:b w:val="false"/>
          <w:i/>
          <w:color w:val="000000"/>
          <w:sz w:val="20"/>
        </w:rPr>
        <w:t>Note 6, Collaboration and Licensing Agreements</w:t>
      </w:r>
      <w:r>
        <w:rPr>
          <w:rFonts w:ascii="Times New Roman;sans-serif" w:hAnsi="Times New Roman;sans-serif"/>
          <w:b w:val="false"/>
          <w:color w:val="000000"/>
          <w:sz w:val="20"/>
        </w:rPr>
        <w:t>, under AstraZeneca, in the notes to our financial statement of this Quarterly Report on Form 10-Q.</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October 2021 restructuring plan, we eliminated our internal research organization and we do not currently expect to meaningfully advance our discovery efforts with respect to our discovery and developmental assets until such time as we have determined our available resources can support additional activities after prioritization of the commercialization of IBSRELA and, if approved, XPHOZAH. We recognize all research and development expenses as they are incurred to support the discovery, research, development and manufacturing of our product candidates. Research and development expenses include, but are not limited to, the following: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external research and development expenses incurred under agreements with consultants, third-party contract research organizations (“CROs”) and investigative sites where a substantial portion of our clinical studies are conducted, and with contract manufacturing organizations where our clinical supplies are produced;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expenses associated with supplies and materials consumed in connection with our research operations;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expenses associated with producing XPHOZAH prior to FDA approval;</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expenses associated with producing discovery and developmental assets prior to FDA approval;</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other costs associated with research, clinical development and regulatory activities;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employee-related expenses, which include salaries, bonuses, benefits, travel and stock-based compensation;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facilities and other allocated expenses, which include direct and allocated expenses for rent and maintenance of facilities, depreciation and amortization expense, information technology expense and other supplies.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relate to sales and marketing, finance, human resources, legal and other administrative activities, including information technology investments. Selling, general and administrative expenses consist primarily of personnel costs, outside professional services, marketing, advertising and legal expenses, facilities costs not otherwise allocated to research and development and other general and administrative costs.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represents the interest paid on our loan payable.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Non-cash interest expense related to the sale of future royalties</w:t>
      </w:r>
    </w:p>
    <w:p>
      <w:pPr>
        <w:pStyle w:val="TextBody"/>
        <w:spacing w:lineRule="auto" w:line="288" w:before="240" w:after="283"/>
        <w:jc w:val="both"/>
        <w:rPr/>
      </w:pPr>
      <w:r>
        <w:rPr>
          <w:rFonts w:ascii="Times New Roman;sans-serif" w:hAnsi="Times New Roman;sans-serif"/>
          <w:b w:val="false"/>
          <w:color w:val="000000"/>
          <w:sz w:val="20"/>
        </w:rPr>
        <w:t xml:space="preserve">Non-cash interest expense related to the sale of future royalties represents the imputed interest expense on our deferred royalty obligation related to the sale of future royalties using the effective interest method. As further described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in June 2022, we and HealthCare Royalty Partners IV, L.P. (“HCR”) entered into a Royalty and Sales Milestone Interest Acquisition Agreement (“HCR Agreement”). Under the terms of the HCR Agreement, HCR agreed to pay us up to $20.0 million in exchange for the royalty payments and commercial milestone payments (collectively the “Royalty Interest Payments”) that we may receive under our 2017 License Agreement with Kyowa Kirin based upon Kyowa Kirin's net sales of tenapanor in Japan for hyperphosphatemia. As part of the HCR Agreement, we received a $10.0 million upfront payment from HCR in June 2022 and recorded it as a deferred royalty obligation on our balance sheet. Non-cash interest expense will be recognized over the life of the HCR Agreement using the effective interest method based on the imputed interest rate derived from estimated amounts and timing of future royalty payments to be received from Kyowa Kirin.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consists of interest income earned on our cash and cash equivalents and available-for-sale investments, the periodic revaluation of the exit fee related to our loan, gains on sales of property and equipment, and currency exchange gains and losses.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40" w:after="283"/>
        <w:rPr/>
      </w:pPr>
      <w:r>
        <w:rPr>
          <w:rFonts w:ascii="Times New Roman;sans-serif" w:hAnsi="Times New Roman;sans-serif"/>
          <w:b w:val="false"/>
          <w:color w:val="000000"/>
          <w:sz w:val="20"/>
        </w:rPr>
        <w:t>The results of operations as of March 31, 2023</w:t>
      </w:r>
      <w:r>
        <w:rPr>
          <w:color w:val="000000"/>
        </w:rPr>
        <w:t xml:space="preserve"> </w:t>
      </w:r>
      <w:r>
        <w:rPr>
          <w:rFonts w:ascii="Times New Roman;sans-serif" w:hAnsi="Times New Roman;sans-serif"/>
          <w:b w:val="false"/>
          <w:color w:val="000000"/>
          <w:sz w:val="20"/>
        </w:rPr>
        <w:t>are not necessarily indicative of the results to be expected for the year ending December 31, 2023, for any other interim period, or for any other future year.</w:t>
      </w:r>
    </w:p>
    <w:p>
      <w:pPr>
        <w:pStyle w:val="TextBody"/>
        <w:spacing w:lineRule="auto" w:line="288" w:before="240" w:after="283"/>
        <w:jc w:val="both"/>
        <w:rPr/>
      </w:pPr>
      <w:r>
        <w:rPr>
          <w:rFonts w:ascii="Times New Roman;sans-serif" w:hAnsi="Times New Roman;sans-serif"/>
          <w:b/>
          <w:i/>
          <w:color w:val="000000"/>
          <w:sz w:val="20"/>
        </w:rPr>
        <w:t>Comparison of the</w:t>
      </w:r>
      <w:r>
        <w:rPr>
          <w:color w:val="000000"/>
        </w:rPr>
        <w:t xml:space="preserve"> </w:t>
      </w:r>
      <w:r>
        <w:rPr>
          <w:rFonts w:ascii="Times New Roman;sans-serif" w:hAnsi="Times New Roman;sans-serif"/>
          <w:b/>
          <w:i/>
          <w:color w:val="000000"/>
          <w:sz w:val="20"/>
        </w:rPr>
        <w:t>three months ended March 31, 2023 and 2022</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total revenue (dollars in thousands):</w:t>
      </w:r>
    </w:p>
    <w:tbl>
      <w:tblPr>
        <w:tblW w:w="8327" w:type="dxa"/>
        <w:jc w:val="left"/>
        <w:tblInd w:w="0" w:type="dxa"/>
        <w:tblCellMar>
          <w:top w:w="28" w:type="dxa"/>
          <w:left w:w="28" w:type="dxa"/>
          <w:bottom w:w="28" w:type="dxa"/>
          <w:right w:w="28" w:type="dxa"/>
        </w:tblCellMar>
      </w:tblPr>
      <w:tblGrid>
        <w:gridCol w:w="739"/>
        <w:gridCol w:w="649"/>
        <w:gridCol w:w="652"/>
        <w:gridCol w:w="273"/>
        <w:gridCol w:w="934"/>
        <w:gridCol w:w="141"/>
        <w:gridCol w:w="141"/>
        <w:gridCol w:w="141"/>
        <w:gridCol w:w="141"/>
        <w:gridCol w:w="273"/>
        <w:gridCol w:w="603"/>
        <w:gridCol w:w="141"/>
        <w:gridCol w:w="109"/>
        <w:gridCol w:w="109"/>
        <w:gridCol w:w="109"/>
        <w:gridCol w:w="211"/>
        <w:gridCol w:w="721"/>
        <w:gridCol w:w="109"/>
        <w:gridCol w:w="109"/>
        <w:gridCol w:w="109"/>
        <w:gridCol w:w="109"/>
        <w:gridCol w:w="308"/>
        <w:gridCol w:w="308"/>
        <w:gridCol w:w="271"/>
        <w:gridCol w:w="109"/>
        <w:gridCol w:w="109"/>
        <w:gridCol w:w="109"/>
        <w:gridCol w:w="109"/>
        <w:gridCol w:w="109"/>
        <w:gridCol w:w="109"/>
        <w:gridCol w:w="109"/>
        <w:gridCol w:w="154"/>
      </w:tblGrid>
      <w:tr>
        <w:trPr/>
        <w:tc>
          <w:tcPr>
            <w:tcW w:w="73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2023 vs.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w:t>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w:t>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11,369 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gridSpan w:val="5"/>
            <w:tcBorders/>
            <w:shd w:fill="auto" w:val="clea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total revenues during the three months ended March 31, 2023 is primarily attributable to $11.4 million of net product sales for IBSRELA to our customers subsequent to the commercial launch of IBSRELA in March 2022.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operating expenses (dollars in thousands):</w:t>
      </w:r>
    </w:p>
    <w:tbl>
      <w:tblPr>
        <w:tblW w:w="9136" w:type="dxa"/>
        <w:jc w:val="center"/>
        <w:tblInd w:w="0" w:type="dxa"/>
        <w:tblCellMar>
          <w:top w:w="28" w:type="dxa"/>
          <w:left w:w="28" w:type="dxa"/>
          <w:bottom w:w="28" w:type="dxa"/>
          <w:right w:w="28" w:type="dxa"/>
        </w:tblCellMar>
      </w:tblPr>
      <w:tblGrid>
        <w:gridCol w:w="1068"/>
        <w:gridCol w:w="941"/>
        <w:gridCol w:w="945"/>
        <w:gridCol w:w="244"/>
        <w:gridCol w:w="835"/>
        <w:gridCol w:w="126"/>
        <w:gridCol w:w="126"/>
        <w:gridCol w:w="126"/>
        <w:gridCol w:w="126"/>
        <w:gridCol w:w="244"/>
        <w:gridCol w:w="835"/>
        <w:gridCol w:w="126"/>
        <w:gridCol w:w="109"/>
        <w:gridCol w:w="109"/>
        <w:gridCol w:w="109"/>
        <w:gridCol w:w="211"/>
        <w:gridCol w:w="616"/>
        <w:gridCol w:w="109"/>
        <w:gridCol w:w="109"/>
        <w:gridCol w:w="109"/>
        <w:gridCol w:w="109"/>
        <w:gridCol w:w="308"/>
        <w:gridCol w:w="308"/>
        <w:gridCol w:w="271"/>
        <w:gridCol w:w="109"/>
        <w:gridCol w:w="109"/>
        <w:gridCol w:w="109"/>
        <w:gridCol w:w="109"/>
        <w:gridCol w:w="109"/>
        <w:gridCol w:w="109"/>
        <w:gridCol w:w="109"/>
        <w:gridCol w:w="154"/>
      </w:tblGrid>
      <w:tr>
        <w:trPr/>
        <w:tc>
          <w:tcPr>
            <w:tcW w:w="1068"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2023 vs.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gridSpan w:val="5"/>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Cost of Revenue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to cost of revenue for the three months ended March 31, 2023 is primarily attributable to payments due to AstraZeneca under the AZ Termination Agreement for IBSRELA net product sales during the three months ended March 31, 2023. In addition, during the three months ended March 31, 2023, we incurred $0.4 million cost of goods sold for net product sales of IBSRELA.</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Research and Development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research and development expenses (dollars in thousands):</w:t>
      </w:r>
    </w:p>
    <w:p>
      <w:pPr>
        <w:pStyle w:val="TextBody"/>
        <w:spacing w:before="0" w:after="0"/>
        <w:jc w:val="both"/>
        <w:rPr/>
      </w:pPr>
      <w:r>
        <w:rPr/>
      </w:r>
    </w:p>
    <w:tbl>
      <w:tblPr>
        <w:tblW w:w="10019" w:type="dxa"/>
        <w:jc w:val="left"/>
        <w:tblInd w:w="0" w:type="dxa"/>
        <w:tblCellMar>
          <w:top w:w="28" w:type="dxa"/>
          <w:left w:w="28" w:type="dxa"/>
          <w:bottom w:w="28" w:type="dxa"/>
          <w:right w:w="28" w:type="dxa"/>
        </w:tblCellMar>
      </w:tblPr>
      <w:tblGrid>
        <w:gridCol w:w="1456"/>
        <w:gridCol w:w="1277"/>
        <w:gridCol w:w="1287"/>
        <w:gridCol w:w="267"/>
        <w:gridCol w:w="781"/>
        <w:gridCol w:w="138"/>
        <w:gridCol w:w="138"/>
        <w:gridCol w:w="138"/>
        <w:gridCol w:w="138"/>
        <w:gridCol w:w="267"/>
        <w:gridCol w:w="781"/>
        <w:gridCol w:w="138"/>
        <w:gridCol w:w="109"/>
        <w:gridCol w:w="109"/>
        <w:gridCol w:w="109"/>
        <w:gridCol w:w="211"/>
        <w:gridCol w:w="616"/>
        <w:gridCol w:w="109"/>
        <w:gridCol w:w="109"/>
        <w:gridCol w:w="109"/>
        <w:gridCol w:w="109"/>
        <w:gridCol w:w="216"/>
        <w:gridCol w:w="219"/>
        <w:gridCol w:w="271"/>
        <w:gridCol w:w="109"/>
        <w:gridCol w:w="109"/>
        <w:gridCol w:w="109"/>
        <w:gridCol w:w="109"/>
        <w:gridCol w:w="109"/>
        <w:gridCol w:w="109"/>
        <w:gridCol w:w="109"/>
        <w:gridCol w:w="154"/>
      </w:tblGrid>
      <w:tr>
        <w:trPr/>
        <w:tc>
          <w:tcPr>
            <w:tcW w:w="1456"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2023 vs.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R&amp;D expenses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equipment and depreciation expenses</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our external R&amp;D expenses for the three months ended March 31, 2023 was not material and was primarily the result of external regulatory consulting for tenapanor.</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Selling, General and Administrative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selling, general and administrative expenses for the three months ended March 31, 2023 was primarily due to increased costs associated with the commercial launch of IBSRELA. The increases consisted of headcount and related personnel costs and external spending for disease awareness initiatives, commercial infrastructure and strategy.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interest expense (dollars in thousands):</w:t>
      </w:r>
    </w:p>
    <w:tbl>
      <w:tblPr>
        <w:tblW w:w="7275" w:type="dxa"/>
        <w:jc w:val="left"/>
        <w:tblInd w:w="0" w:type="dxa"/>
        <w:tblCellMar>
          <w:top w:w="28" w:type="dxa"/>
          <w:left w:w="28" w:type="dxa"/>
          <w:bottom w:w="28" w:type="dxa"/>
          <w:right w:w="28" w:type="dxa"/>
        </w:tblCellMar>
      </w:tblPr>
      <w:tblGrid>
        <w:gridCol w:w="516"/>
        <w:gridCol w:w="452"/>
        <w:gridCol w:w="456"/>
        <w:gridCol w:w="267"/>
        <w:gridCol w:w="877"/>
        <w:gridCol w:w="138"/>
        <w:gridCol w:w="138"/>
        <w:gridCol w:w="138"/>
        <w:gridCol w:w="138"/>
        <w:gridCol w:w="267"/>
        <w:gridCol w:w="686"/>
        <w:gridCol w:w="138"/>
        <w:gridCol w:w="109"/>
        <w:gridCol w:w="109"/>
        <w:gridCol w:w="109"/>
        <w:gridCol w:w="211"/>
        <w:gridCol w:w="541"/>
        <w:gridCol w:w="109"/>
        <w:gridCol w:w="109"/>
        <w:gridCol w:w="109"/>
        <w:gridCol w:w="109"/>
        <w:gridCol w:w="180"/>
        <w:gridCol w:w="181"/>
        <w:gridCol w:w="271"/>
        <w:gridCol w:w="109"/>
        <w:gridCol w:w="109"/>
        <w:gridCol w:w="109"/>
        <w:gridCol w:w="109"/>
        <w:gridCol w:w="109"/>
        <w:gridCol w:w="109"/>
        <w:gridCol w:w="109"/>
        <w:gridCol w:w="154"/>
      </w:tblGrid>
      <w:tr>
        <w:trPr/>
        <w:tc>
          <w:tcPr>
            <w:tcW w:w="516"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2023 vs.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for the three months ended March 31, 2023 was due to a higher variable interest rate applied to our loan balance primarily resulting from market fluctuations.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Non-Cash Interest Expense Related to the Sale of Future Royalties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interest expense (dollars in thousands):</w:t>
      </w:r>
    </w:p>
    <w:tbl>
      <w:tblPr>
        <w:tblW w:w="10205" w:type="dxa"/>
        <w:jc w:val="left"/>
        <w:tblInd w:w="0" w:type="dxa"/>
        <w:tblCellMar>
          <w:top w:w="28" w:type="dxa"/>
          <w:left w:w="28" w:type="dxa"/>
          <w:bottom w:w="28" w:type="dxa"/>
          <w:right w:w="28" w:type="dxa"/>
        </w:tblCellMar>
      </w:tblPr>
      <w:tblGrid>
        <w:gridCol w:w="1724"/>
        <w:gridCol w:w="1515"/>
        <w:gridCol w:w="1520"/>
        <w:gridCol w:w="297"/>
        <w:gridCol w:w="757"/>
        <w:gridCol w:w="153"/>
        <w:gridCol w:w="153"/>
        <w:gridCol w:w="153"/>
        <w:gridCol w:w="153"/>
        <w:gridCol w:w="297"/>
        <w:gridCol w:w="573"/>
        <w:gridCol w:w="153"/>
        <w:gridCol w:w="109"/>
        <w:gridCol w:w="109"/>
        <w:gridCol w:w="109"/>
        <w:gridCol w:w="211"/>
        <w:gridCol w:w="535"/>
        <w:gridCol w:w="109"/>
        <w:gridCol w:w="109"/>
        <w:gridCol w:w="109"/>
        <w:gridCol w:w="109"/>
        <w:gridCol w:w="109"/>
        <w:gridCol w:w="109"/>
        <w:gridCol w:w="109"/>
        <w:gridCol w:w="109"/>
        <w:gridCol w:w="109"/>
        <w:gridCol w:w="109"/>
        <w:gridCol w:w="109"/>
        <w:gridCol w:w="109"/>
        <w:gridCol w:w="109"/>
        <w:gridCol w:w="109"/>
        <w:gridCol w:w="158"/>
      </w:tblGrid>
      <w:tr>
        <w:trPr/>
        <w:tc>
          <w:tcPr>
            <w:tcW w:w="1724"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2023 vs.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gridSpan w:val="4"/>
            <w:tcBorders/>
            <w:shd w:fill="auto" w:val="clear"/>
          </w:tcPr>
          <w:p>
            <w:pPr>
              <w:pStyle w:val="TableContents"/>
              <w:spacing w:before="0" w:after="283"/>
              <w:rPr>
                <w:sz w:val="4"/>
                <w:szCs w:val="4"/>
              </w:rPr>
            </w:pPr>
            <w:r>
              <w:rPr>
                <w:sz w:val="4"/>
                <w:szCs w:val="4"/>
              </w:rPr>
            </w:r>
          </w:p>
        </w:tc>
      </w:tr>
      <w:tr>
        <w:trPr/>
        <w:tc>
          <w:tcPr>
            <w:tcW w:w="4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the sale of future royalties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9284" w:type="dxa"/>
            <w:gridSpan w:val="24"/>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There was no non-cash interest expense related to the sales of future royalties during the prior year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3" w:type="dxa"/>
            <w:gridSpan w:val="6"/>
            <w:tcBorders/>
            <w:shd w:fill="auto" w:val="clea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the sales of future royalties for the three months ended March 31, 2023 was due to the recognized amortization of the deferred royalty obligation that we recorded following the receipt of the $10.0 million upfront payment from HCR during June 2022.</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Other Income, net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other income, net (dollars in thousands):</w:t>
      </w:r>
    </w:p>
    <w:tbl>
      <w:tblPr>
        <w:tblW w:w="7550" w:type="dxa"/>
        <w:jc w:val="left"/>
        <w:tblInd w:w="0" w:type="dxa"/>
        <w:tblCellMar>
          <w:top w:w="28" w:type="dxa"/>
          <w:left w:w="28" w:type="dxa"/>
          <w:bottom w:w="28" w:type="dxa"/>
          <w:right w:w="28" w:type="dxa"/>
        </w:tblCellMar>
      </w:tblPr>
      <w:tblGrid>
        <w:gridCol w:w="564"/>
        <w:gridCol w:w="497"/>
        <w:gridCol w:w="499"/>
        <w:gridCol w:w="287"/>
        <w:gridCol w:w="839"/>
        <w:gridCol w:w="148"/>
        <w:gridCol w:w="148"/>
        <w:gridCol w:w="148"/>
        <w:gridCol w:w="148"/>
        <w:gridCol w:w="287"/>
        <w:gridCol w:w="634"/>
        <w:gridCol w:w="148"/>
        <w:gridCol w:w="109"/>
        <w:gridCol w:w="109"/>
        <w:gridCol w:w="109"/>
        <w:gridCol w:w="211"/>
        <w:gridCol w:w="466"/>
        <w:gridCol w:w="109"/>
        <w:gridCol w:w="109"/>
        <w:gridCol w:w="109"/>
        <w:gridCol w:w="109"/>
        <w:gridCol w:w="233"/>
        <w:gridCol w:w="233"/>
        <w:gridCol w:w="271"/>
        <w:gridCol w:w="109"/>
        <w:gridCol w:w="109"/>
        <w:gridCol w:w="109"/>
        <w:gridCol w:w="109"/>
        <w:gridCol w:w="109"/>
        <w:gridCol w:w="109"/>
        <w:gridCol w:w="109"/>
        <w:gridCol w:w="109"/>
        <w:gridCol w:w="154"/>
      </w:tblGrid>
      <w:tr>
        <w:trPr/>
        <w:tc>
          <w:tcPr>
            <w:tcW w:w="56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2023 vs.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other income, net for the three months ended March 31, 2023 is primarily due to increased income on our investments resulting from higher returns on larger investment balances throughout the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cash, cash equivalents and investments (dollars in thousands):</w:t>
      </w:r>
    </w:p>
    <w:tbl>
      <w:tblPr>
        <w:tblW w:w="8455" w:type="dxa"/>
        <w:jc w:val="left"/>
        <w:tblInd w:w="0" w:type="dxa"/>
        <w:tblCellMar>
          <w:top w:w="28" w:type="dxa"/>
          <w:left w:w="28" w:type="dxa"/>
          <w:bottom w:w="28" w:type="dxa"/>
          <w:right w:w="28" w:type="dxa"/>
        </w:tblCellMar>
      </w:tblPr>
      <w:tblGrid>
        <w:gridCol w:w="820"/>
        <w:gridCol w:w="720"/>
        <w:gridCol w:w="724"/>
        <w:gridCol w:w="265"/>
        <w:gridCol w:w="1038"/>
        <w:gridCol w:w="137"/>
        <w:gridCol w:w="109"/>
        <w:gridCol w:w="109"/>
        <w:gridCol w:w="109"/>
        <w:gridCol w:w="317"/>
        <w:gridCol w:w="1244"/>
        <w:gridCol w:w="164"/>
        <w:gridCol w:w="109"/>
        <w:gridCol w:w="109"/>
        <w:gridCol w:w="109"/>
        <w:gridCol w:w="211"/>
        <w:gridCol w:w="691"/>
        <w:gridCol w:w="109"/>
        <w:gridCol w:w="109"/>
        <w:gridCol w:w="109"/>
        <w:gridCol w:w="109"/>
        <w:gridCol w:w="210"/>
        <w:gridCol w:w="210"/>
        <w:gridCol w:w="614"/>
      </w:tblGrid>
      <w:tr>
        <w:trPr/>
        <w:tc>
          <w:tcPr>
            <w:tcW w:w="8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27,769 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liquid funds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130,373 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123,909 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cash, cash equivalents and short-term investments of approximately $130.4 million. We have incurred operating losses since inception in 2007 and our accumulated deficit as of March 31, 2023 is $806.9 million. Our current level of cash, cash equivalents and short-term investments alone is not sufficient to meet our plans for the next twelve months following the filing of these condensed financial statements on May 3, 2023. These factors raise substantial doubt regarding our ability to continue as a going concern for a period of one year from the issuance of these condensed financial statements. We plan to address our operating cash flow requirements with our current cash, cash equivalents and short-term investments, cash generated from product sales of IBSRELA, and if approved, cash generated from sales of XPHOZAH, the potential receipt of anticipated milestone payments from our collaboration partners, the potential receipt of anticipated payments from Kyowa Kirin under the 2022 Amendment, with additional financing sources and through the implementation of cash preservation activities to reduce or defer discretionary spending.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for at least the next twelve months following the issuance of these condensed financial statements, our liquidity, financial condition and business prospects will be materially affected. These condensed financial statements have been prepared on a going concern basis and do not include any adjustments to the amounts and classification of assets and liabilities that may be necessary in the event that we can no longer continue as a going concern.</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we filed an additional prospectus supplement under a Registration Statement which was filed in July 2020 for the offering, issuance and sale by us of up to a maximum aggregate offering price of $150.0 million of our common stock that may be issued and sold, from time to time, under a sales agreement we entered into with Jefferies (the "2021 Open Market Sales Agreement"), pursuant to which we may, from time to time, sell up to $150.0 million in shares of our common stock through Jefferies. Pursuant to the 2021 Open Market Sales Agreement, Jefferies, as our sales agent, received a commission of up to 3% of the gross sales price for shares of common stock sold under the 2021 Open Market Sales Agreement. During the three months ended March 31, 2023 we sold 15.5 million shares and received gross proceeds of $51.9 million at a weighted average sales price of approximately $3.35 per share under the 2021 Open Market Sales Agreement. As of March 31, 2023, we have sold a total of 95.2 million shares and received the maximum gross proceeds of $150.0 million under the 2021 Open Market Sales Agreement.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we filed a Form S-3 registration statement,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LLC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As of March 31, 2023, there have been no sales of our common stock under the 2023 Open Market Sales Agreement.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we entered into a loan and security agreement (“2022 Loan Agreement”) with SLR Investment Corp ("SLR"). The 2022 Loan Agreement was subsequently amended on August 1, 2022 and February 9, 2023. The 2022 Loan Agreement as amended provides for a senior secured term loan facility, with $27.5 million funded at closing and an additional $22.5 million that we may borrow on or prior to December 20, 2023; provided that (i) we have received approval by the FDA for our NDA for XPHOZAH by November 30, 2023 and (ii) we have achieved certain product revenue milestone targets described in the 2022 Loan Agreement.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funding of $27.5 million was used to repay the 2018 Loan and is funding our ongoing operations. We had $25.0 million principal from the 2018 Loan outstanding as of the closing date, as well as the 2018 Exit Fee in the amount of $1.5 million. Notwithstanding the February 2022 prepayment of the 2018 Loan, our obligation to pay the 2018 Exit Fee will expire on May 16, 2028. In connection with entering into the 2022 Loan Agreement, we entered into the 2022 Exit Fee agreement, whereby we agreed to pay an exit fee in the amount of 2% of the 2022 Loan funded if certain conditions are met.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we announced that our collaboration partner, Kyowa Kirin, submitted a New Drug Application to the Japanese Ministry of Health, Labour and Welfare for tenapanor for the improvement of hyperphosphatemia in adult patients with CKD on dialysis. In accordance with the terms of the 2022 Amendment, Kyowa Kirin paid an aggregate of $35.0 million to us in milestone payments and payments associated with the 2022 Amendment during the quarter ended December 31,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cash have been from the sale and issuance of common stock (in both public offerings and private placements), private placements of convertible preferred stock, funds from our collaboration partnerships, funds from our 2018 Loan Agreement and 2022 Loan Agreement, as well as from sales of IBSRELA.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uses of cash have been to fund operating expenses, primarily research and development expenditures, as well as pre-commercial and commercial expenses. Cash used to fund operating expenses is impacted by the timing of when we pay these expenses, as reflected in the change in our outstanding accounts payable and accrued expenses.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will depend on many factors, including, but not limited to:</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extent to which we are able to generate product revenue from sales of IBSRELA;</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whether we are successful in securing approval for our NDA for XPHOZAH, and the time and cost associated with securing such approval;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availability of adequate third-party reimbursement for IBSRELA and, if approved, the sales price and the availability of adequate third-party reimbursement for XPHOZAH;</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manufacturing, selling and marketing costs associated with IBSRELA and, if approved, XPHOZAH;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whether or when XPHOZAH, along with other oral ESRD-related drugs without an injectable or intravenous equivalent, are bundled into the ESRD prospective payment system, and the manner in which such introduction into the ESRD prospective payment system may occur;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maintain our existing collaboration partnerships and to establish additional collaboration partnerships, in-license/out-license, joint ventures or other similar arrangements and the financial terms of such agreements;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timing, receipt and amount of any milestones that may be received from our collaboration partners in connection with tenapanor, if any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timing, receipt, and amount of revenue, if any, that may be received by Kyowa Kirin in connection with the 2022 Kyowa Kirin Amendment;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timing, receipt, and amount of royalties we may receive as a result of sales of tenapanor by our collaboration partners in China and Canada, if any;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cash requirements for the discovery and/or development of other potential product candidates, including RDX013 and RDX020;</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time and cost necessary to respond to technological and market developments;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payment of interest and principal related to our loan and security agreement entered into with SLR Investment Corp. in February 2022.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see the risk factors set forth in Part II, Item 1A, Risk Factors, in this Quarterly Report on Form 10-Q for additional risks associated with our capital requirements.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CASH FLOW ACTIVITIES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(dollars in thousands):</w:t>
      </w:r>
    </w:p>
    <w:tbl>
      <w:tblPr>
        <w:tblW w:w="9898" w:type="dxa"/>
        <w:jc w:val="left"/>
        <w:tblInd w:w="0" w:type="dxa"/>
        <w:tblCellMar>
          <w:top w:w="28" w:type="dxa"/>
          <w:left w:w="28" w:type="dxa"/>
          <w:bottom w:w="28" w:type="dxa"/>
          <w:right w:w="28" w:type="dxa"/>
        </w:tblCellMar>
      </w:tblPr>
      <w:tblGrid>
        <w:gridCol w:w="1525"/>
        <w:gridCol w:w="1343"/>
        <w:gridCol w:w="1347"/>
        <w:gridCol w:w="230"/>
        <w:gridCol w:w="868"/>
        <w:gridCol w:w="118"/>
        <w:gridCol w:w="118"/>
        <w:gridCol w:w="118"/>
        <w:gridCol w:w="118"/>
        <w:gridCol w:w="230"/>
        <w:gridCol w:w="868"/>
        <w:gridCol w:w="118"/>
        <w:gridCol w:w="109"/>
        <w:gridCol w:w="109"/>
        <w:gridCol w:w="109"/>
        <w:gridCol w:w="213"/>
        <w:gridCol w:w="803"/>
        <w:gridCol w:w="110"/>
        <w:gridCol w:w="110"/>
        <w:gridCol w:w="110"/>
        <w:gridCol w:w="110"/>
        <w:gridCol w:w="394"/>
        <w:gridCol w:w="401"/>
        <w:gridCol w:w="319"/>
      </w:tblGrid>
      <w:tr>
        <w:trPr/>
        <w:tc>
          <w:tcPr>
            <w:tcW w:w="1525"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2022 vs. 2021</w:t>
            </w:r>
          </w:p>
        </w:tc>
      </w:tr>
      <w:tr>
        <w:trPr/>
        <w:tc>
          <w:tcPr>
            <w:tcW w:w="4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(12,109)</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(80,924)</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(25,351)</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during the three months ended March 31, 2023 increased by $17.2 million primarily as a result of changes to our operating assets and liabilities related to expenditures for commercial manufacturing and inventory for the production of IBSRELA.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 decreased by $12.1 million due to the timing of our investment maturities and purchases.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 increased by $51.0 million primarily due to net proceeds from issuance of our common stock pursuant to the at the market offerings of $50.7 million during the three months ended March 31, 2023 compared to $5.9 million during the three months ended March 31, 2022. In addition, during the three months ended March 31, 2022 we expended net $6.1 million in conjunction with entering into the 2022 Loan and repaying the principal outstanding under the 2018 Loan.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40" w:after="283"/>
        <w:jc w:val="both"/>
        <w:rPr/>
      </w:pPr>
      <w:r>
        <w:rPr>
          <w:rFonts w:ascii="Times New Roman;sans-serif" w:hAnsi="Times New Roman;sans-serif"/>
          <w:b w:val="false"/>
          <w:i/>
          <w:color w:val="000000"/>
          <w:sz w:val="20"/>
        </w:rPr>
        <w:t>Interest Rate Risk.</w:t>
      </w:r>
      <w:r>
        <w:rPr>
          <w:color w:val="000000"/>
        </w:rPr>
        <w:t xml:space="preserve"> </w:t>
      </w:r>
      <w:r>
        <w:rPr>
          <w:rFonts w:ascii="Times New Roman;sans-serif" w:hAnsi="Times New Roman;sans-serif"/>
          <w:b w:val="false"/>
          <w:color w:val="000000"/>
          <w:sz w:val="20"/>
        </w:rPr>
        <w:t>We are subject to market risks, including interest rate fluctuation exposure through our investments, in the ordinary course of our business.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cash, cash equivalents and short-term investments of $130.4 million, which consist of bank deposits and money market funds, as well as high quality fixed income instruments including commercial paper and asset backed securities. The credit rating of our short-term investments must be rated A-1/P-1, or better by Standard and Poor’s and Moody’s Investors Service. Asset-backed securities must be rated AAA/Aaa. Money Market funds must be rated AAA/Aaa.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interest rate fluctuation exposure through our borrowings under the Loan Agreement and our investment in money market accounts which bear a variable interest rate. Borrowings under the 2022 Loan as amended bear interest at a floating per annum interest rate with 7.95% plus the greater of (a) one percent (1.00%) per annum and (b)(i) 0.022% plus (ii) 1-month CME Term SOFR reference rate as published by the CME Term SOFR Administrator on the CME Term SOFR Administrator’s Website. A hypothetical increase in one-month CME Term SOFR of 100 basis points above the current one-month CME Term SOFR rate would have increased our interest expense by approximately $0.1 million for the three months ended March 31, 2023. As of March 31, 2023, we had an aggregate principal amount of $27.5 million outstanding pursuant to our 2022 Loan Agreement.</w:t>
      </w:r>
    </w:p>
    <w:p>
      <w:pPr>
        <w:pStyle w:val="TextBody"/>
        <w:spacing w:lineRule="auto" w:line="288" w:before="240" w:after="283"/>
        <w:jc w:val="both"/>
        <w:rPr/>
      </w:pPr>
      <w:r>
        <w:rPr>
          <w:rFonts w:ascii="Times New Roman;sans-serif" w:hAnsi="Times New Roman;sans-serif"/>
          <w:b w:val="false"/>
          <w:i/>
          <w:color w:val="000000"/>
          <w:sz w:val="20"/>
        </w:rPr>
        <w:t>Foreign Currency Risk.</w:t>
      </w:r>
      <w:r>
        <w:rPr>
          <w:color w:val="000000"/>
        </w:rPr>
        <w:t xml:space="preserve"> </w:t>
      </w:r>
      <w:r>
        <w:rPr>
          <w:rFonts w:ascii="Times New Roman;sans-serif" w:hAnsi="Times New Roman;sans-serif"/>
          <w:b w:val="false"/>
          <w:color w:val="000000"/>
          <w:sz w:val="20"/>
        </w:rPr>
        <w:t>The majority of our transactions are denominated in U.S. dollars. However, we do have certain transactions that are denominated in 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manufacturing activities.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no open forward foreign currency exchange contracts.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under the Securities Exchange Act of 1934, as amended (the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March 31, 2023.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financial officer have concluded that, as of March 31, 2023, our disclosure controls and procedures were effective at a reasonable assurance level.</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were no changes in our internal control over financial reporting that have materially affected, or are reasonably likely to materially affect, our internal control over financial reporting.</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Inherent Limitations on Effectiveness of Controls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PART II.      </w:t>
      </w:r>
      <w:r>
        <w:rPr>
          <w:color w:val="000000"/>
        </w:rPr>
        <w:t> </w:t>
      </w:r>
      <w:r>
        <w:rPr>
          <w:rFonts w:ascii="Times New Roman;sans-serif" w:hAnsi="Times New Roman;sans-serif"/>
          <w:b/>
          <w:color w:val="000000"/>
          <w:sz w:val="20"/>
        </w:rPr>
        <w:t>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240" w:after="283"/>
        <w:jc w:val="both"/>
        <w:rPr/>
      </w:pPr>
      <w:r>
        <w:rPr>
          <w:rFonts w:ascii="Times New Roman;sans-serif" w:hAnsi="Times New Roman;sans-serif"/>
          <w:b w:val="false"/>
          <w:color w:val="000000"/>
          <w:sz w:val="20"/>
        </w:rPr>
        <w:t xml:space="preserve">On July 30 and August 12, 2021, two putative securities class action lawsuits were commenced in the U.S. District Court for the Northern District of California naming as defendants Ardelyx and two current officers captioned </w:t>
      </w:r>
      <w:r>
        <w:rPr>
          <w:rFonts w:ascii="Times New Roman;sans-serif" w:hAnsi="Times New Roman;sans-serif"/>
          <w:b w:val="false"/>
          <w:i/>
          <w:color w:val="000000"/>
          <w:sz w:val="20"/>
        </w:rPr>
        <w:t>Strezsak v. Ardelyx, Inc., et al.</w:t>
      </w:r>
      <w:r>
        <w:rPr>
          <w:rFonts w:ascii="Times New Roman;sans-serif" w:hAnsi="Times New Roman;sans-serif"/>
          <w:b w:val="false"/>
          <w:color w:val="000000"/>
          <w:sz w:val="20"/>
        </w:rPr>
        <w:t>, Case No. 4:21-cv-05868-HSG, and Siegel</w:t>
      </w:r>
      <w:r>
        <w:rPr>
          <w:color w:val="000000"/>
        </w:rPr>
        <w:t xml:space="preserve"> </w:t>
      </w:r>
      <w:r>
        <w:rPr>
          <w:rFonts w:ascii="Times New Roman;sans-serif" w:hAnsi="Times New Roman;sans-serif"/>
          <w:b w:val="false"/>
          <w:i/>
          <w:color w:val="000000"/>
          <w:sz w:val="20"/>
        </w:rPr>
        <w:t>v. Ardelyx, Inc., et al.</w:t>
      </w:r>
      <w:r>
        <w:rPr>
          <w:rFonts w:ascii="Times New Roman;sans-serif" w:hAnsi="Times New Roman;sans-serif"/>
          <w:b w:val="false"/>
          <w:color w:val="000000"/>
          <w:sz w:val="20"/>
        </w:rPr>
        <w:t>, Case No. 5:21-cv-06228-HSG (together, the “Securities Class Actions”). The complaints allege that the defendants violated Sections 10(b) and 20(a) of the Securities Exchange Act of 1934, as amended, and Rule 10b-5 thereunder, by making false and misleading statements and omissions of material fact related to tenapanor. The plaintiffs seek damages and interest, and an award of costs, including attorneys’ fees. On July 19, 2022, the court consolidated the two putative class actions and appointed a lead plaintiff and lead counsel. The lead plaintiff filed an amended complaint on September 29, 2022. Defendants filed a motion to dismiss the amended complaint on December 2, 2022. In January and February 2023, in lieu of filing a response to defendant’s motion to dismiss, plaintiffs filed a motion seeking leave to further amend their complaint and defendants filed an opposition to the motion for leave to further amend the complaint. On April 6, 2023, the court granted plaintiff’s motion for leave to further amend the complaint. With the second amended complaint, the plaintiffs seek to represent all persons who purchased or otherwise acquired Ardelyx securities between March 6, 2020 and July 19, 2021. The parties have stipulated to a schedule for the filing of Defendants second motion to dismiss on June 2, 2023, and a hearing on the motion to dismiss to be held on September 14, 2023. We believe the plaintiff’s claims are without merit and we have not recorded any accrual for a contingent liability associated with these legal proceedings.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We believe the plaintiff’s claims are without merit and we have not recorded any accrual for a contingent liability associated with these legal proceedings.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arising in the ordinary course of business. As of March 31, 2023, there is no litigation pending that would reasonably be expected to have a material adverse effect on our results of operations and financial condition, and no contingent liabilities were accrued as of March 31, 2023.</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Our business involves significant risks, some of which are described below. You should carefully consider these risks, as well as other information in this Quarterly Report on Form 10-Q,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Financial Condition and Capital Requirements</w:t>
      </w:r>
    </w:p>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incurred significant losses since our inception and will incur losses in the future, which makes it difficult for us to assess our future viability; although our financial statements have been prepared on a going concern basis, our current level of cash, cash equivalents and short-term investments alone is not sufficient to meet our operating plans for the next twelve months, raising substantial doubt regarding our ability to continue as a going concern.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In March 2022, we commenced the commercialization of our first product, IBSRELA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(tenapanor) for the treatment of irritable bowel syndrome with constipation (“IBS-C”) in adult patients and have generated limited revenue from product sales to date.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not profitable and have incurred losses in each year since our inception in October 2007, and we do not know whether or when we will become profitable. We continue to incur significant commercialization, development and other expenses related to our ongoing operations. As of March 31, 2023, we had an accumulated deficit of $806.9 million.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expect to continue to incur substantial operating losses for the foreseeable future as we commercialize IBSRELA, seek to gain approval for XPHOZAH</w:t>
      </w:r>
      <w:r>
        <w:rPr>
          <w:rFonts w:ascii="Times New Roman;sans-serif" w:hAnsi="Times New Roman;sans-serif"/>
          <w:b/>
          <w:color w:val="000000"/>
          <w:sz w:val="13"/>
        </w:rPr>
        <w:t xml:space="preserve">® </w:t>
      </w:r>
      <w:r>
        <w:rPr>
          <w:rFonts w:ascii="Times New Roman;sans-serif" w:hAnsi="Times New Roman;sans-serif"/>
          <w:b w:val="false"/>
          <w:color w:val="000000"/>
          <w:sz w:val="20"/>
        </w:rPr>
        <w:t xml:space="preserve">(tenapanor) for the control of serum phosphorus in adult patients with chronic kidney disease (“CKD”) on dialysis who have had an inadequate response or intolerance to a phosphate binder therapy; prepare for, and commercialize XPHOZAH, if approved; and incur manufacturing and development costs for tenapanor.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Ernst &amp; Young LLP, our independent registered public accounting firm, included an explanatory paragraph in their opinion that accompanied our audited financial statements in our Annual Report on Form 10-K for the fiscal year ended December 31, 2022, filed on March 2, 2023, indicating our current liquidity position raises substantial doubt about our ability to continue as a going concern. We plan to address our operating cash flow requirements with our current cash, cash equivalents and short-term investments, cash generated from the sales of IBSRELA, and if approved, cash generated from the sales of XPHOZAH, our potential receipt of anticipated milestone payments from our collaboration partners, our potential receipt of anticipated payments from our collaboration partner, Kyowa Kirin, Co., Ltd. (“Kyowa Kirin”) in connection with the transaction entered into with Kyowa Kirin in April 2022 (“2022 Kyowa Kirin Amendment”) which amended our License Agreement entered into with Kyowa Kirin in 2017; with additional financing sources and through the implementation of cash preservation activities to reduce or defer discretionary spending.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for at least the next twelve months, our liquidity, financial condition and business prospects will be materially affected.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ability to utilize our net operating loss carryforwards and certain other tax attributes may be limited.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Sections 382 and 383 of the Internal Revenue Code of 1986, as amended (the “Code”). In general, if a corporation undergoes an “ownership change,” generally defined as a cumulative change of more than 50 percentage points (by value) in its equity ownership by certain stockholders over a three-year period, the corporation’s ability to use its pre-change net operating loss (“NOL”) carryforwards and other pre-change tax attributes (such as research and development tax credits) to offset its post-change income or taxes may be limited. We have experienced ownership changes in the past and may experience additional ownership changes in the future, as a result of subsequent changes in our stock ownership, some of which are outside our control. Accordingly, we may not be able to utilize a material portion of our NOL carryforwards, even if we achieve profitability.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will require additional financing for the foreseeable future as we invest in the commercialization of IBSRELA in the U.S, and prepare for and commercialize XPHOZAH in the U.S., if approved. The inability to access necessary capital when needed on acceptable terms, or at all, could force us to reduce our efforts to commercialize IBSRELA or delay or limit the commercialization of XPHOZAH, if approved.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most of our resources have been dedicated to our research and development activities, including developing tenapanor. We believe that we will continue to expend substantial resources for the foreseeable future, including, costs associated with our efforts to commercialize IBSRELA, which we began selling in the U.S. in March 2022; costs associated with our efforts to pursue approval for our NDA for XPHOZAH; conducting pediatric clinical trials for IBSRELA and XPHOZAH, if approved; and manufacturing for IBSRELA and, if approved XPHOZAH. Our future funding requirements will depend on many factors, including, but not limited to:</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extent to which we are able to generate product revenue from sales of IBSRELA;</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whether we are successful in securing approval for our NDA for XPHOZAH, and the time and cost associated with securing such approval;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availability of adequate third-party reimbursement for IBSRELA and, if approved, the sales price and the availability of adequate third-party reimbursement for XPHOZAH;</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manufacturing, selling and marketing costs associated with IBSRELA and, if approved, XPHOZAH;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whether or when XPHOZAH, along with other oral ESRD-related drugs without an injectable or intravenous equivalent, are bundled into the ESRD prospective payment system, and the manner in which such introduction into the ESRD prospective payment system may occur;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maintain our existing collaboration partnerships and to establish additional collaboration partnerships, in-license/out-license, joint ventures or other similar arrangements and the financial terms of such agreements;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timing, receipt and amount of any milestones that may be received from our collaboration partners in connection with tenapanor, if any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timing, receipt, and amount of revenue, if any, that may be received from Kyowa Kirin in connection with the 2022 Kyowa Kirin Amendment;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timing, receipt, and amount of royalties we may receive as a result of sales of tenapanor by our collaboration partners in China and Canada, if any;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cash requirements for the discovery and/or development of other potential product candidates, including RDX013 and RDX020;</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time and cost necessary to respond to technological and market developments;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costs of filing, prosecuting, maintaining, defending and enforcing any patent claims and other intellectual property rights, including litigation costs and the outcome of such litigation, including costs of defending any claims of infringement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brought by others in connection with the development, manufacture or commercialization of tenapanor or any of our product candidates;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payment of interest and principal related to our loan and security agreement entered into with SLR Investment Corp. in February 2022.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funds may not be available when we need them on terms that are acceptable to us, or at all. If adequate funds are not available to us on a timely basis, we may be required to limit or reduce our commercialization of IBSRELA, or delay or limit the commercialization of XPHOZAH, if approved, or delay or limit additional clinical trials for tenapanor. Additionally, our inability to access capital on a timely basis and on terms that are acceptable to us may force us to restructure certain aspects of our business or identify and complete one or more strategic collaborations or other transactions in order to fund the commercialization of IBSRELA or XPHOZAH, if approved, through the use of alternative structures.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generated limited revenue from product sales and may never be profitable.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began selling IBSRELA in the U.S. in March 2022, and have generated limited revenue from product sales to date. We have no other products approved for sale. On April 17, 2023, we resubmitted our NDA for XPHOZAH following the U.S. Food and Drug Administration’s (“FDA”) Center for Drug Evaluation and Research, Office of New Drugs (“OND”) decision to grant our appeal of the Complete Response Letter (“CRL”) for the NDA for XPHOZAH. We expect to receive an Acknowledgement of Receipt letter from the FDA in mid-May, and that such letter will include the classification of the resubmission and the goal review date.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assurances that our NDA for XPHOZAH will be approved by the FDA. There can be no assurances that we will be successful in increasing the amount of product revenue from sales of IBSRELA. There can be no assurances that we will generate sufficient product revenue from sales of IBSRELA and, if approved, XPHOZAH, to cover our expenses. Our ability to generate product revenue from sales or pursuant to milestone or royalty payments depends heavily on many factors, including but not limited to:</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successfully commercialize IBSRELA;</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obtaining market acceptance of IBSRELA as a viable treatment option for IBS-C;</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obtain and sustain an adequate level of coverage and reimbursement for IBSRELA by third-party payors;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whether we are successful in our efforts to secure approval for our NDA for XPHOZAH;</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whether or when XPHOZAH, along with other oral ESRD-related drugs without an injectable or intravenous equivalent, are bundled into the ESRD prospective payment system, and the manner in which such introduction into the ESRD prospective payment system may occur;</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establishing and maintaining supply and manufacturing relationships with third parties that can provide an adequate (in amount and quality) supply of product to support the market demand for IBSRELA and, if approved, XPHOZAH;</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addressing any competing technological and market developments;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attracting, hiring, and retaining qualified personnel.</w:t>
      </w:r>
    </w:p>
    <w:p>
      <w:pPr>
        <w:pStyle w:val="TextBody"/>
        <w:spacing w:before="0" w:after="0"/>
        <w:ind w:left="0" w:right="0" w:hanging="360"/>
        <w:jc w:val="both"/>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our commercialization of IBSRELA, and if we are successful in obtaining regulatory approval to market XPHOZAH, our revenue will be dependent, in part, upon the size of the markets in the U.S. and the label for which approval is granted, accepted price for the product, and the ability to get reimbursement at any price. While there is significant uncertainty related to the insurance coverage and reimbursement of newly approved products in general in the U.S., there is additional uncertainty related to insurance coverage and reimbursement for drugs, like XPHOZAH, which, if approved, will be marketed for the control of serum phosphorus in adult patients with CKD on dialysis who have had an inadequate response or intolerance to a phosphate binder therapy or for another other related indication. If we are successful in obtaining regulatory approval to market XPHOZAH for such indication, our ability to generate and sustain future revenues from sales of XPHOZAH, may be dependent upon whether and when XPHOZAH, along with other oral end stage renal disease (“ESRD”)-related drugs without an injectable or intravenous equivalent, are bundled into the ESRD prospective payment system, and the manner in which such introduction into the ESRD prospective payment system may occur. See “Third-party payor coverage and reimbursement status of newly approved products are uncertain. Failure to obtain or maintain adequate coverage and reimbursement for IBSRELA and, if approved, XPHOZAH could limit our ability to market those products and decrease our ability to generate revenue” below. Additionally, if the number of adult patients for IBSRELA or, if approved XPHOZAH, is not as significant as we estimate, the indication approved by regulatory authorities for XPHOZAH is narrower than we expect, coverage and reimbursement for either IBSRELA or XPHOZAH, if approved, are not available in the manner and to the extent we expect, or the reasonably accepted population for treatment is narrowed by competition, physician choice or treatment guidelines, we may not generate significant revenue from the sale of IBSRELA or XPHOZAH, if approved. Even if we achieve profitability in the future, we may not be able to sustain profitability in subsequent periods. Our failure to generate adequate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Principal Risks Related to Our Business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substantially dependent on the successful commercialization of IBSRELA, and there is no guarantee that we will achieve sufficient market acceptance for IBSRELA, secure adequate coverage and reimbursement for IBSRELA, or generate sufficient revenue from product sales of IBSRELA.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began selling IBSRELA in the U.S. in March 2022. The overall commercial success of IBSRELA will depend on a number of factors, including the following: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of the third-party manufacturers we contract with to provide an adequate (in amount and quality) supply of product to support the market demand for IBSRELA;</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obtain and sustain an adequate level of coverage and reimbursement for IBSRELA by third-party payors;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effectiveness of IBSRELA as a treatment for adult patients with IBS-C;</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size of the treatable patient population;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effectiveness of our sales, market access and marketing efforts;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whether physicians view IBSRELA as a safe and effective treatment for adult patients with IBS-C, which will impact the adoption of IBSRELA by physicians for the treatment of IBS-C;</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availability, perceived advantages, relative cost, relative safety and relative efficacy of IBSRELA compared to alternative and competing treatments;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prevalence and severity of adverse side effects of IBSRELA;</w:t>
      </w:r>
    </w:p>
    <w:p>
      <w:pPr>
        <w:pStyle w:val="TextBody"/>
        <w:spacing w:before="0" w:after="0"/>
        <w:jc w:val="both"/>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potential involvement in lawsuits in connection with enforcing intellectual property rights in and to IBSRELA;</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potential involvement in third-party interference, opposition, derivation or similar proceedings with respect to our patent rights directed to IBSRELA, and avoiding other challenges to our patent rights and patent infringement claims;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 continued acceptable safety and tolerability profile of IBSRELA following approval.</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potential revenue we may achieve from the commercialization of IBSRELA is subject to these and other factors, and may be unpredictable from quarter-to-quarter. If the number of patients in the market for IBSRELA or the price that the market can bear is not as significant as we estimate, or if we are not able to secure adequate physician and patient acceptance of IBSRELA or adequate coverage and reimbursement for IBSRELA, we may not generate sufficient revenue from sales of IBSRELA. Any failure of IBSRELA to achieve market acceptance, sufficient third-party coverage or reimbursement, or commercial success would adversely affect our 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are pursuing regulatory approval for XPHOZAH. There can be no assurances that we will be successful in obtaining such regulatory approval.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pursuing regulatory approval for XPHOZAH. To date, we have invested a significant amount of our efforts and financial resources in the research and development of XPHOZAH. On July 28, 2021, we received a CRL from the FDA’s Division of Cardiology and Nephrology (“Division”) regarding our NDA for XPHOZAH. According to the CRL, the Division determined that the magnitude of the treatment effect observed in our Phase 3 clinical trials was small and of unclear clinical significance. Following an End-of-Review Type A meeting (“End of Review Meeting”) in October 2021, with the Division, we submitted a Formal Dispute Resolution Request (“FDRR”) in December 2021. The FDRR was focused on demonstrating that the data submitted in the NDA supported the clinical significance of the treatment effect of tenapanor in the control of serum phosphorus in adult patients with CKD on dialysis. On February 4, 2022, we received an Appeal Denied Letter ("ADL") from the Office of Cardiology, Hematology, Endocrinology and Nephrology (“OCHEN”). On February 18, 2022, we submitted an appeal of the ADL to the OND. In April 2022, we received an interim response from the OND requesting additional input from the Cardiovascular and Renal Drug Advisory Committee (“CRDAC”). A CRDAC meeting was held in November 2022 with the Committee voting that the benefits of XPHOZAH outweigh its risks nine to four as a monotherapy and ten to two, with one abstention, in combination with phosphate binder therapy. In December 2022, the OND granted our appeal of the CRL for the NDA for XPHOZAH and directed the Division to work with us to develop an appropriate label for the commercialization of XPHOZAH. We believe that a label could reflect an indication for the control of serum phosphorus in adult patients with CKD on dialysis who have an inadequate response or intolerance to a phosphate binder therapy. On February 13, 2023, we participated in a Type A meeting with the Division where we discussed the resubmission of the NDA, and the information to be contained in the resubmitted NDA. We resubmitted the NDA for XPHOZAH on April 17, 2023. In mid-May, we expect to receive notification from the Division acknowledging receipt of the NDA and including the classification of the resubmission (Class 1 or Class 2) and the review goal date. We currently expect that the FDA will act upon the XPHOZAH NDA in the second half of 2023, and that, if approved, we will launch XPHOZAH in the second half of 2023. There can be no assurances that the granting of our appeal to the CRL and resubmission of our NDA will result in approval of our NDA for XPHOZAH. Even if we are successful in obtaining approval for the NDA, the delay in obtaining such approval may result in delay in the regulatory process for our partners, which could have a material adverse effect on our business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Even if we are successful in obtaining regulatory approval for XPHOZAH, there is no guarantee that we will achieve sufficient market acceptance for XPHOZAH, secure adequate coverage and reimbursement for XPHOZAH or generate sufficient revenue from product sales of XPHOZAH. </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We may not be successful in obtaining FDA approval for XPHOZAH, and if we are able to obtain approval, there is no guarantee that we will achieve sufficient market acceptance for XPHOZAH, secure adequate coverage and reimbursement for XPHOZAH or generate sufficient revenue from product sales of XPHOZAH</w:t>
      </w:r>
      <w:r>
        <w:rPr>
          <w:rFonts w:ascii="Times New Roman;sans-serif" w:hAnsi="Times New Roman;sans-serif"/>
          <w:b/>
          <w:i/>
          <w:color w:val="000000"/>
          <w:sz w:val="20"/>
        </w:rPr>
        <w:t xml:space="preserve">. </w:t>
      </w:r>
      <w:r>
        <w:rPr>
          <w:rFonts w:ascii="Times New Roman;sans-serif" w:hAnsi="Times New Roman;sans-serif"/>
          <w:b w:val="false"/>
          <w:color w:val="000000"/>
          <w:sz w:val="20"/>
        </w:rPr>
        <w:t>If we are successful in obtaining approval for XPHOZAH, the commercial success of XPHOZAH will depend on a number of factors, including the following: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whether or when XPHOZAH, along with other oral ESRD-related drugs without an injectable or intravenous equivalent, are bundled into the ESRD prospective payment system, and the manner in which such introduction into the ESRD prospective payment system may occur;</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of the third-party manufacturers we contract with to provide an adequate (in amount and quality) supply of product to support the market demand for both IBSRELA and XPHOZAH;</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whether or not the content and breadth of the label approved by the FDA for XPHOZAH may materially and adversely impact our ability to commercialize the product for the approved indication;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prevalence and severity of adverse side effects of XPHOZAH;</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acceptance of XPHOZAH as safe, effective and well-tolerated by patients and the medical community, and, the extent to which the issuance of a CRL by the FDA has impacted the potential acceptance of XPHOZAH as safe, effective and well-tolerated;</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manage the commercialization of IBSRELA and XPHOZAH and the complex pricing and reimbursement negotiations that may arise with marketing products containing the same active ingredient at different doses for separate indications;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availability, perceived advantages, relative cost, relative safety and relative efficacy of XPHOZAH compared to alternative and competing treatments;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obtaining and sustaining an adequate level of coverage and reimbursement for XPHOZAH by third-party payors;</w:t>
      </w:r>
    </w:p>
    <w:p>
      <w:pPr>
        <w:pStyle w:val="TextBody"/>
        <w:spacing w:before="0" w:after="0"/>
        <w:jc w:val="both"/>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potential involvement in lawsuits in connection with enforcing intellectual property rights in and to XPHOZAH;</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potential involvement in third-party interference, opposition, derivation or similar proceedings with respect to our patent rights, and avoiding other challenges to our patent rights and patent infringement claims;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a continued acceptable safety and tolerability profile of XPHOZAH following approval.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IBSRELA and/or, if approved and commercialized, XPHOZAH, may cause undesirable side effects or have other properties that could limit the commercial success of the product.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Undesirable side effects caused by IBSRELA and/or, if approved, XPHOZAH could cause us or regulatory authorities to interrupt, delay or halt the commercialization of the product. Despite our receipt of marketing approval for IBSRELA and the completion of our Phase 3 clinical program for XPHOZAH, the prevalence and/or severity of side effects caused by IBSRELA and/or, if approved and commercialized, XPHOZAH could result in a number of potentially significant negative consequences could occur, including: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regulatory authorities may withdraw their approval of the product or seize the product;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or a collaboration partner may be required to recall the product;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or a collaboration partner may be subject to fines, injunctions or the imposition of civil or criminal penalties;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regulatory authorities may require the addition of new labeling statements, such as a “black box” warning or a contraindication;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could be sued and held liable for harm caused to patients;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product may become less competitive;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our reputation may suffer.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foregoing events could prevent us, or a collaboration partner, from achieving or maintaining market acceptance of IBSRELA and/or, if approved, XPHOZAH, and could result in the loss of significant revenue to us, which would materially and adversely affect our results of operations and business.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Third-party payor coverage and reimbursement status of newly commercialized products are uncertain. Failure to obtain or maintain adequate coverage and reimbursement for IBSRELA and, if approved, XPHOZAH could limit our ability to market those products and decrease our ability to generate revenue.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pricing, coverage and reimbursement of IBSRELA and XPHOZAH, if approved, must be adequate to support a commercial infrastructure. The availability and adequacy of coverage and reimbursement by governmental and private payors are essential for most patients to be able to afford treatments. Sales of IBSRELA and, if approved and commercialized,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XPHOZAH, if approved. Even if coverage is provided, the approved reimbursement amount may not be high enough to allow us to establish or maintain pricing sufficient to realize a return on our investment.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the insurance coverage and reimbursement of newly approved products. In the U.S., the principal decisions about coverage and reimbursement for new drugs are typically made by the Centers for Medicare &amp; Medicaid Services (“CMS”), an agency within the United States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is increased uncertainty related to insurance coverage and reimbursement for drugs, like XPHOZAH, which, if approved, may be marketed for the control of serum phosphorus in adult patients with CKD on dialysis who have had an inadequate response or intolerance to a phosphate binder therapy or for another other related indication. In January 2011, CMS implemented a new prospective payment system for dialysis treatment. Under the ESRD prospective payment system,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The inclusion of oral medications without injectable or intravenous equivalents in the bundled payment was initially delayed until January 1, 2014, and through several subsequent legislative actions was delayed until January 1, 2025. As a result, absent further legislation or regulation on this matter, beginning in 2025, oral ESRD-related drugs without injectable or intravenous equivalents will be included in the ESRD bundle and separate Medicare payment for these drugs will no longer be available, as is the case today under Medicare Part D. While it is too early to project the full impact that bundling may have on sales of XPHOZAH, if approved and commercialized, and on our business should XPHOZAH be brought into the bundle in 2025, or at any time, we may be unable to sell XPHOZAH, if approved, to dialysis providers on a profitable basis.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IBSRELA and XPHOZAH, even if regulatory approval is received in such countries.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increasing efforts by governmental and third-party payors in the U.S.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IBSRELA, and if approved and commercialized, XPHOZAH,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completely on third parties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if approved and commercialized, XPHOZAH and our development efforts for tenapanor may be materially harmed.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nor do we plan to acquire, the infrastructure or capability internally to manufacture IBSRELA or XPHOZAH on a commercial scale, or to manufacture our drug supplies for use in the conduct of our nonclinical and clinical studies. The facilities used by our contract manufacturing organizations (“CMOs”) to manufacture our drug supply are subject to inspection by the FDA. Our ability to control the manufacturing process of our product candidates is limited to the contractual requirements and obligations we impose on our CMOs. Although they are contractually required to do so, we are completely dependent on our CMOs for compliance with the regulatory requirements, known as current Good Manufacturing Practice requirements (“cGMPs”), for manufacture of both active drug substances and finished drug products.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CMOs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our CMOs fail to adhere to applicable 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if tenapanor is commercialized for any indication,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if approved, XPHOZAH may be materially harmed.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2022, we entered into a loan and security agreement with SLR Investment Corp. (“Lender”) pursuant to which the Lender agreed to provide us with a loan facility for up to $50.0 million with a maturity date of March 1, 2027, and on August 1, 2022 and February 9, 2023, we entered into amendments to the loan and security agreement (collectively, the “2022 Loan Agreement.”). The loan was funded in the amount of $27.5 million on February 23, 2022 and the remaining $22.5 million may be funded by December 20, 2023 upon the satisfaction of both (i) receipt from the FDA of approval of the NDA for XPHOZAH on or prior to November 30, 2023 and (ii) our achievement of certain product revenue milestone targets described in the 2022 Loan Agreement. Until we have repaid all funded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permitted to make interest only payments on the loan facility through March 2024, with principal repayments commencing on April 1, 2024, however, this interest only period will be extended to March 2025 with principal repayments delayed to April 1, 2025 if (i) we secure approval from the FDA for our NDA for XPHOZAH by November 30, 2023 or (ii) we achieve certain product revenue targets described in the 2022 Loan Agreement for the year ended December 31, 2023. In addition,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 determines that a material adverse change has occurred; we or our assets become subject to certain legal proceedings, such as bankruptcy proceedings; we are unable to pay our debts as they become due; or we default on contracts with third parties which would permit the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limit or reduce our activities necessary to commercialize IBSRELA and/or, if approved, XPHOZAH, or delay or limit clinical trials for tenapanor or other product candidates. The Lender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Additional Risks Related to Our Business and Industry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Clinical drug development involves a lengthy and expensive process with an uncertain outcome.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For example, while the results of our Phase 2 clinical trial evaluating RDX013 for the treatment of hyperkalemia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 We currently expect that the next step for the program will be to evaluate a new formulation that potentially enhances subject compliance and the efficacy of RDX013 in an additional Phase 2 clinical study at such time as we have determined that our available resources support conducting such an additional clinical study. There can be no assurances that any additional clinical study that we determine to conduct with RDX013 will be successful.</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we conduct additional clinical trials with RDX013 or any other product candidates, we could encounter delays in our future development if any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identifying and qualifying patients to participate in any clinical trials is critical to the success of the clinical trials. The timing of any future clinical trials, including any additional RDX013 clinical trial that we may determine to conduct, will depend,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clinical trials may be delayed. These delays could result in increased costs, delays in advancing our development of the program, or termination of the clinical studies altogether. Any of these occurrences may significantly harm our business, financial condition and prospects.</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the ability to independently conduct nonclinical studies or clinical trials. We rely on medical institutions, clinical investigators, contract laboratories, and other third parties, such as Contract Research Organizations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FDA, the Competent Authorities of the Member States of the European Economic Area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could add additional costs and could delay the regulatory approval process. </w:t>
      </w:r>
    </w:p>
    <w:p>
      <w:pPr>
        <w:pStyle w:val="TextBody"/>
        <w:spacing w:lineRule="auto" w:line="288" w:before="240" w:after="283"/>
        <w:jc w:val="both"/>
        <w:rPr/>
      </w:pPr>
      <w:r>
        <w:rPr>
          <w:rFonts w:ascii="Times New Roman;sans-serif" w:hAnsi="Times New Roman;sans-serif"/>
          <w:b/>
          <w:i/>
          <w:color w:val="000000"/>
          <w:sz w:val="20"/>
        </w:rPr>
        <w:t>We face substantial competition, and our competitors may discover, develop or commercialize products faster or more successfully than us.</w:t>
      </w:r>
      <w:r>
        <w:rPr>
          <w:color w:val="000000"/>
        </w:rPr>
        <w:t xml:space="preserv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Competition for IBSRELA largely comes from three prescription products marketed for certain patients with IBS-C that we are aware of, including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XPHOZAH, if approved will compete with phosphate binders.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currently available phosphate binders, we are aware of at least four other binders in development, including fermagate (Alpharen), an iron-based binder in Phase 3 being developed by Opko Health, Inc., PT20, an iron-based binder in Phase 3 being developed by Shield Therapeutics, AP-301 in Phase 2 being developed by Alebund Pharmaceutical (Hong Kong) Limited, and lanthanum dioxycarbonate (Renazorb), which has demonstrated pharmacodynamic bioequivalence to Fosrenol. Renazorb is being developed by Unicycive Therapeutics, which has announced its plans to file an NDA via the 505(b)(2) pathway in mid-2023. Additionally, Chugai and Alebund are developing EOS789, an inhibitor of phosphate transporters NaPi-2b, PiT-1, and PiT-2, thus far studied in a phase 1 clinical trial.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our competitors' drugs may be less expensive and more effective than our product candidates, or may render our product candidates obsolete. It is also possible that our competitors will commercialize competing drugs or treatments before we or our collaboration partners can launch any products developed from our product candidates. We also may face increased competition in the future as new companies enter into our target markets.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may experience difficulties in managing our current activities and growth given our level of managerial, operational, financial and other resources.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manage any commercialization activities in which we may engage effectively;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manage our clinical trials effectively;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manage our internal development efforts effectively while carrying out our contractual obligations to licensors, contractors, collaborators, government agencies and other third parties;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continue to improve our operational, financial and management controls, reporting systems and procedures;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retain and motivate our remaining employees and potentially identify, recruit, and integrate additional employees.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maintain or expand our managerial, operational, financial and other resources to the extent required to manage our development and commercialization activities, our business will be materially adversely affected.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product liability lawsuits are brought against us, we may incur substantial liabilities and may be required to limit commercialization of IBSRELA and/or, if approved, XPHOZAH.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as a result of the clinical testing of our product candidates and our commercial launch of IBSRELA and will face further risk following the commercial launch of XPHOZAH in the second half of 2023, if approved.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decreased demand for the product;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injury to our reputation;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withdrawal of clinical trial participants;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costs to defend the related litigation;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 diversion of management’s time and our resources;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substantial monetary awards to trial participants or patients;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regulatory investigations, product recalls or withdrawals, or labeling, marketing or promotional restrictions;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loss of revenue;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inability to commercialize or co-promote IBSRELA and/or, if approved, XPHOZAH.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attract, retain and motivate our executives, senior management and key personnel, our business will suffer.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employees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our operations and business grow, we may become subject to or affected by new or additional data protection laws and regulations and face increased scrutiny or attention from regulatory authorities. In the U.S., the Health Insurance Portability and Accountability Act of 1996, as amended, and regulations promulgated thereunder (collectively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 associated with data breach litigation.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Virginia, Connecticut, Utah and Colorado, and have been proposed in other states and at the federal level, reflecting a trend toward more stringent privacy legislation in the U.S.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Federal Trade Commission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or may become subject to rapidly evolving data protection laws, rules and regulations in foreign jurisdictions. For example, in Europe, the European Union General Data Protection Regulation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in July 2020, the Court of Justice of the EU (“CJEU”) limited how organizations could lawfully transfer personal data from the EU/EEA to the U.S. by invalidating the Privacy Shield for purposes of international transfers and imposing further restrictions on the use of standard contractual clauses.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2020 have taken a restrictive approach to international data transfers. Relatedly, following the United Kingdom’s withdrawal from the EEA and the European Union, and the expiry of the transition period, companies have had to comply with both the GDPR and the GDPR as incorporated into United Kingdom national law, the latter regime having the ability to separately fine up to the greater of £17.5 million or 4% of global turnover. As we continue to expand into other foreign countries and jurisdictions, we may be subject to additional laws and regulations that may affect how we conduct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pPr>
      <w:r>
        <w:rPr>
          <w:rFonts w:ascii="Times New Roman;sans-serif" w:hAnsi="Times New Roman;sans-serif"/>
          <w:b w:val="false"/>
          <w:color w:val="000000"/>
          <w:sz w:val="20"/>
        </w:rPr>
        <w:t>Our information technology systems and infrastructure, and those of our current and any future collaborators, CROs, contractors and consultants and other third parties on which we rely, are vulnerable to attack, damage and interruption from computer viruses, malware (</w:t>
      </w:r>
      <w:r>
        <w:rPr>
          <w:rFonts w:ascii="Times New Roman;sans-serif" w:hAnsi="Times New Roman;sans-serif"/>
          <w:b w:val="false"/>
          <w:i/>
          <w:color w:val="000000"/>
          <w:sz w:val="20"/>
        </w:rPr>
        <w:t xml:space="preserve">e.g., </w:t>
      </w:r>
      <w:r>
        <w:rPr>
          <w:rFonts w:ascii="Times New Roman;sans-serif" w:hAnsi="Times New Roman;sans-serif"/>
          <w:b w:val="false"/>
          <w:color w:val="000000"/>
          <w:sz w:val="20"/>
        </w:rPr>
        <w:t xml:space="preserve">ransomware), natural disasters, terrorism, war, telecommunication and electrical failures, cyber-attacks or cyber-intrusions over the Internet, phishing attacks and other social engineering schemes, attachments to emails, human error, fraud, denial or degradation of service attacks, sophisticated nation-state and nation-state-supported actors or unauthorized access or use by persons inside our organization, or persons with access to systems inside our organization.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certain of our service providers are from time to time subject to cyberattacks and security incidents. We do not believe that we have experienced any significant system failure, accident or security breach to date, but if such an event were to occur and cause interruptions in our operations, it could result in a material disruption to our business.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We would also be exposed to a risk of loss or litigation and potential liability, which could materially adversely affect our business, results of operations and financial condition.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formed in the past, and may form in the future, collaboration partnerships, joint ventures and/or licensing arrangements, and we may not realize the benefits of such collaborations.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current collaboration partnerships for the commercialization of tenapanor in certain foreign countries, and we may form additional collaboration partnerships, create joint ventures or enter into additional licensing arrangements with third parties in the U.S. and abroad that we believe will complement or augment our existing business. In particular, we have formed collaboration partnerships with Kyowa Kirin for commercialization of tenapanor for hyperphosphatemia in Japan; with Shanghai Fosun Pharmaceutical Industrial Development Co. Ltd. ("Fosun Pharma") for commercialization of tenapanor for hyperphosphatemia and IBS-C in China and related territories; in Canada with Knight Therapeutics, Inc. ("Knight") for commercialization of tenapanor for IBS-C and hyperphosphatemia; and with METiS Therapeutics, Inc. (“METiS”) for the development and commercialization of a portfolio of TGR5 agonist compounds for all therapeutic areas.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There is no guarantee that our current collaboration partnerships or any such arrangements we enter into in the future will be successful, or that any collaboration partner will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 sufficient resources to the development, regulatory approval, and commercialization effort for such products, or that such alliances will result in us achieving revenues that justify such transactions. We received a CRL from the FDA regarding our NDA for XPHOZAH. Following the OND’s decision to grant our appeal of the CRL, we resubmitted our NDA for XPHOZAH in mid-April 2023. There can be no assurances that the granting of our appeal of the CRL and resubmission of our NDA will result in approval of our NDA for XPHOZAH. Even if we are successful in obtaining approval for the NDA, the delay in obtaining such approval may result in delay in the regulatory process for our partners, which could have a material adverse effect on our business and 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ongoing effects of the COVID-19 pandemic, or any other outbreak of epidemic diseases, or the perception of their effects, could have a material adverse effect on our business, financial condition, results of operations or cash flows.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Outbreaks of epidemic, pandemic, or contagious diseases, such as the current novel coronavirus (“COVID-19”) pandemic or, historically, the Ebola virus, Middle East Respiratory Syndrome, Severe Acute Respiratory Syndrome or the H1N1 virus, could disrupt our business. Economic and health conditions related to the COVID-19 pandemic in the U.S. and across most of the globe remain uncertain and continue to evolve. The continuing effects of the coronavirus pandemic may result in delays in the manufacture of tenapanor, or in the delivery of key intermediates or raw materials required to manufacture tenapanor or delays in clinical development activities by us, or our collaboration partners. Such effects could also materially and negatively impact our ability to successfully commercialize IBSRELA and/or, if approved, XPHOZAH, or the ability of our collaboration partners to successfully commercialize such products, if approved for marketing and sale by the foreign regulatory authorities, including our ability, and that of our collaboration partners to educate physicians and patients about the benefits, administration and use of the product.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Although we have reopened our offices and invited our personnel to return to the office, we continue to permit our personnel to work remotely, which could negatively impact productivity, or disrupt, delay, or otherwise adversely impact our business. In addition, this could increase our cyber-security risk, create data accessibility concerns, and make us more susceptible to communication disruptions, any of which could adversely impact our business operations or delay necessary interactions with local and federal regulators, ethics committees, manufacturing sites, research or clinical trial sites and important agencies and contractors.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FDA and comparable foreign regulatory agencies may continue to experience operational interruptions or delays, which may impact timelines for regulatory submission, trial initiation and regulatory approval.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full effects of the COVID-19 remain unknown. The extent to which the outbreak may continue to impact our business, including, our commercialization and manufacturing will depend on future developments, which are highly uncertain and cannot be predicted with confidence, such as access to physician offices for our commercial and medical teams, business closures or supply chain or business disruptions.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engage in strategic transactions that could impact our liquidity, increase our expenses and present significant distractions to our management.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and if approved, XPHOZAH, and/or the development of discovery and developmental assets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up-front, milestone and royalty payments, equity investments and financial support of new research and development candidates including increase of personnel, all of which may be substantial;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exposure to unknown liabilities;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disruption of our business and diversion of our management’s time and attention in order to develop acquired products, product candidates or technologies;</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incurrence of substantial debt or dilutive issuances of equity securities;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higher-than-expected acquisition and integration costs;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write-downs of assets or goodwill or impairment charges;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increased amortization expenses;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difficulty and cost in combining the operations and personnel of any acquired businesses with our operations and personnel;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impairment of relationships with key suppliers or customers of any acquired businesses due to changes in management and ownership;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inability to retain key employees of any acquired businesses.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CMOs manufacture tenapanor API outside of the U.S., and we may seek and obtain approval to commercialize IBSRELA and XPHOZAH outside of the U.S., and as a result a variety of risks associated with international operations could materially adversely affect our business.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or our collaboration partners may decide to seek marketing approval for IBSRELA or XPHOZAH outside the U.S. Additionally, we have contractual agreements with CMOs involving the manufacture of tenapanor API outside of the U.S., and may otherwise engage in business outside of the U.S., including entering into additional contractual agreements with third parties. We are subject to additional risks related to entering these international business markets and relationships, including: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different regulatory requirements for drug approvals in foreign countries;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differing U.S. and foreign drug import and export rules;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reduced protection for intellectual property rights in foreign countries;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unexpected changes in tariffs, trade barriers and regulatory requirements;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different reimbursement systems, and different competitive drugs;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economic weakness, including inflation, or political instability in particular foreign economies and markets;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compliance with tax, employment, immigration and labor laws for employees living or traveling abroad;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foreign taxes, including withholding of payroll taxes;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foreign currency fluctuations, which could result in increased operating expenses and reduced revenues, and other obligations incident to doing business in another country;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workforce uncertainty in countries where labor unrest is more common than in the U.S.;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production shortages resulting from any events affecting raw material supply or manufacturing capabilities abroad;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potential liability resulting from development work conducted by these distributors;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business interruptions resulting from geopolitical actions, including war and terrorism, or natural disasters.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involves the use of hazardous materials and we and third-parties with whom we contract must comply with environmental laws and regulations, which can be expensive and restrict how we do business.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manufacturers and suppliers with whom we may contract are subject to laws and regulations governing the use, manufacture, storage, handling, and disposal of hazardous materials, including the components of our tenapanor and our product candidates.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business operations, and could result in environmental damage requiring costly clean-up and resulting in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adversely affected by earthquakes or other natural disasters and our business continuity and disaster recovery plans may not adequately protect us from a serious disaster.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occupy a leased facility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natural disaster, power outage or other event occurred that prevented us from using all or a significant portion of our leased facilities, including our California facility, that damaged critical infrastructure supporting access to systems such as our enterprise financial systems or manufacturing resource planning and enterprise quality systems, or that otherwise disrupted operations, it may be difficult or time consuming to restore some business of our business functions. The disaster recovery and business continuity plans we have in place currently are not wholistic in coverage and may prove inadequate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Government Regulation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Despite having received regulatory approval for IBSRELA, and even if we receive regulatory approval for XPHOZAH, we will be subject to ongoing regulatory obligations and continued regulatory review, which may result in significant additional expense. Additionally, IBSRELA and, if approved, XPHOZAH could be subject to other restrictions and market withdrawal, and we may be subject to penalties if we fail to comply with regulatory requirements or experience unanticipated problems with our products.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a drug is approved by the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CMOs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warning or untitled letters or fines;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restrictions on the marketing or manufacturing of the product, withdrawal of the product from the market or voluntary or mandatory product recalls;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injunctions or the imposition of civil or criminal penalties;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suspension or revocation of existing regulatory approvals;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suspension of any of our ongoing clinical trials;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refusal to approve pending applications or supplements to approved applications submitted by us;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restrictions on our or our CMOs’ operations; or</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product seizure or detention, or refusal to permit the import or export of products.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if approved, XPHOZAH. If regulatory sanctions are applied or if regulatory approval is withdrawn, the value of our company and our operating results will be adversely affected.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cannot predict the likelihood, nature or extent of government regulation that may arise from future legislation or administrative or executive action, either in the U.S. or abroad.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Disruptions at the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ability of the FDA to review and process regulatory submissions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agencies may also slow the time necessary for new drugs to be reviewed and/or approved by necessary government agencies, which would adversely affect our business.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and our CMOs are subject to significant regulation with respect to manufacturing IBSRELA and XPHOZAH. The manufacturing facilities on which we rely may not continue to meet regulatory requirements or may not be able to meet supply demands.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entities involved in the preparation of product for commercial sale, or product candidates for clinical trials, including our existing CMOs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or product candidates that may not be detectable in final product testing. We or our CMOs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CMOs must pass a pre-approval inspection for compliance with the applicable regulations as a condition of regulatory approval of our product candidates. In addition, the regulatory authorities may, at any time, audit or inspect a manufacturing facility involved with the manufacture of our product or the associated quality systems for compliance with the regulations applicable to the activities being conducted. Although we oversee the CMOs, we cannot control the manufacturing process of, and are completely dependent on, our CMOs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CMOs to maintain adequate quality control, quality assurance and qualified personnel.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regulatory authorities also may, at any time following approval of a product for sale, audit the manufacturing facilities of our CMOs.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comply or are found to have failed to comply with FDA and other regulations related to the promotion of our products for unapproved uses, we could be subject to criminal penalties, substantial fines or other sanctions and damage awards.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regulations relating to the promotion of products for unapproved uses are complex and subject to substantial interpretation by the FDA and other government agencies. With respect to the commercialization of IBSRELA and/or, if approved, XPHOZAH we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have implemented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FTC and various state Attorneys General offices. These investigations have alleged violations of various federal and state laws and regulations, including claims asserting antitrust violations, violations of the Federal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IBSRELA and/or, if approved, XPHOZAH may cause or contribute to adverse medical events that we are required to report to regulatory agencies and if we fail to do so we could be subject to sanctions that would materially harm our business.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report certain information about adverse medical events if our products may have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employees, independent contractors, principal investigators, CROs, collaboration partners, consultants, CMOs and vendors may engage in misconduct or other improper activities, including noncompliance with regulatory standards and requirements.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that our employees, independent contractors, principal investigators, CROs, collaboration partners, consultants, CMOs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Failure to obtain regulatory approvals in foreign jurisdictions would prevent us from marketing our products internationally.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granted, the EMA or the competent authorities of the Member States of the EEA make an assessment of the risk-benefit balance of the product on the basis of scientific criteria concerning its quality, safety and efficacy.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and our collaboration partners are subject to healthcare laws, regulation and enforcement; our failure or the failure of any such collaboration partners to comply with these laws could have a material adverse effect on our results of operations and financial conditions.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collaboration partners are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federal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statutes;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federal Physician Payments Sunshine Act requirements under the Affordable Care Act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state law equivalents of each of the above federal laws, such as anti-kickback and false claims laws which may apply to items or services reimbursed by any third-party payor, including commercial insurers;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state laws that require drug manufacturers to report information related to payments and other transfers of value to physicians and other healthcare providers or pricing information and marketing expenditures; and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European and other foreign law equivalents of each of the laws, including reporting requirements detailing interactions with and payments to healthcare providers.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Legislative or regulatory healthcare reforms in the U.S. may make it more difficult and costly for us to obtain regulatory clearance or approval of our product candidates and to produce, market and distribute our products after clearance or approval is obtained.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additional clinical trials to be conducted prior to obtaining approval;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to manufacturing methods;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recall, replacement, or discontinuance of one or more of our products;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additional record keeping.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full impact of recent healthcare reform and other changes in the healthcare industry and in healthcare spending is currently unknown, and may adversely affect our business model. In the U.S., the ACA was enacted in 2010 with a goal of reducing the cost of healthcare and substantially changing the way healthcare is financed by both government and private insurers. Since its enactment, there have been judicial, executive and Congressional challenges to certain aspects of the ACA.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legislative changes have been proposed and adopted in the U.S. since the ACA was enacted. These new laws, among other things, included aggregate reductions of Medicare payments to providers that will remain in effect through 2032, with the exception of a temporary suspension from May 1, 2020 through March 31, 2022,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More recently, on March 11, 2021, President Biden signed the American Rescue Plan Act of 2021 into law, which eliminates the statutory Medicaid drug rebate cap, currently set at 100% of a drug’s average manufacturer price, beginning January 1, 2024.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On August 16, 2022, the Inflation Reduction Act of 2022 (the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our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pStyle w:val="TextBody"/>
        <w:spacing w:before="0" w:after="0"/>
        <w:rPr/>
      </w:pPr>
      <w:r>
        <w:rPr/>
      </w:r>
    </w:p>
    <w:p>
      <w:pPr>
        <w:pStyle w:val="TextBody"/>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commercial launch of IBSRELA, 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will be obligated to report on a monthly and quarterly basis to CMS, the federal agency that administers the MDRP and Medicare programs. For the MDRP, these data include the average manufacturer price (“AMP”) and the best price (“BP”)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the U.S. Department of Health and Human Services on the methodologies used by manufacturers to calculate AMP, and BP,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Failure to make necessary disclosures and/or to identify overpayments could result in allegations against us under the Federal False Claims Act and other laws and regulations. </w:t>
      </w:r>
    </w:p>
    <w:p>
      <w:pPr>
        <w:pStyle w:val="TextBody"/>
        <w:spacing w:before="0" w:after="0"/>
        <w:ind w:left="0" w:right="0" w:firstLine="560"/>
        <w:jc w:val="both"/>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Federal law requires that a manufacturer that participates in the MDRP also participate in the Public Health Service’s 340B drug pricing program (“340B program”) in order for federal funds to be available for the manufacturer’s drugs under Medicaid. We participate in the 340B program, which is administered by the Health Resources and Services Administration (“HRSA”), and requires us to charge statutorily defined covered entities no more than the 340B “ceiling price” for our covered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drug as calculated under the MDRP. In general, products subject to Medicaid price reporting and rebate liability are also subject to the 340B ceiling price calculation and discount requirement. We are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w:t>
      </w:r>
    </w:p>
    <w:p>
      <w:pPr>
        <w:pStyle w:val="TextBody"/>
        <w:spacing w:before="0" w:after="0"/>
        <w:ind w:left="0" w:right="0" w:firstLine="560"/>
        <w:jc w:val="both"/>
        <w:rPr/>
      </w:pPr>
      <w:r>
        <w:rPr/>
      </w:r>
    </w:p>
    <w:p>
      <w:pPr>
        <w:pStyle w:val="TextBody"/>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be eligible to have drug products paid for with federal funds under Medicaid and purchased by certain federal agencies and grantees, we also participate in the U.S. Department of Veterans Affairs (“VA”) Federal Supply Schedule (“FSS”) pricing program. Under the VA/FSS program, we are obligated to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are also required to pay rebates on products purchased by military personnel and dependents through the TRICARE retail pharmacy program. If we fail to provide timely information or are found to have knowingly submitted false information, we may be subject to civil monetary penalties. </w:t>
      </w:r>
    </w:p>
    <w:p>
      <w:pPr>
        <w:pStyle w:val="TextBody"/>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if approved and launched, XPHOZAH,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w:t>
      </w:r>
    </w:p>
    <w:p>
      <w:pPr>
        <w:pStyle w:val="TextBody"/>
        <w:spacing w:before="0" w:after="0"/>
        <w:jc w:val="both"/>
        <w:rPr/>
      </w:pPr>
      <w:r>
        <w:rPr/>
      </w:r>
    </w:p>
    <w:p>
      <w:pPr>
        <w:pStyle w:val="TextBody"/>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or, if approved and launched, XPHOZAH. We cannot offer any assurances that our submissions will not be found to be incomplete or incorrect.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success will depend on our ability to obtain, maintain and protect our intellectual property rights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and ability to compete depend in part on our ability to obtain, maintain and enforce issued patents, trademarks and other intellectual property rights and proprietary technology in the U.S.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in part on our portfolio of issued and pending patent applications in the U.S.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Patents have a limited lifespan. In the U.S.,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and we cannot ensure that: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Any of our patents, or any of our pending patent applications, if issued, will include claims having a scope sufficient to protect our products or product candidates;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Any of our pending patent applications will issue as patents;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were the first to make the inventions covered by each of our patents and pending patent applications;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were the first to file patent applications for these inventions;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Others will not develop, manufacture and/or commercialize similar or alternative products or technologies that do not infringe our patents;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Any of our challenged patents will be found to ultimately be valid and enforceable;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Any patents issued to us will provide a basis for an exclusive market for our commercially viable products or technologies will provide us with any competitive advantages or will not be challenged by third parties;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We will develop additional proprietary technologies or products that are separately patentable; or</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Our commercial activities or products will not infringe upon the patents of others.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become subject to third-party claims alleging infringement, misappropriation or violation of such third parties’ patents or other intellectual property rights and/or third-party claims seeking to invalidate our patents, which would be costly, time consuming and, if successfully asserted against us, delay or prevent the development, manufacture or commercialization of our products or product candidates.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 party claim of patent infringement. Even if we are successful in defending against such claims, such litigation can be expensive and time consuming to litigate and would divert management’s attention from our core business. Any of these events could harm our business significantly.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infringement claims against us, third parties may also raise similar claims before administrative bodies in the U.S. or abroad. Such mechanisms include reexamination, post grant review, inter parties review, derivation or opposition proceedings before the United States Patent and Trademark Office (“USPTO”) or other jurisdictional body relating to our intellectual property rights or the intellectual property rights of others. If third parties prepare and file patent applications in the U.S.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our intellectual property related to IBSRELA, XPHOZAH, RDX013 or any future product candidates is not adequate or if we are not able to successfully enforce our intellectual property rights, the commercial value of IBSRELA, if approved, XPHOZAH, or other product candidates may be adversely affected and we may not be able to compete effectively in our market.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strength of patents in the biotechnology and pharmaceutical field involves complex legal and scientific questions and can be uncertain. The patent applications that we own or license may fail to result in issued patents in the U.S.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XPHOZAH, RDX013 or any future product candidates is successfully challenged, then our ability to commercialize such product could be negatively affected, and we may face unexpected competition that could have a material adverse impact on our business. Further, we have reported that we have completed the data analysis from our Phase 2 clinical trial evaluating the safety and efficacy of RDX013 for the treatment of hyperkalemia, and that we currently expect that the next steps for the RDX013 program will be to evaluate a new formulation that potentially enhances subject compliance and the efficacy of RDX013 in an additional Phase 2 clinical study. We currently expect to delay further development of RDX013 until such time as we have determined that our available resources support conducting such additional formulation work and an additional clinical study. As a result of this delay in our development program for RDX013, the period of time during which we or our collaboration partners could market RDX013 under patent protection would be reduced.</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product or product candidate, the defendant could counterclaim that our patent is invalid and/or unenforceable. In patent litigation in the U.S.,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or a product candidate, we would lose at least part, and perhaps all, of the patent protection on such product or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composition and use of IBSRELA are currently claimed by four (4) issued patents that are listed in the FDA’s Orange Book, we cannot assure that we will be successful in defending against third parties asserting that any of our patents are invalid or otherwise unenforceable or not infringed by the third parties’ products, or in competing against third parties seeking to introduce generic equivalents of IBSRELA or any of our future products.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the Hatch-Waxman Act provides non-patent regulatory exclusivity for five years from the date of the first FDA approval of a new chemical entity (“NCE”) in a NDA. The FDA is prohibited during those five years from approving an Abbreviated New Drug Application (“ANDA”) that references the NDA that has been granted NCE exclusivity. However, if a patent is included in the FDA Orange Book, a generic manufacturer may file an ANDA that references a NDA product with granted NCE exclusivity after four years from the NDA approval date accompanied by a Paragraph IV certification asserting that the Orange Book patents are invalid or unenforceable, or that the generic product does not infringe the Orange Book patents. The Hatch-Waxman Act does not prevent the filing or approval of another full NDA where the NDA applicant has conducted its own pre-clinical and adequate and well-controlled clinical trials to independently demonstrate safety and effectiveness.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cases where NCE exclusivity has been granted for an NDA, as in the case of IBSRELA, if an ANDA sponsor has provided a Paragraph IV certification to the FDA when filing an ANDA, the ANDA sponsor must also send a notice to the NCE NDA owner. The NCE NDA owner may then initiate a patent infringement lawsuit in response to the Paragraph IV certification. The filing of patent infringement lawsuit within 45 days after the NCE NDA owner’s receipt of a notice of the Paragraph IV certification automatically prevents the FDA from approving the ANDA until the earlier of 30 months after the NCE NDA owner’s receipt of the Paragraph IV certification notice or a final decision in the infringement case in favor of the ANDA sponsor. There can be no assurances that an ANDA that references our IBSRELA NDA and includes a Paragraph IV certification will not be filed when permitted, or that we will be successful in enforcing our Orange Book listed patents against such ANDA sponsor.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Although we have obtained patent term extension in the U.S. under the Hatch-Waxman Act, extending the term of marketing exclusivity for tenapanor, if we do not obtain patent term extension in foreign countries under similar legislation, our business may be materially harmed.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approval by the FDA for our NDA to market tenapanor for IBS-C, we obtained patent term restoration under the Hatch-Waxman Act until August 1, 2033 for U.S. patent no. 8,541,448 covering our approved product or the use thereof. The Hatch-Waxman Act allows a maximum of one patent to be extended per FDA approved product. Patent term extension also may be available in certain foreign countries upon regulatory approval of our product candidates. Despite seeking patent term extension for tenapanor, we may not be granted patent term extension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obtain patent term extension or restoration in any particular foreign country, or the term of any such extension is less than we request, the period during which we will have the right to exclusively market our product in such foreign country will be shortened and our competitors may obtain approval of competing products following our patent expiration, and our revenue could be reduced, possibly materially.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enforce our intellectual property rights throughout the world.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Europe’s planned Unified Patent Court may, in particular, present uncertainties for our ability to protect and enforce our patent rights against competitors in Europe. In 2012, the European Patent Package (“EU Patent Package”) regulations were passed with the goal of providing a single pan-European Unitary Patent and a new European Unified Patent Court (“UPC”), for litigation involving European patents. Implementation of the EU Patent Package will likely occur in the first half of 2023.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U.S. and foreign countries may affect our ability to obtain and enforce adequate intellectual property protection for our technology.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subject to claims that we or our employees have misappropriated the intellectual property, including know-how or trade secrets, of a third party, or claiming ownership of what we regard as our own intellectual property.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stock price may be volatile and our stockholders may not be able to resell shares of our common stock at or above the price they paid.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is highly volatile and could be subject to wide fluctuations in response to various factors, some of which are beyond our control. These factors include those discussed in this “Risk Factors” section and others such as: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success or lack of success with regards to our commercialization of IBSRELA;</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announcements of regulatory decisions regarding our NDA seeking marketing approval for XPHOZAH;</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success or lack of success with regards to our commercial launch of XPHOZAH, if approved;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results of regulatory inspections of our facilities or those of our CMOs, or specific label restrictions or patient populations for XPHOZAH’s use, if approved, or changes or delays in the regulatory review process;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announcements regarding whether XPHOZAH, if approved, alone or with other oral only medications, will be included in the ESRD prospective payment system, and the time and manner in which such transition is achieved;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announcements relating to our current or future collaboration partnerships;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announcements of therapeutic innovations or new products by us or our competitors;</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adverse actions taken by regulatory agencies with respect to our product label, our clinical trials, manufacturing supply chain or sales and marketing activities;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or developments in laws or regulations applicable to our approved products or our product candidates;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success of our testing and clinical trials;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failure to meet any of our projected timelines or goals with regard to the commercialization of IBSRELA, the commercial launch of XPHOZAH, if approved, or the clinical development and commercialization of any of our product candidates;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success of our efforts to acquire or license or discover additional product candidates;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any intellectual property infringement actions in which we may become involved;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success of our efforts to obtain adequate intellectual property protection for our product candidates;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announcements concerning our competitors or the pharmaceutical industry in general;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achievement of expected product sales and profitability;</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manufacture, supply or distribution shortages;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actual or anticipated fluctuations in our operating results;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FDA or other U.S. or foreign regulatory actions affecting us or our industry or other healthcare reform measures in the U.S.;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financial estimates or recommendations by securities analysts;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trading volume of our common stock;</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sales of our common stock by us, our executive officers and directors or our stockholders in the future;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sales of debt securities and sales or licensing of assets;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general economic and market conditions and overall fluctuations in the U.S. equity markets;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loss of any of our key scientific or management personnel.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sell shares of our common stock in future financings, stockholders may experience immediate dilution and, as a result, our stock price may decline.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 significant legal, accounting and other expenses as a public company, including costs resulting from public company reporting obligations under the Securities Exchange Act of 1934, as amended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Section 404 of The Sarbanes-Oxley Act of 2002 (“Section 404”) and the related rules of the Securities and Exchange Commission (“SEC”) which generally require, among other things, our management to report on the effectiveness of our internal control over financial reporting, subject to certain exceptions applicable to non-accelerated filers. Our compliance with Section 404 requires that we incur substantial expense and expend significant management efforts.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adversely affected by the global economic environment.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presidential elections, other political influences and inflationary pressures. Our results of operations could be adversely affected by general conditions in the global economy and in the global financial markets, including the current inflationary environment and rising interest rates.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currently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 We cannot anticipate all the ways in which the global economic climate and global financial market conditions could adversely impact our business in the future.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Provisions in our charter documents and under Delaware law could discourage a takeover that stockholders may consider favorable and may lead to entrenchment of management.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 classified board of directors with three-year staggered terms, which may delay the ability of stockholders to change the membership of a majority of our board of directors;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no cumulative voting in the election of directors, which limits the ability of minority stockholders to elect director candidates;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required approval of at least two-thirds of the shares entitled to vote to remove a director for cause, and the prohibition on removal of directors without cause;</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of our board of directors to alter our bylaws without obtaining stockholder approval;</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these provisions would apply even if we were to receive an offer that some stockholders may consider beneficial.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Claims for indemnification by our directors and officers may reduce our available funds to satisfy successful third-party claims against us and may reduce the amount of money available to us.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and amended and restated bylaws provide that we will indemnify our directors and officers, in each case to the fullest extent permitted by Delaware law.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permitted by Section 145 of the Delaware General Corporation Law, our amended and restated bylaws and our indemnification agreements that we have entered into with our directors and officers provide that:</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a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We may, in our discretion, indemnify employees and agents in those circumstances where indemnification is permitted by applicable law.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rights conferred in our amended and restated bylaws are not exclusive, and we are authorized to enter into indemnification agreements with our directors, officers, employees and agents and to obtain insurance to indemnify such persons.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We may not retroactively amend our amended and restated bylaw provisions to reduce our indemnification obligations to directors, officers, employees and agents.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do not currently intend to pay dividends on our common stock, and, consequently, our stockholders’ ability to achieve a return on their investment will depend on appreciation in the price of our common stock.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continuing impact of “Brexit” may have a negative effect on our business.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a national referendum and subsequent legislation the United Kingdom formally withdrew from the European Union, commonly referred to as “Brexit” and ratified a trade and cooperation agreement governing its future relationship with the European Union. Among other things, the agreement became effective in 2021, addresses trade, economic arrangements, law enforcement, judicial cooperation and governance. Because the agreement merely sets forth a framework that in many respects requires complex additional bilateral negotiations between the United Kingdom and the European Union significant uncertainty remains about how the precise terms of the relationship between the parties will differ from the terms before withdrawal.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cannot yet predict the full implications of Brexit, including whether it will increase our operational costs or otherwise have a negative effect on our business, financial condition or results of operations, which could reduce the price of our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Unregistered Sales of Equity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Use of Proceeds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Purchases of Equity Securities by the Issuer and Affiliated Purchasers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Trading Plans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During the period from February 27, 2023, to March 31, 2023, our Section 16 officers and directors adopted or terminated contracts, instructions or written plans for the purchase or sale of our securities as noted below:</w:t>
      </w:r>
    </w:p>
    <w:tbl>
      <w:tblPr>
        <w:tblW w:w="10205" w:type="dxa"/>
        <w:jc w:val="left"/>
        <w:tblInd w:w="0" w:type="dxa"/>
        <w:tblCellMar>
          <w:top w:w="28" w:type="dxa"/>
          <w:left w:w="28" w:type="dxa"/>
          <w:bottom w:w="28" w:type="dxa"/>
          <w:right w:w="28" w:type="dxa"/>
        </w:tblCellMar>
      </w:tblPr>
      <w:tblGrid>
        <w:gridCol w:w="1265"/>
        <w:gridCol w:w="973"/>
        <w:gridCol w:w="976"/>
        <w:gridCol w:w="294"/>
        <w:gridCol w:w="294"/>
        <w:gridCol w:w="298"/>
        <w:gridCol w:w="328"/>
        <w:gridCol w:w="328"/>
        <w:gridCol w:w="334"/>
        <w:gridCol w:w="302"/>
        <w:gridCol w:w="302"/>
        <w:gridCol w:w="302"/>
        <w:gridCol w:w="446"/>
        <w:gridCol w:w="446"/>
        <w:gridCol w:w="403"/>
        <w:gridCol w:w="640"/>
        <w:gridCol w:w="441"/>
        <w:gridCol w:w="443"/>
        <w:gridCol w:w="404"/>
        <w:gridCol w:w="404"/>
        <w:gridCol w:w="582"/>
      </w:tblGrid>
      <w:tr>
        <w:trPr/>
        <w:tc>
          <w:tcPr>
            <w:tcW w:w="1265"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r>
      <w:tr>
        <w:trPr/>
        <w:tc>
          <w:tcPr>
            <w:tcW w:w="3214" w:type="dxa"/>
            <w:gridSpan w:val="3"/>
            <w:vMerge w:val="restart"/>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c>
          <w:tcPr>
            <w:tcW w:w="886"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Action</w:t>
            </w:r>
          </w:p>
        </w:tc>
        <w:tc>
          <w:tcPr>
            <w:tcW w:w="990"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c>
          <w:tcPr>
            <w:tcW w:w="2201" w:type="dxa"/>
            <w:gridSpan w:val="6"/>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Arrangement</w:t>
            </w:r>
          </w:p>
        </w:tc>
        <w:tc>
          <w:tcPr>
            <w:tcW w:w="1524"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Shares to be Sold</w:t>
            </w:r>
          </w:p>
        </w:tc>
        <w:tc>
          <w:tcPr>
            <w:tcW w:w="1390"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r>
      <w:tr>
        <w:trPr/>
        <w:tc>
          <w:tcPr>
            <w:tcW w:w="3214" w:type="dxa"/>
            <w:gridSpan w:val="3"/>
            <w:vMerge w:val="continue"/>
            <w:tcBorders>
              <w:top w:val="single" w:sz="8" w:space="0" w:color="000000"/>
              <w:left w:val="single" w:sz="8" w:space="0" w:color="000000"/>
              <w:right w:val="single" w:sz="8" w:space="0" w:color="000000"/>
            </w:tcBorders>
            <w:shd w:fill="auto" w:val="clear"/>
            <w:tcMar>
              <w:bottom w:w="0" w:type="dxa"/>
            </w:tcMar>
            <w:vAlign w:val="center"/>
          </w:tcPr>
          <w:p>
            <w:pPr>
              <w:pStyle w:val="Normal"/>
              <w:rPr/>
            </w:pPr>
            <w:r>
              <w:rPr/>
            </w:r>
          </w:p>
        </w:tc>
        <w:tc>
          <w:tcPr>
            <w:tcW w:w="886"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990"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9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Rule 10b5-1*</w:t>
            </w:r>
          </w:p>
        </w:tc>
        <w:tc>
          <w:tcPr>
            <w:tcW w:w="129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Non-Rule 10b5-1**</w:t>
            </w:r>
          </w:p>
        </w:tc>
        <w:tc>
          <w:tcPr>
            <w:tcW w:w="1524"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390"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r>
      <w:tr>
        <w:trPr/>
        <w:tc>
          <w:tcPr>
            <w:tcW w:w="321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Blanks, Chief Regulatory and Quality Assurance Officer</w:t>
            </w:r>
          </w:p>
        </w:tc>
        <w:tc>
          <w:tcPr>
            <w:tcW w:w="88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9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24, 2023</w:t>
            </w:r>
          </w:p>
        </w:tc>
        <w:tc>
          <w:tcPr>
            <w:tcW w:w="9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295"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45,748 </w:t>
            </w:r>
          </w:p>
        </w:tc>
        <w:tc>
          <w:tcPr>
            <w:tcW w:w="4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15, 2023</w:t>
            </w:r>
          </w:p>
        </w:tc>
      </w:tr>
      <w:tr>
        <w:trPr/>
        <w:tc>
          <w:tcPr>
            <w:tcW w:w="321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Elizabeth Grammer, Esq. Chief Legal and Administrative Officer</w:t>
            </w:r>
          </w:p>
        </w:tc>
        <w:tc>
          <w:tcPr>
            <w:tcW w:w="88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9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24, 2023</w:t>
            </w:r>
          </w:p>
        </w:tc>
        <w:tc>
          <w:tcPr>
            <w:tcW w:w="9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295"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4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15, 2023</w:t>
            </w:r>
          </w:p>
        </w:tc>
      </w:tr>
      <w:tr>
        <w:trPr/>
        <w:tc>
          <w:tcPr>
            <w:tcW w:w="321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Laura Williams, M.D., M.P.H., Chief Medical Officer</w:t>
            </w:r>
          </w:p>
        </w:tc>
        <w:tc>
          <w:tcPr>
            <w:tcW w:w="88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99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24, 2023</w:t>
            </w:r>
          </w:p>
        </w:tc>
        <w:tc>
          <w:tcPr>
            <w:tcW w:w="90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295"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128,876 </w:t>
            </w:r>
          </w:p>
        </w:tc>
        <w:tc>
          <w:tcPr>
            <w:tcW w:w="443"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39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15, 2023</w:t>
            </w:r>
          </w:p>
        </w:tc>
      </w:tr>
      <w:tr>
        <w:trPr/>
        <w:tc>
          <w:tcPr>
            <w:tcW w:w="10205" w:type="dxa"/>
            <w:gridSpan w:val="21"/>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*Intended to satisfy the affirmative defense of Rule 10b5-1(c)</w:t>
            </w:r>
          </w:p>
        </w:tc>
      </w:tr>
      <w:tr>
        <w:trPr/>
        <w:tc>
          <w:tcPr>
            <w:tcW w:w="10205" w:type="dxa"/>
            <w:gridSpan w:val="21"/>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Not intended to satisfy the affirmative defense of Rule 10b5-1(c)</w:t>
            </w:r>
          </w:p>
        </w:tc>
      </w:tr>
    </w:tbl>
    <w:p>
      <w:pPr>
        <w:pStyle w:val="TextBody"/>
        <w:spacing w:before="2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1937"/>
        <w:gridCol w:w="1693"/>
        <w:gridCol w:w="1600"/>
        <w:gridCol w:w="109"/>
        <w:gridCol w:w="109"/>
        <w:gridCol w:w="109"/>
        <w:gridCol w:w="170"/>
        <w:gridCol w:w="170"/>
        <w:gridCol w:w="171"/>
        <w:gridCol w:w="109"/>
        <w:gridCol w:w="109"/>
        <w:gridCol w:w="109"/>
        <w:gridCol w:w="189"/>
        <w:gridCol w:w="189"/>
        <w:gridCol w:w="193"/>
        <w:gridCol w:w="109"/>
        <w:gridCol w:w="109"/>
        <w:gridCol w:w="109"/>
        <w:gridCol w:w="240"/>
        <w:gridCol w:w="240"/>
        <w:gridCol w:w="242"/>
        <w:gridCol w:w="109"/>
        <w:gridCol w:w="109"/>
        <w:gridCol w:w="109"/>
        <w:gridCol w:w="242"/>
        <w:gridCol w:w="242"/>
        <w:gridCol w:w="346"/>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7" w:type="dxa"/>
            <w:tcBorders/>
            <w:shd w:fill="auto" w:val="clear"/>
            <w:vAlign w:val="center"/>
          </w:tcPr>
          <w:p>
            <w:pPr>
              <w:pStyle w:val="TableContents"/>
              <w:spacing w:before="0" w:after="283"/>
              <w:rPr>
                <w:sz w:val="4"/>
                <w:szCs w:val="4"/>
              </w:rPr>
            </w:pPr>
            <w:r>
              <w:rPr>
                <w:sz w:val="4"/>
                <w:szCs w:val="4"/>
              </w:rPr>
            </w:r>
          </w:p>
        </w:tc>
        <w:tc>
          <w:tcPr>
            <w:tcW w:w="1693"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Open Market Sale Agreement</w:t>
              </w:r>
            </w:hyperlink>
            <w:hyperlink r:id="rId4">
              <w:r>
                <w:rPr>
                  <w:rStyle w:val="InternetLink"/>
                </w:rPr>
                <w:t>S</w:t>
              </w:r>
            </w:hyperlink>
            <w:hyperlink r:id="rId5">
              <w:r>
                <w:rPr>
                  <w:rStyle w:val="InternetLink"/>
                </w:rPr>
                <w:t>M</w:t>
              </w:r>
            </w:hyperlink>
            <w:hyperlink r:id="rId6">
              <w:r>
                <w:rPr>
                  <w:rStyle w:val="InternetLink"/>
                  <w:rFonts w:ascii="Times New Roman;sans-serif" w:hAnsi="Times New Roman;sans-serif"/>
                  <w:b w:val="false"/>
                  <w:color w:val="0000FF"/>
                  <w:sz w:val="20"/>
                  <w:u w:val="single"/>
                </w:rPr>
                <w:t>, dated January 18, 2023, by and between Ardelyx, Inc. and Jefferies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Second Amendment to Loan and Security Agreement dated February 9, 2023, by and between Ardelyx, Inc. and SLR Investment Corp.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First Amendment to the Manufacturing Services Agreement dated February 27, 2023, between Ardelyx, Inc. and Patheon Pharmaceuticals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rdx-20230331x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rdx-20230331x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rdx-20230331xex321.htm">
              <w:r>
                <w:rPr>
                  <w:rStyle w:val="InternetLink"/>
                  <w:rFonts w:ascii="Times New Roman;sans-serif" w:hAnsi="Times New Roman;sans-serif"/>
                  <w:b w:val="false"/>
                  <w:color w:val="0000FF"/>
                  <w:sz w:val="20"/>
                  <w:u w:val="single"/>
                </w:rPr>
                <w:t>Certification of Chief Executive Officer and Chief Financial Officer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formatted in Inline Extensible Business Reporting Language (XBRL): (i) Condensed Balance Sheets as of March 31, 2023 and December 31, 2022, (ii) Condensed Statements of Operations and Comprehensive Loss for the three months ended March 31, 2023 and 2022, (iii) Condensed Statements of Cash Flows for the three months ended March 31, 2023 and 2022, and (iv) Notes to Unaudited Condensed Financial Statements.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spacing w:lineRule="auto" w:line="288" w:before="240" w:after="283"/>
        <w:ind w:left="0" w:right="0" w:hanging="360"/>
        <w:jc w:val="both"/>
        <w:rPr>
          <w:color w:val="000000"/>
        </w:rPr>
      </w:pPr>
      <w:r>
        <w:rPr>
          <w:color w:val="000000"/>
        </w:rPr>
        <w:t>††    </w:t>
      </w:r>
      <w:r>
        <w:rPr>
          <w:rFonts w:ascii="Times New Roman;sans-serif" w:hAnsi="Times New Roman;sans-serif"/>
          <w:b w:val="false"/>
          <w:color w:val="000000"/>
          <w:sz w:val="20"/>
        </w:rPr>
        <w:t>Certain portions of this exhibit have been redacted pursuant to Item 601(b)(10) of Regulation S-K. A copy of the omitted portions will be furnished supplementally to the Securities and Exchange Commission upon request.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240" w:after="283"/>
        <w:jc w:val="both"/>
        <w:rPr/>
      </w:pPr>
      <w:hyperlink w:anchor="iea6a0b1ea655406093eb9e951c03313e_10">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686" w:type="dxa"/>
        <w:jc w:val="left"/>
        <w:tblInd w:w="0" w:type="dxa"/>
        <w:tblCellMar>
          <w:top w:w="28" w:type="dxa"/>
          <w:left w:w="28" w:type="dxa"/>
          <w:bottom w:w="28" w:type="dxa"/>
          <w:right w:w="28" w:type="dxa"/>
        </w:tblCellMar>
      </w:tblPr>
      <w:tblGrid>
        <w:gridCol w:w="591"/>
        <w:gridCol w:w="520"/>
        <w:gridCol w:w="523"/>
        <w:gridCol w:w="194"/>
        <w:gridCol w:w="194"/>
        <w:gridCol w:w="194"/>
        <w:gridCol w:w="1302"/>
        <w:gridCol w:w="1302"/>
        <w:gridCol w:w="1866"/>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c>
          <w:tcPr>
            <w:tcW w:w="1866"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Ardelyx, Inc.</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 2023</w:t>
            </w:r>
          </w:p>
        </w:tc>
        <w:tc>
          <w:tcPr>
            <w:tcW w:w="5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Felsch</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Robert Felsch</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Vice President and Chief Accounting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 Michael Raab, certify that: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Ardelyx, Inc.;</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504" w:type="dxa"/>
        <w:jc w:val="left"/>
        <w:tblInd w:w="0" w:type="dxa"/>
        <w:tblCellMar>
          <w:top w:w="28" w:type="dxa"/>
          <w:left w:w="28" w:type="dxa"/>
          <w:bottom w:w="28" w:type="dxa"/>
          <w:right w:w="28" w:type="dxa"/>
        </w:tblCellMar>
      </w:tblPr>
      <w:tblGrid>
        <w:gridCol w:w="591"/>
        <w:gridCol w:w="520"/>
        <w:gridCol w:w="523"/>
        <w:gridCol w:w="109"/>
        <w:gridCol w:w="109"/>
        <w:gridCol w:w="109"/>
        <w:gridCol w:w="134"/>
        <w:gridCol w:w="134"/>
        <w:gridCol w:w="136"/>
        <w:gridCol w:w="1210"/>
        <w:gridCol w:w="1210"/>
        <w:gridCol w:w="1719"/>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719"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Raab</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Michael Raab</w:t>
              <w:br/>
              <w:t>President, Chief Executive Officer and Director</w:t>
              <w:b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 Justin Renz, certify that: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Ardelyx, Inc.;</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665" w:type="dxa"/>
        <w:jc w:val="left"/>
        <w:tblInd w:w="0" w:type="dxa"/>
        <w:tblCellMar>
          <w:top w:w="28" w:type="dxa"/>
          <w:left w:w="28" w:type="dxa"/>
          <w:bottom w:w="28" w:type="dxa"/>
          <w:right w:w="28" w:type="dxa"/>
        </w:tblCellMar>
      </w:tblPr>
      <w:tblGrid>
        <w:gridCol w:w="591"/>
        <w:gridCol w:w="520"/>
        <w:gridCol w:w="523"/>
        <w:gridCol w:w="109"/>
        <w:gridCol w:w="109"/>
        <w:gridCol w:w="109"/>
        <w:gridCol w:w="134"/>
        <w:gridCol w:w="134"/>
        <w:gridCol w:w="136"/>
        <w:gridCol w:w="965"/>
        <w:gridCol w:w="965"/>
        <w:gridCol w:w="1370"/>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Justin Renz</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Justin Renz</w:t>
              <w:br/>
              <w:t>Chief Financial &amp; Operations Officer</w:t>
              <w:b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 SECTION 906</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Ardelyx, Inc. (the “Company”) on Form 10-Q for the period ending March 31, 2023, as filed with the Securities and Exchange Commission on the date hereof (the “Report”), Michael Raab, President and Chief Executive Officer of the Company, and Justin Renz, Chief Financial &amp; Operations Officer of the Company, respectively, do each hereby certify, pursuant to 18 U.S.C. Section 1350, as adopted pursuant to Section 906 of the Sarbanes-Oxley Act of 2002, that: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 of operations of the Company.</w:t>
      </w:r>
    </w:p>
    <w:tbl>
      <w:tblPr>
        <w:tblW w:w="6504" w:type="dxa"/>
        <w:jc w:val="left"/>
        <w:tblInd w:w="0" w:type="dxa"/>
        <w:tblCellMar>
          <w:top w:w="28" w:type="dxa"/>
          <w:left w:w="28" w:type="dxa"/>
          <w:bottom w:w="28" w:type="dxa"/>
          <w:right w:w="28" w:type="dxa"/>
        </w:tblCellMar>
      </w:tblPr>
      <w:tblGrid>
        <w:gridCol w:w="591"/>
        <w:gridCol w:w="520"/>
        <w:gridCol w:w="523"/>
        <w:gridCol w:w="109"/>
        <w:gridCol w:w="109"/>
        <w:gridCol w:w="109"/>
        <w:gridCol w:w="134"/>
        <w:gridCol w:w="134"/>
        <w:gridCol w:w="136"/>
        <w:gridCol w:w="1210"/>
        <w:gridCol w:w="1210"/>
        <w:gridCol w:w="1719"/>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719"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Raab</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Michael Raab</w:t>
              <w:br/>
              <w:t>President, Chief Executive Officer and Director</w:t>
              <w:br/>
              <w:t>(Principal Executive Officer)</w:t>
            </w:r>
          </w:p>
        </w:tc>
      </w:tr>
    </w:tbl>
    <w:tbl>
      <w:tblPr>
        <w:tblW w:w="5665" w:type="dxa"/>
        <w:jc w:val="left"/>
        <w:tblInd w:w="0" w:type="dxa"/>
        <w:tblCellMar>
          <w:top w:w="28" w:type="dxa"/>
          <w:left w:w="28" w:type="dxa"/>
          <w:bottom w:w="28" w:type="dxa"/>
          <w:right w:w="28" w:type="dxa"/>
        </w:tblCellMar>
      </w:tblPr>
      <w:tblGrid>
        <w:gridCol w:w="591"/>
        <w:gridCol w:w="520"/>
        <w:gridCol w:w="523"/>
        <w:gridCol w:w="109"/>
        <w:gridCol w:w="109"/>
        <w:gridCol w:w="109"/>
        <w:gridCol w:w="134"/>
        <w:gridCol w:w="134"/>
        <w:gridCol w:w="136"/>
        <w:gridCol w:w="965"/>
        <w:gridCol w:w="965"/>
        <w:gridCol w:w="1370"/>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Justin Renz</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Justin Renz</w:t>
              <w:br/>
              <w:t>Chief Financial &amp; Operations Officer</w:t>
              <w:br/>
              <w:t>(Principal Financial Officer)</w:t>
            </w:r>
          </w:p>
        </w:tc>
      </w:tr>
    </w:tbl>
    <w:p>
      <w:pPr>
        <w:pStyle w:val="TextBody"/>
        <w:spacing w:before="200" w:after="283"/>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437402/000119312523010411/d429337dex12.htm" TargetMode="External"/><Relationship Id="rId4" Type="http://schemas.openxmlformats.org/officeDocument/2006/relationships/hyperlink" Target="http://www.sec.gov/Archives/edgar/data/1437402/000119312523010411/d429337dex12.htm" TargetMode="External"/><Relationship Id="rId5" Type="http://schemas.openxmlformats.org/officeDocument/2006/relationships/hyperlink" Target="http://www.sec.gov/Archives/edgar/data/1437402/000119312523010411/d429337dex12.htm" TargetMode="External"/><Relationship Id="rId6" Type="http://schemas.openxmlformats.org/officeDocument/2006/relationships/hyperlink" Target="http://www.sec.gov/Archives/edgar/data/1437402/000119312523010411/d429337dex12.htm" TargetMode="External"/><Relationship Id="rId7" Type="http://schemas.openxmlformats.org/officeDocument/2006/relationships/hyperlink" Target="http://www.sec.gov/Archives/edgar/data/1437402/000162828023006041/slr-ardelyxxsecondamendmen.htm" TargetMode="External"/><Relationship Id="rId8" Type="http://schemas.openxmlformats.org/officeDocument/2006/relationships/hyperlink" Target="http://www.sec.gov/Archives/edgar/data/1437402/000162828023006041/ardelyx_psgxmsaamendment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48057</Words>
  <CharactersWithSpaces>312119</CharactersWithSpaces>
  <Paragraphs>2296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