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90"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680" w:type="dxa"/>
            <w:vAlign w:val="bottom"/>
            <w:gridSpan w:val="6"/>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1"/>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94555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03/03/2015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6,075</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0.54</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8"/>
                <w:szCs w:val="18"/>
                <w:color w:val="0000FF"/>
              </w:rPr>
              <w:t>6,671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03/03/2015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6,075</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15.5963</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3"/>
          </w:tcPr>
          <w:p>
            <w:pPr>
              <w:jc w:val="center"/>
              <w:ind w:right="359"/>
              <w:spacing w:after="0"/>
              <w:rPr>
                <w:sz w:val="20"/>
                <w:szCs w:val="20"/>
                <w:color w:val="auto"/>
              </w:rPr>
            </w:pPr>
            <w:r>
              <w:rPr>
                <w:rFonts w:ascii="Arial" w:cs="Arial" w:eastAsia="Arial" w:hAnsi="Arial"/>
                <w:sz w:val="18"/>
                <w:szCs w:val="18"/>
                <w:color w:val="0000FF"/>
              </w:rPr>
              <w:t>596</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0.54</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03/03/2015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6,075</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08/11/2021</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6,075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137,658</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December 26,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596 shares acquired under the Issuer's Employee Stock Purchase Plan on February 27, 2015.</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$15.48 to $16.00,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is immediately exercisable in full, but the shares subject thereto vest according to the following schedule: Twenty-five percent (25%) of the shares subject to the option vest on the first anniversary measured from September 1, 2011, and the remaining shares subject to the option vest in 36 successive, equal monthly installments thereafter, subject to the Reporting Person's continued employment or service relationship with the Issuer on each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w:t>
      </w:r>
      <w:r>
        <w:rPr>
          <w:sz w:val="20"/>
          <w:szCs w:val="20"/>
          <w:color w:val="auto"/>
        </w:rPr>
        <w:tab/>
      </w:r>
      <w:r>
        <w:rPr>
          <w:rFonts w:ascii="Arial" w:cs="Arial" w:eastAsia="Arial" w:hAnsi="Arial"/>
          <w:sz w:val="15"/>
          <w:szCs w:val="15"/>
          <w:color w:val="0000FF"/>
        </w:rPr>
        <w:t>03/05/2015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2019-12-08T21:07:48Z</dcterms:created>
  <dcterms:modified xsi:type="dcterms:W3CDTF">2019-12-08T21:07:48Z</dcterms:modified>
</cp:coreProperties>
</file>