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2823266.xml.htm"/>
      <w:bookmarkStart w:id="1" w:name="kswkform4_16928232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RAAB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CEO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11,419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3.5518</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876,236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24,364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Trust</w:t>
            </w:r>
            <w:r>
              <w:rPr>
                <w:rFonts w:ascii="Times;serif" w:hAnsi="Times;serif"/>
                <w:color w:val="008000"/>
                <w:position w:val="7"/>
                <w:sz w:val="16"/>
                <w:sz w:val="20"/>
                <w:shd w:fill="FFFFFF" w:val="clear"/>
              </w:rPr>
              <w:t>(3)</w:t>
            </w:r>
            <w:r>
              <w:rPr/>
              <w:t xml:space="preserve"> </w:t>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Trust</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in prices ranging from $3.511 to $3.551843,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directly held by Michael G. Raab, Trustee of the Michael G. Raab Living Trust dated July 25, 2012.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owned directly by trusts for the benefit of the Reporting Person's children.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Michael Raab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21402" TargetMode="External"/><Relationship Id="rId4" Type="http://schemas.openxmlformats.org/officeDocument/2006/relationships/hyperlink" Target="http://www.sec.gov/cgi-bin/browse-edgar?action=getcompany&amp;CIK=00014374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723</Words>
  <Characters>3899</Characters>
  <CharactersWithSpaces>4551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