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903605</wp:posOffset>
            </wp:positionH>
            <wp:positionV relativeFrom="page">
              <wp:posOffset>157480</wp:posOffset>
            </wp:positionV>
            <wp:extent cx="57543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2603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64770</wp:posOffset>
            </wp:positionV>
            <wp:extent cx="1431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96520</wp:posOffset>
            </wp:positionV>
            <wp:extent cx="14319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82550</wp:posOffset>
            </wp:positionV>
            <wp:extent cx="1431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ARDELYX,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73025</wp:posOffset>
            </wp:positionV>
            <wp:extent cx="14319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ectPr>
          <w:pgSz w:w="11900" w:h="16838" w:orient="portrait"/>
          <w:cols w:equalWidth="0" w:num="1">
            <w:col w:w="9060"/>
          </w:cols>
          <w:pgMar w:left="1420" w:top="322" w:right="1419" w:bottom="1440" w:gutter="0" w:footer="0" w:header="0"/>
        </w:sectPr>
      </w:pPr>
    </w:p>
    <w:p>
      <w:pPr>
        <w:spacing w:after="0" w:line="363"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7"/>
          <w:szCs w:val="17"/>
          <w:b w:val="1"/>
          <w:bCs w:val="1"/>
          <w:color w:val="auto"/>
        </w:rPr>
        <w:t>001-36485</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26-1303944</w:t>
      </w:r>
    </w:p>
    <w:p>
      <w:pPr>
        <w:spacing w:after="0" w:line="12" w:lineRule="exact"/>
        <w:rPr>
          <w:sz w:val="24"/>
          <w:szCs w:val="24"/>
          <w:color w:val="auto"/>
        </w:rPr>
      </w:pPr>
    </w:p>
    <w:p>
      <w:pPr>
        <w:sectPr>
          <w:pgSz w:w="11900" w:h="16838" w:orient="portrait"/>
          <w:cols w:equalWidth="0" w:num="3">
            <w:col w:w="3540" w:space="720"/>
            <w:col w:w="2200" w:space="720"/>
            <w:col w:w="1880"/>
          </w:cols>
          <w:pgMar w:left="1420" w:top="322" w:right="1419" w:bottom="1440" w:gutter="0" w:footer="0" w:header="0"/>
          <w:type w:val="continuous"/>
        </w:sectPr>
      </w:pPr>
    </w:p>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75" w:lineRule="exact"/>
        <w:rPr>
          <w:sz w:val="24"/>
          <w:szCs w:val="24"/>
          <w:color w:val="auto"/>
        </w:rPr>
      </w:pPr>
    </w:p>
    <w:p>
      <w:pPr>
        <w:sectPr>
          <w:pgSz w:w="11900" w:h="16838" w:orient="portrait"/>
          <w:cols w:equalWidth="0" w:num="3">
            <w:col w:w="3500" w:space="720"/>
            <w:col w:w="1960" w:space="720"/>
            <w:col w:w="2160"/>
          </w:cols>
          <w:pgMar w:left="1420" w:top="322" w:right="141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34175 Ardenwood Blvd., Suite 200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Fremont, CA 94555</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9060"/>
          </w:cols>
          <w:pgMar w:left="1420" w:top="322" w:right="1419" w:bottom="1440" w:gutter="0" w:footer="0" w:header="0"/>
          <w:type w:val="continuous"/>
        </w:sectPr>
      </w:pP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88265</wp:posOffset>
            </wp:positionV>
            <wp:extent cx="14319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36"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360" w:hanging="357"/>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360" w:hanging="357"/>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360" w:hanging="357"/>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640" w:firstLine="3"/>
        <w:spacing w:after="0" w:line="395" w:lineRule="auto"/>
        <w:tabs>
          <w:tab w:leader="none" w:pos="36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0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4"/>
        </w:trPr>
        <w:tc>
          <w:tcPr>
            <w:tcW w:w="2480" w:type="dxa"/>
            <w:vAlign w:val="bottom"/>
            <w:tcBorders>
              <w:bottom w:val="single" w:sz="8" w:color="auto"/>
            </w:tcBorders>
          </w:tcPr>
          <w:p>
            <w:pPr>
              <w:spacing w:after="0"/>
              <w:rPr>
                <w:sz w:val="2"/>
                <w:szCs w:val="2"/>
                <w:color w:val="auto"/>
              </w:rPr>
            </w:pPr>
          </w:p>
        </w:tc>
        <w:tc>
          <w:tcPr>
            <w:tcW w:w="600" w:type="dxa"/>
            <w:vAlign w:val="bottom"/>
            <w:vMerge w:val="restart"/>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00" w:type="dxa"/>
            <w:vAlign w:val="bottom"/>
            <w:vMerge w:val="restart"/>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w:t>
            </w:r>
          </w:p>
        </w:tc>
        <w:tc>
          <w:tcPr>
            <w:tcW w:w="600" w:type="dxa"/>
            <w:vAlign w:val="bottom"/>
            <w:vMerge w:val="continue"/>
          </w:tcPr>
          <w:p>
            <w:pPr>
              <w:spacing w:after="0"/>
              <w:rPr>
                <w:sz w:val="15"/>
                <w:szCs w:val="15"/>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ARDX</w:t>
            </w:r>
          </w:p>
        </w:tc>
        <w:tc>
          <w:tcPr>
            <w:tcW w:w="600" w:type="dxa"/>
            <w:vAlign w:val="bottom"/>
            <w:vMerge w:val="continue"/>
          </w:tcPr>
          <w:p>
            <w:pPr>
              <w:spacing w:after="0"/>
              <w:rPr>
                <w:sz w:val="15"/>
                <w:szCs w:val="15"/>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c>
          <w:tcPr>
            <w:tcW w:w="0" w:type="dxa"/>
            <w:vAlign w:val="bottom"/>
          </w:tcPr>
          <w:p>
            <w:pPr>
              <w:spacing w:after="0"/>
              <w:rPr>
                <w:sz w:val="1"/>
                <w:szCs w:val="1"/>
                <w:color w:val="auto"/>
              </w:rPr>
            </w:pPr>
          </w:p>
        </w:tc>
      </w:tr>
    </w:tbl>
    <w:p>
      <w:pPr>
        <w:spacing w:after="0" w:line="104"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8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622300</wp:posOffset>
            </wp:positionV>
            <wp:extent cx="57543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322" w:right="141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89" w:lineRule="exact"/>
        <w:rPr>
          <w:sz w:val="20"/>
          <w:szCs w:val="20"/>
          <w:color w:val="auto"/>
        </w:rPr>
      </w:pPr>
    </w:p>
    <w:p>
      <w:pPr>
        <w:ind w:right="39"/>
        <w:spacing w:after="0" w:line="256" w:lineRule="auto"/>
        <w:rPr>
          <w:sz w:val="20"/>
          <w:szCs w:val="20"/>
          <w:color w:val="auto"/>
        </w:rPr>
      </w:pPr>
      <w:r>
        <w:rPr>
          <w:rFonts w:ascii="Times New Roman" w:cs="Times New Roman" w:eastAsia="Times New Roman" w:hAnsi="Times New Roman"/>
          <w:sz w:val="18"/>
          <w:szCs w:val="18"/>
          <w:color w:val="auto"/>
        </w:rPr>
        <w:t>On September 12, 2019, Ardelyx, Inc. (the “Company” or “Ardelyx”), a specialized biopharmaceutical company focused on developing innovative first-in-class medicines to improve treatment for people with cardiorenal diseases, announced that the U.S. Food and Drug Administration has approved IBSRELA® (tenapanor), a 50 mg, twice daily oral pill for the treatment of irritable bowel syndrome with constipation (IBS-C) in adults. IBSRELA is a minimally-absorbed small molecule that acts locally in the gastrointestinal (GI) tract to inhibit the sodium-hydrogen exchanger NHE3, resulting in an increase in bowel movements and a decrease in abdominal pain for IBS-C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4660" w:val="left"/>
        </w:tabs>
        <w:rPr>
          <w:sz w:val="20"/>
          <w:szCs w:val="20"/>
          <w:color w:val="auto"/>
        </w:rPr>
      </w:pPr>
      <w:r>
        <w:rPr>
          <w:rFonts w:ascii="Times New Roman" w:cs="Times New Roman" w:eastAsia="Times New Roman" w:hAnsi="Times New Roman"/>
          <w:sz w:val="18"/>
          <w:szCs w:val="18"/>
          <w:color w:val="auto"/>
        </w:rPr>
        <w:t>Date: September 13, 2019</w:t>
      </w:r>
      <w:r>
        <w:rPr>
          <w:sz w:val="20"/>
          <w:szCs w:val="20"/>
          <w:color w:val="auto"/>
        </w:rPr>
        <w:tab/>
      </w:r>
      <w:r>
        <w:rPr>
          <w:rFonts w:ascii="Times New Roman" w:cs="Times New Roman" w:eastAsia="Times New Roman" w:hAnsi="Times New Roman"/>
          <w:sz w:val="17"/>
          <w:szCs w:val="17"/>
          <w:color w:val="auto"/>
        </w:rPr>
        <w:t>ARDELYX, INC.</w:t>
      </w:r>
    </w:p>
    <w:p>
      <w:pPr>
        <w:spacing w:after="0" w:line="18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By: /s/ Mark Kaufmann</w:t>
      </w:r>
    </w:p>
    <w:p>
      <w:pPr>
        <w:spacing w:after="0" w:line="4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-130810</wp:posOffset>
            </wp:positionV>
            <wp:extent cx="25730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502920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17"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2019-12-04T23:06:56Z</dcterms:created>
  <dcterms:modified xsi:type="dcterms:W3CDTF">2019-12-04T23:06:56Z</dcterms:modified>
</cp:coreProperties>
</file>