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23,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333-239764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83185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151765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64135</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64135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80" w:lineRule="exact"/>
        <w:rPr>
          <w:sz w:val="24"/>
          <w:szCs w:val="24"/>
          <w:color w:val="auto"/>
        </w:rPr>
      </w:pPr>
    </w:p>
    <w:tbl>
      <w:tblPr>
        <w:tblLayout w:type="fixed"/>
        <w:tblInd w:w="1420" w:type="dxa"/>
        <w:tblCellMar>
          <w:top w:w="0" w:type="dxa"/>
          <w:left w:w="0" w:type="dxa"/>
          <w:bottom w:w="0" w:type="dxa"/>
          <w:right w:w="0" w:type="dxa"/>
        </w:tblCellMar>
      </w:tblPr>
      <w:tr>
        <w:trPr>
          <w:trHeight w:val="212"/>
        </w:trPr>
        <w:tc>
          <w:tcPr>
            <w:tcW w:w="3660" w:type="dxa"/>
            <w:vAlign w:val="bottom"/>
          </w:tcPr>
          <w:p>
            <w:pPr>
              <w:jc w:val="center"/>
              <w:ind w:right="1702"/>
              <w:spacing w:after="0"/>
              <w:rPr>
                <w:sz w:val="20"/>
                <w:szCs w:val="20"/>
                <w:color w:val="auto"/>
              </w:rPr>
            </w:pPr>
            <w:r>
              <w:rPr>
                <w:rFonts w:ascii="Arial" w:cs="Arial" w:eastAsia="Arial" w:hAnsi="Arial"/>
                <w:sz w:val="18"/>
                <w:szCs w:val="18"/>
                <w:b w:val="1"/>
                <w:bCs w:val="1"/>
                <w:color w:val="auto"/>
                <w:w w:val="91"/>
              </w:rPr>
              <w:t>Delaware</w:t>
            </w:r>
          </w:p>
        </w:tc>
        <w:tc>
          <w:tcPr>
            <w:tcW w:w="2900" w:type="dxa"/>
            <w:vAlign w:val="bottom"/>
          </w:tcPr>
          <w:p>
            <w:pPr>
              <w:jc w:val="center"/>
              <w:ind w:left="1702"/>
              <w:spacing w:after="0"/>
              <w:rPr>
                <w:sz w:val="20"/>
                <w:szCs w:val="20"/>
                <w:color w:val="auto"/>
              </w:rPr>
            </w:pPr>
            <w:r>
              <w:rPr>
                <w:rFonts w:ascii="Arial" w:cs="Arial" w:eastAsia="Arial" w:hAnsi="Arial"/>
                <w:sz w:val="18"/>
                <w:szCs w:val="18"/>
                <w:b w:val="1"/>
                <w:bCs w:val="1"/>
                <w:color w:val="auto"/>
                <w:w w:val="91"/>
              </w:rPr>
              <w:t>26-1303944</w:t>
            </w:r>
          </w:p>
        </w:tc>
      </w:tr>
      <w:tr>
        <w:trPr>
          <w:trHeight w:val="149"/>
        </w:trPr>
        <w:tc>
          <w:tcPr>
            <w:tcW w:w="3660" w:type="dxa"/>
            <w:vAlign w:val="bottom"/>
          </w:tcPr>
          <w:p>
            <w:pPr>
              <w:jc w:val="center"/>
              <w:ind w:right="17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00" w:type="dxa"/>
            <w:vAlign w:val="bottom"/>
          </w:tcPr>
          <w:p>
            <w:pPr>
              <w:jc w:val="center"/>
              <w:ind w:left="17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60" w:type="dxa"/>
            <w:vAlign w:val="bottom"/>
          </w:tcPr>
          <w:p>
            <w:pPr>
              <w:jc w:val="center"/>
              <w:ind w:right="1702"/>
              <w:spacing w:after="0"/>
              <w:rPr>
                <w:sz w:val="20"/>
                <w:szCs w:val="20"/>
                <w:color w:val="auto"/>
              </w:rPr>
            </w:pPr>
            <w:r>
              <w:rPr>
                <w:rFonts w:ascii="Arial" w:cs="Arial" w:eastAsia="Arial" w:hAnsi="Arial"/>
                <w:sz w:val="14"/>
                <w:szCs w:val="14"/>
                <w:b w:val="1"/>
                <w:bCs w:val="1"/>
                <w:color w:val="auto"/>
                <w:w w:val="94"/>
              </w:rPr>
              <w:t>incorporation or organization)</w:t>
            </w:r>
          </w:p>
        </w:tc>
        <w:tc>
          <w:tcPr>
            <w:tcW w:w="2900" w:type="dxa"/>
            <w:vAlign w:val="bottom"/>
          </w:tcPr>
          <w:p>
            <w:pPr>
              <w:jc w:val="center"/>
              <w:ind w:left="170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34175 Ardenwood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Fremont, CA 94555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745-1700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64770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&amp;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34175 Ardenwood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Fremont, CA 94555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745-1700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64770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70" w:lineRule="exact"/>
        <w:rPr>
          <w:sz w:val="24"/>
          <w:szCs w:val="24"/>
          <w:color w:val="auto"/>
        </w:rPr>
      </w:pPr>
    </w:p>
    <w:tbl>
      <w:tblPr>
        <w:tblLayout w:type="fixed"/>
        <w:tblInd w:w="158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518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Copies to:</w:t>
            </w:r>
          </w:p>
        </w:tc>
      </w:tr>
      <w:tr>
        <w:trPr>
          <w:trHeight w:val="292"/>
        </w:trPr>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2"/>
              </w:rPr>
              <w:t>Mark V. Roeder, Esq.</w:t>
            </w:r>
          </w:p>
        </w:tc>
        <w:tc>
          <w:tcPr>
            <w:tcW w:w="5180" w:type="dxa"/>
            <w:vAlign w:val="bottom"/>
          </w:tcPr>
          <w:p>
            <w:pPr>
              <w:jc w:val="center"/>
              <w:ind w:left="2050"/>
              <w:spacing w:after="0"/>
              <w:rPr>
                <w:sz w:val="20"/>
                <w:szCs w:val="20"/>
                <w:color w:val="auto"/>
              </w:rPr>
            </w:pPr>
            <w:r>
              <w:rPr>
                <w:rFonts w:ascii="Arial" w:cs="Arial" w:eastAsia="Arial" w:hAnsi="Arial"/>
                <w:sz w:val="18"/>
                <w:szCs w:val="18"/>
                <w:b w:val="1"/>
                <w:bCs w:val="1"/>
                <w:color w:val="auto"/>
                <w:w w:val="92"/>
              </w:rPr>
              <w:t>Elizabeth Grammer, Esq.</w:t>
            </w:r>
          </w:p>
        </w:tc>
      </w:tr>
      <w:tr>
        <w:trPr>
          <w:trHeight w:val="216"/>
        </w:trPr>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7"/>
              </w:rPr>
              <w:t>Latham &amp; Watkins LLP</w:t>
            </w:r>
          </w:p>
        </w:tc>
        <w:tc>
          <w:tcPr>
            <w:tcW w:w="5180" w:type="dxa"/>
            <w:vAlign w:val="bottom"/>
          </w:tcPr>
          <w:p>
            <w:pPr>
              <w:jc w:val="center"/>
              <w:ind w:left="2070"/>
              <w:spacing w:after="0"/>
              <w:rPr>
                <w:sz w:val="20"/>
                <w:szCs w:val="20"/>
                <w:color w:val="auto"/>
              </w:rPr>
            </w:pPr>
            <w:r>
              <w:rPr>
                <w:rFonts w:ascii="Arial" w:cs="Arial" w:eastAsia="Arial" w:hAnsi="Arial"/>
                <w:sz w:val="18"/>
                <w:szCs w:val="18"/>
                <w:b w:val="1"/>
                <w:bCs w:val="1"/>
                <w:color w:val="auto"/>
                <w:w w:val="92"/>
              </w:rPr>
              <w:t>Chief Legal and Administrative Officer</w:t>
            </w:r>
          </w:p>
        </w:tc>
      </w:tr>
      <w:tr>
        <w:trPr>
          <w:trHeight w:val="216"/>
        </w:trPr>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140 Scott Drive</w:t>
            </w:r>
          </w:p>
        </w:tc>
        <w:tc>
          <w:tcPr>
            <w:tcW w:w="5180" w:type="dxa"/>
            <w:vAlign w:val="bottom"/>
          </w:tcPr>
          <w:p>
            <w:pPr>
              <w:jc w:val="center"/>
              <w:ind w:left="2050"/>
              <w:spacing w:after="0"/>
              <w:rPr>
                <w:sz w:val="20"/>
                <w:szCs w:val="20"/>
                <w:color w:val="auto"/>
              </w:rPr>
            </w:pPr>
            <w:r>
              <w:rPr>
                <w:rFonts w:ascii="Arial" w:cs="Arial" w:eastAsia="Arial" w:hAnsi="Arial"/>
                <w:sz w:val="18"/>
                <w:szCs w:val="18"/>
                <w:b w:val="1"/>
                <w:bCs w:val="1"/>
                <w:color w:val="auto"/>
                <w:w w:val="93"/>
              </w:rPr>
              <w:t>Ardelyx, Inc.</w:t>
            </w:r>
          </w:p>
        </w:tc>
      </w:tr>
      <w:tr>
        <w:trPr>
          <w:trHeight w:val="216"/>
        </w:trPr>
        <w:tc>
          <w:tcPr>
            <w:tcW w:w="2480" w:type="dxa"/>
            <w:vAlign w:val="bottom"/>
          </w:tcPr>
          <w:p>
            <w:pPr>
              <w:jc w:val="center"/>
              <w:ind w:right="430"/>
              <w:spacing w:after="0"/>
              <w:rPr>
                <w:sz w:val="20"/>
                <w:szCs w:val="20"/>
                <w:color w:val="auto"/>
              </w:rPr>
            </w:pPr>
            <w:r>
              <w:rPr>
                <w:rFonts w:ascii="Arial" w:cs="Arial" w:eastAsia="Arial" w:hAnsi="Arial"/>
                <w:sz w:val="18"/>
                <w:szCs w:val="18"/>
                <w:b w:val="1"/>
                <w:bCs w:val="1"/>
                <w:color w:val="auto"/>
                <w:w w:val="94"/>
              </w:rPr>
              <w:t>Menlo Park, CA 94025</w:t>
            </w:r>
          </w:p>
        </w:tc>
        <w:tc>
          <w:tcPr>
            <w:tcW w:w="518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34175 Ardenwood Blvd.</w:t>
            </w:r>
          </w:p>
        </w:tc>
      </w:tr>
      <w:tr>
        <w:trPr>
          <w:trHeight w:val="216"/>
        </w:trPr>
        <w:tc>
          <w:tcPr>
            <w:tcW w:w="248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Facsimile: (650) 463-2600</w:t>
            </w:r>
          </w:p>
        </w:tc>
        <w:tc>
          <w:tcPr>
            <w:tcW w:w="5180" w:type="dxa"/>
            <w:vAlign w:val="bottom"/>
          </w:tcPr>
          <w:p>
            <w:pPr>
              <w:jc w:val="center"/>
              <w:ind w:left="2050"/>
              <w:spacing w:after="0"/>
              <w:rPr>
                <w:sz w:val="20"/>
                <w:szCs w:val="20"/>
                <w:color w:val="auto"/>
              </w:rPr>
            </w:pPr>
            <w:r>
              <w:rPr>
                <w:rFonts w:ascii="Arial" w:cs="Arial" w:eastAsia="Arial" w:hAnsi="Arial"/>
                <w:sz w:val="18"/>
                <w:szCs w:val="18"/>
                <w:b w:val="1"/>
                <w:bCs w:val="1"/>
                <w:color w:val="auto"/>
                <w:w w:val="93"/>
              </w:rPr>
              <w:t>Fremont, CA 94555</w:t>
            </w:r>
          </w:p>
        </w:tc>
      </w:tr>
      <w:tr>
        <w:trPr>
          <w:trHeight w:val="234"/>
        </w:trPr>
        <w:tc>
          <w:tcPr>
            <w:tcW w:w="2480" w:type="dxa"/>
            <w:vAlign w:val="bottom"/>
          </w:tcPr>
          <w:p>
            <w:pPr>
              <w:spacing w:after="0"/>
              <w:rPr>
                <w:sz w:val="20"/>
                <w:szCs w:val="20"/>
                <w:color w:val="auto"/>
              </w:rPr>
            </w:pPr>
          </w:p>
        </w:tc>
        <w:tc>
          <w:tcPr>
            <w:tcW w:w="518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(510) 745-1700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128270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67" w:lineRule="exact"/>
        <w:rPr>
          <w:sz w:val="24"/>
          <w:szCs w:val="24"/>
          <w:color w:val="auto"/>
        </w:rPr>
      </w:pPr>
    </w:p>
    <w:p>
      <w:pPr>
        <w:ind w:right="320"/>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From time to time after the effective date of this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44"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61"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391160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2" w:lineRule="exact"/>
        <w:rPr>
          <w:sz w:val="20"/>
          <w:szCs w:val="20"/>
          <w:color w:val="auto"/>
        </w:rPr>
      </w:pPr>
    </w:p>
    <w:p>
      <w:pPr>
        <w:ind w:right="280"/>
        <w:spacing w:after="0" w:line="233"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1" w:lineRule="exact"/>
        <w:rPr>
          <w:sz w:val="20"/>
          <w:szCs w:val="20"/>
          <w:color w:val="auto"/>
        </w:rPr>
      </w:pPr>
    </w:p>
    <w:p>
      <w:pPr>
        <w:ind w:right="460"/>
        <w:spacing w:after="0" w:line="23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60" w:lineRule="exact"/>
        <w:rPr>
          <w:sz w:val="20"/>
          <w:szCs w:val="20"/>
          <w:color w:val="auto"/>
        </w:rPr>
      </w:pPr>
    </w:p>
    <w:p>
      <w:pPr>
        <w:ind w:right="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6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2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Non-accelerated filer</w:t>
            </w:r>
          </w:p>
        </w:tc>
        <w:tc>
          <w:tcPr>
            <w:tcW w:w="152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ind w:left="12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Emerging growth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0"/>
          <w:szCs w:val="20"/>
          <w:color w:val="auto"/>
        </w:rPr>
      </w:pPr>
    </w:p>
    <w:p>
      <w:pPr>
        <w:ind w:right="420"/>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540" w:type="dxa"/>
            <w:vAlign w:val="bottom"/>
            <w:tcBorders>
              <w:top w:val="single" w:sz="8" w:color="auto"/>
              <w:right w:val="single" w:sz="8" w:color="auto"/>
            </w:tcBorders>
          </w:tcPr>
          <w:p>
            <w:pPr>
              <w:spacing w:after="0"/>
              <w:rPr>
                <w:sz w:val="12"/>
                <w:szCs w:val="12"/>
                <w:color w:val="auto"/>
              </w:rPr>
            </w:pPr>
          </w:p>
        </w:tc>
        <w:tc>
          <w:tcPr>
            <w:tcW w:w="3780" w:type="dxa"/>
            <w:vAlign w:val="bottom"/>
            <w:tcBorders>
              <w:top w:val="single" w:sz="8" w:color="auto"/>
              <w:right w:val="single" w:sz="8" w:color="auto"/>
            </w:tcBorders>
          </w:tcPr>
          <w:p>
            <w:pPr>
              <w:jc w:val="center"/>
              <w:ind w:left="149"/>
              <w:spacing w:after="0" w:line="139" w:lineRule="exact"/>
              <w:rPr>
                <w:sz w:val="20"/>
                <w:szCs w:val="20"/>
                <w:color w:val="auto"/>
              </w:rPr>
            </w:pPr>
            <w:r>
              <w:rPr>
                <w:rFonts w:ascii="Arial" w:cs="Arial" w:eastAsia="Arial" w:hAnsi="Arial"/>
                <w:sz w:val="14"/>
                <w:szCs w:val="14"/>
                <w:b w:val="1"/>
                <w:bCs w:val="1"/>
                <w:color w:val="auto"/>
                <w:w w:val="93"/>
              </w:rPr>
              <w:t>Amount to be</w:t>
            </w:r>
          </w:p>
        </w:tc>
        <w:tc>
          <w:tcPr>
            <w:tcW w:w="2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tcBorders>
              <w:right w:val="single" w:sz="8" w:color="auto"/>
            </w:tcBorders>
          </w:tcPr>
          <w:p>
            <w:pPr>
              <w:spacing w:after="0"/>
              <w:rPr>
                <w:sz w:val="12"/>
                <w:szCs w:val="12"/>
                <w:color w:val="auto"/>
              </w:rPr>
            </w:pPr>
          </w:p>
        </w:tc>
        <w:tc>
          <w:tcPr>
            <w:tcW w:w="3780" w:type="dxa"/>
            <w:vAlign w:val="bottom"/>
            <w:tcBorders>
              <w:right w:val="single" w:sz="8" w:color="auto"/>
            </w:tcBorders>
          </w:tcPr>
          <w:p>
            <w:pPr>
              <w:jc w:val="center"/>
              <w:ind w:left="129"/>
              <w:spacing w:after="0" w:line="149" w:lineRule="exact"/>
              <w:rPr>
                <w:sz w:val="20"/>
                <w:szCs w:val="20"/>
                <w:color w:val="auto"/>
              </w:rPr>
            </w:pPr>
            <w:r>
              <w:rPr>
                <w:rFonts w:ascii="Arial" w:cs="Arial" w:eastAsia="Arial" w:hAnsi="Arial"/>
                <w:sz w:val="14"/>
                <w:szCs w:val="14"/>
                <w:b w:val="1"/>
                <w:bCs w:val="1"/>
                <w:color w:val="auto"/>
                <w:w w:val="90"/>
              </w:rPr>
              <w:t>registered/proposed</w:t>
            </w: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right w:val="single" w:sz="8" w:color="auto"/>
            </w:tcBorders>
          </w:tcPr>
          <w:p>
            <w:pPr>
              <w:spacing w:after="0"/>
              <w:rPr>
                <w:sz w:val="12"/>
                <w:szCs w:val="12"/>
                <w:color w:val="auto"/>
              </w:rPr>
            </w:pPr>
          </w:p>
        </w:tc>
        <w:tc>
          <w:tcPr>
            <w:tcW w:w="3780" w:type="dxa"/>
            <w:vAlign w:val="bottom"/>
            <w:tcBorders>
              <w:right w:val="single" w:sz="8" w:color="auto"/>
            </w:tcBorders>
          </w:tcPr>
          <w:p>
            <w:pPr>
              <w:jc w:val="center"/>
              <w:ind w:left="129"/>
              <w:spacing w:after="0" w:line="149" w:lineRule="exact"/>
              <w:rPr>
                <w:sz w:val="20"/>
                <w:szCs w:val="20"/>
                <w:color w:val="auto"/>
              </w:rPr>
            </w:pPr>
            <w:r>
              <w:rPr>
                <w:rFonts w:ascii="Arial" w:cs="Arial" w:eastAsia="Arial" w:hAnsi="Arial"/>
                <w:sz w:val="14"/>
                <w:szCs w:val="14"/>
                <w:b w:val="1"/>
                <w:bCs w:val="1"/>
                <w:color w:val="auto"/>
                <w:w w:val="94"/>
              </w:rPr>
              <w:t>maximum offering price</w:t>
            </w: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Title of each class of</w:t>
            </w:r>
          </w:p>
        </w:tc>
        <w:tc>
          <w:tcPr>
            <w:tcW w:w="3780" w:type="dxa"/>
            <w:vAlign w:val="bottom"/>
            <w:tcBorders>
              <w:right w:val="single" w:sz="8" w:color="auto"/>
            </w:tcBorders>
          </w:tcPr>
          <w:p>
            <w:pPr>
              <w:jc w:val="center"/>
              <w:ind w:left="129"/>
              <w:spacing w:after="0" w:line="149" w:lineRule="exact"/>
              <w:rPr>
                <w:sz w:val="20"/>
                <w:szCs w:val="20"/>
                <w:color w:val="auto"/>
              </w:rPr>
            </w:pPr>
            <w:r>
              <w:rPr>
                <w:rFonts w:ascii="Arial" w:cs="Arial" w:eastAsia="Arial" w:hAnsi="Arial"/>
                <w:sz w:val="14"/>
                <w:szCs w:val="14"/>
                <w:b w:val="1"/>
                <w:bCs w:val="1"/>
                <w:color w:val="auto"/>
                <w:w w:val="92"/>
              </w:rPr>
              <w:t>per unit/proposed</w:t>
            </w:r>
          </w:p>
        </w:tc>
        <w:tc>
          <w:tcPr>
            <w:tcW w:w="2580" w:type="dxa"/>
            <w:vAlign w:val="bottom"/>
            <w:vMerge w:val="restart"/>
          </w:tcPr>
          <w:p>
            <w:pPr>
              <w:jc w:val="center"/>
              <w:ind w:left="84"/>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right w:val="single" w:sz="8" w:color="auto"/>
            </w:tcBorders>
            <w:vMerge w:val="continue"/>
          </w:tcPr>
          <w:p>
            <w:pPr>
              <w:spacing w:after="0"/>
              <w:rPr>
                <w:sz w:val="12"/>
                <w:szCs w:val="12"/>
                <w:color w:val="auto"/>
              </w:rPr>
            </w:pPr>
          </w:p>
        </w:tc>
        <w:tc>
          <w:tcPr>
            <w:tcW w:w="3780" w:type="dxa"/>
            <w:vAlign w:val="bottom"/>
            <w:tcBorders>
              <w:right w:val="single" w:sz="8" w:color="auto"/>
            </w:tcBorders>
          </w:tcPr>
          <w:p>
            <w:pPr>
              <w:jc w:val="center"/>
              <w:ind w:left="129"/>
              <w:spacing w:after="0" w:line="149" w:lineRule="exact"/>
              <w:rPr>
                <w:sz w:val="20"/>
                <w:szCs w:val="20"/>
                <w:color w:val="auto"/>
              </w:rPr>
            </w:pPr>
            <w:r>
              <w:rPr>
                <w:rFonts w:ascii="Arial" w:cs="Arial" w:eastAsia="Arial" w:hAnsi="Arial"/>
                <w:sz w:val="14"/>
                <w:szCs w:val="14"/>
                <w:b w:val="1"/>
                <w:bCs w:val="1"/>
                <w:color w:val="auto"/>
                <w:w w:val="92"/>
              </w:rPr>
              <w:t>maximum aggregate</w:t>
            </w: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 to be registered</w:t>
            </w:r>
          </w:p>
        </w:tc>
        <w:tc>
          <w:tcPr>
            <w:tcW w:w="3780" w:type="dxa"/>
            <w:vAlign w:val="bottom"/>
            <w:tcBorders>
              <w:bottom w:val="single" w:sz="8" w:color="auto"/>
              <w:right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1"/>
              </w:rPr>
              <w:t>offering price</w:t>
            </w:r>
          </w:p>
        </w:tc>
        <w:tc>
          <w:tcPr>
            <w:tcW w:w="258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3780" w:type="dxa"/>
            <w:vAlign w:val="bottom"/>
            <w:tcBorders>
              <w:bottom w:val="single" w:sz="8" w:color="auto"/>
              <w:right w:val="single" w:sz="8" w:color="auto"/>
            </w:tcBorders>
          </w:tcPr>
          <w:p>
            <w:pPr>
              <w:jc w:val="center"/>
              <w:ind w:left="129"/>
              <w:spacing w:after="0"/>
              <w:rPr>
                <w:sz w:val="20"/>
                <w:szCs w:val="20"/>
                <w:color w:val="auto"/>
              </w:rPr>
            </w:pPr>
            <w:r>
              <w:rPr>
                <w:rFonts w:ascii="Arial" w:cs="Arial" w:eastAsia="Arial" w:hAnsi="Arial"/>
                <w:sz w:val="13"/>
                <w:szCs w:val="13"/>
                <w:color w:val="auto"/>
                <w:w w:val="94"/>
              </w:rPr>
              <w:t>(1)(2)</w:t>
            </w: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w:t>
            </w:r>
          </w:p>
        </w:tc>
        <w:tc>
          <w:tcPr>
            <w:tcW w:w="3780" w:type="dxa"/>
            <w:vAlign w:val="bottom"/>
            <w:tcBorders>
              <w:bottom w:val="single" w:sz="8" w:color="auto"/>
              <w:right w:val="single" w:sz="8" w:color="auto"/>
            </w:tcBorders>
          </w:tcPr>
          <w:p>
            <w:pPr>
              <w:jc w:val="center"/>
              <w:ind w:left="129"/>
              <w:spacing w:after="0"/>
              <w:rPr>
                <w:sz w:val="20"/>
                <w:szCs w:val="20"/>
                <w:color w:val="auto"/>
              </w:rPr>
            </w:pPr>
            <w:r>
              <w:rPr>
                <w:rFonts w:ascii="Arial" w:cs="Arial" w:eastAsia="Arial" w:hAnsi="Arial"/>
                <w:sz w:val="13"/>
                <w:szCs w:val="13"/>
                <w:color w:val="auto"/>
                <w:w w:val="94"/>
              </w:rPr>
              <w:t>(1)(2)</w:t>
            </w: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Debt Securities</w:t>
            </w:r>
          </w:p>
        </w:tc>
        <w:tc>
          <w:tcPr>
            <w:tcW w:w="3780" w:type="dxa"/>
            <w:vAlign w:val="bottom"/>
            <w:tcBorders>
              <w:bottom w:val="single" w:sz="8" w:color="auto"/>
              <w:right w:val="single" w:sz="8" w:color="auto"/>
            </w:tcBorders>
          </w:tcPr>
          <w:p>
            <w:pPr>
              <w:jc w:val="center"/>
              <w:ind w:left="149"/>
              <w:spacing w:after="0"/>
              <w:rPr>
                <w:sz w:val="20"/>
                <w:szCs w:val="20"/>
                <w:color w:val="auto"/>
              </w:rPr>
            </w:pPr>
            <w:r>
              <w:rPr>
                <w:rFonts w:ascii="Arial" w:cs="Arial" w:eastAsia="Arial" w:hAnsi="Arial"/>
                <w:sz w:val="13"/>
                <w:szCs w:val="13"/>
                <w:color w:val="auto"/>
              </w:rPr>
              <w:t>(1)</w:t>
            </w: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w:t>
            </w:r>
          </w:p>
        </w:tc>
        <w:tc>
          <w:tcPr>
            <w:tcW w:w="3780" w:type="dxa"/>
            <w:vAlign w:val="bottom"/>
            <w:tcBorders>
              <w:bottom w:val="single" w:sz="8" w:color="auto"/>
              <w:right w:val="single" w:sz="8" w:color="auto"/>
            </w:tcBorders>
          </w:tcPr>
          <w:p>
            <w:pPr>
              <w:jc w:val="center"/>
              <w:ind w:left="149"/>
              <w:spacing w:after="0"/>
              <w:rPr>
                <w:sz w:val="20"/>
                <w:szCs w:val="20"/>
                <w:color w:val="auto"/>
              </w:rPr>
            </w:pPr>
            <w:r>
              <w:rPr>
                <w:rFonts w:ascii="Arial" w:cs="Arial" w:eastAsia="Arial" w:hAnsi="Arial"/>
                <w:sz w:val="13"/>
                <w:szCs w:val="13"/>
                <w:color w:val="auto"/>
              </w:rPr>
              <w:t>(1)</w:t>
            </w: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Units</w:t>
            </w:r>
          </w:p>
        </w:tc>
        <w:tc>
          <w:tcPr>
            <w:tcW w:w="3780" w:type="dxa"/>
            <w:vAlign w:val="bottom"/>
            <w:tcBorders>
              <w:bottom w:val="single" w:sz="8" w:color="auto"/>
              <w:right w:val="single" w:sz="8" w:color="auto"/>
            </w:tcBorders>
          </w:tcPr>
          <w:p>
            <w:pPr>
              <w:jc w:val="center"/>
              <w:ind w:left="149"/>
              <w:spacing w:after="0"/>
              <w:rPr>
                <w:sz w:val="20"/>
                <w:szCs w:val="20"/>
                <w:color w:val="auto"/>
              </w:rPr>
            </w:pPr>
            <w:r>
              <w:rPr>
                <w:rFonts w:ascii="Arial" w:cs="Arial" w:eastAsia="Arial" w:hAnsi="Arial"/>
                <w:sz w:val="13"/>
                <w:szCs w:val="13"/>
                <w:color w:val="auto"/>
              </w:rPr>
              <w:t>(1)</w:t>
            </w: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auto"/>
              <w:right w:val="single" w:sz="8" w:color="auto"/>
            </w:tcBorders>
          </w:tcPr>
          <w:p>
            <w:pPr>
              <w:jc w:val="center"/>
              <w:ind w:left="129"/>
              <w:spacing w:after="0" w:line="210" w:lineRule="exact"/>
              <w:rPr>
                <w:sz w:val="20"/>
                <w:szCs w:val="20"/>
                <w:color w:val="auto"/>
              </w:rPr>
            </w:pPr>
            <w:r>
              <w:rPr>
                <w:rFonts w:ascii="Arial" w:cs="Arial" w:eastAsia="Arial" w:hAnsi="Arial"/>
                <w:sz w:val="17"/>
                <w:szCs w:val="17"/>
                <w:color w:val="auto"/>
                <w:w w:val="92"/>
              </w:rPr>
              <w:t>$250,000,000</w:t>
            </w:r>
            <w:r>
              <w:rPr>
                <w:rFonts w:ascii="Arial" w:cs="Arial" w:eastAsia="Arial" w:hAnsi="Arial"/>
                <w:sz w:val="24"/>
                <w:szCs w:val="24"/>
                <w:color w:val="auto"/>
                <w:w w:val="92"/>
                <w:vertAlign w:val="superscript"/>
              </w:rPr>
              <w:t>(3)</w:t>
            </w:r>
          </w:p>
        </w:tc>
        <w:tc>
          <w:tcPr>
            <w:tcW w:w="2580" w:type="dxa"/>
            <w:vAlign w:val="bottom"/>
            <w:tcBorders>
              <w:bottom w:val="single" w:sz="8" w:color="auto"/>
            </w:tcBorders>
          </w:tcPr>
          <w:p>
            <w:pPr>
              <w:jc w:val="center"/>
              <w:ind w:left="84"/>
              <w:spacing w:after="0" w:line="210" w:lineRule="exact"/>
              <w:rPr>
                <w:sz w:val="20"/>
                <w:szCs w:val="20"/>
                <w:color w:val="auto"/>
              </w:rPr>
            </w:pPr>
            <w:r>
              <w:rPr>
                <w:rFonts w:ascii="Arial" w:cs="Arial" w:eastAsia="Arial" w:hAnsi="Arial"/>
                <w:sz w:val="17"/>
                <w:szCs w:val="17"/>
                <w:color w:val="auto"/>
                <w:w w:val="91"/>
              </w:rPr>
              <w:t>$32,450</w:t>
            </w:r>
            <w:r>
              <w:rPr>
                <w:rFonts w:ascii="Arial" w:cs="Arial" w:eastAsia="Arial" w:hAnsi="Arial"/>
                <w:sz w:val="24"/>
                <w:szCs w:val="24"/>
                <w:color w:val="auto"/>
                <w:w w:val="91"/>
                <w:vertAlign w:val="superscript"/>
              </w:rPr>
              <w:t>(4)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10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w:t>
      </w:r>
    </w:p>
    <w:p>
      <w:pPr>
        <w:spacing w:after="0" w:line="65"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rights to acquire common stock or preferred stock of the Company under any shareholder rights plan then in effect, if applicable under the terms of any such plan.</w:t>
      </w:r>
    </w:p>
    <w:p>
      <w:pPr>
        <w:spacing w:after="0" w:line="35" w:lineRule="exact"/>
        <w:rPr>
          <w:rFonts w:ascii="Arial" w:cs="Arial" w:eastAsia="Arial" w:hAnsi="Arial"/>
          <w:sz w:val="18"/>
          <w:szCs w:val="18"/>
          <w:color w:val="auto"/>
        </w:rPr>
      </w:pPr>
    </w:p>
    <w:p>
      <w:pPr>
        <w:ind w:left="340" w:right="6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No separate consideration will be received for shares of common stock that are issued upon conversion of debt securities or preferred stock or upon exercise of common stock warrants registered hereunder. The aggregate maximum offering price of all securities issued pursuant to this registration statement will not exceed $250,000,000.</w:t>
      </w:r>
    </w:p>
    <w:p>
      <w:pPr>
        <w:spacing w:after="0" w:line="6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previously paid the registration fee in connection with the initial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90" w:lineRule="exact"/>
        <w:rPr>
          <w:sz w:val="20"/>
          <w:szCs w:val="20"/>
          <w:color w:val="auto"/>
        </w:rPr>
      </w:pPr>
    </w:p>
    <w:p>
      <w:pPr>
        <w:ind w:right="340"/>
        <w:spacing w:after="0" w:line="329"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568325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53975</wp:posOffset>
            </wp:positionV>
            <wp:extent cx="629221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registration statement contains two prospectuses:</w:t>
      </w:r>
    </w:p>
    <w:p>
      <w:pPr>
        <w:spacing w:after="0" w:line="225" w:lineRule="exact"/>
        <w:rPr>
          <w:sz w:val="20"/>
          <w:szCs w:val="20"/>
          <w:color w:val="auto"/>
        </w:rPr>
      </w:pPr>
    </w:p>
    <w:p>
      <w:pPr>
        <w:ind w:left="700" w:right="199" w:hanging="326"/>
        <w:spacing w:after="0" w:line="263"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by the registrant of up to a maximum aggregate offering price of $250,000,000 of the registrant’s common stock, preferred stock, debt securities, warrants and/or units; and</w:t>
      </w:r>
    </w:p>
    <w:p>
      <w:pPr>
        <w:spacing w:after="0" w:line="183" w:lineRule="exact"/>
        <w:rPr>
          <w:rFonts w:ascii="Arial" w:cs="Arial" w:eastAsia="Arial" w:hAnsi="Arial"/>
          <w:sz w:val="18"/>
          <w:szCs w:val="18"/>
          <w:color w:val="auto"/>
        </w:rPr>
      </w:pPr>
    </w:p>
    <w:p>
      <w:pPr>
        <w:ind w:left="700" w:right="199" w:hanging="326"/>
        <w:spacing w:after="0" w:line="263"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prospectus supplement covering the offering, issuance and sale by the registrant of up to a maximum aggregate offering price of $100,000,000 of the registrant’s common stock that may be issued and sold under a sales agreement with Jefferies LLC.</w:t>
      </w:r>
    </w:p>
    <w:p>
      <w:pPr>
        <w:spacing w:after="0" w:line="184"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base prospectus immediately follows this explanatory note. The specific terms of any other securities to be offered pursuant to the base prospectus will be specified in one or more prospectus supplements to the base prospectus. The prospectus supplement immediately follows the base prospectus. The common stock that may be offered, issued and sold by the registrant under the prospectus supplement is included in the $250,000,000 of securities that may be offered, issued and sold by the registrant under the base prospectus. Any portion of the $100,000,000 included in the prospectus supplement that is not previously sold or included in an active placement notice pursuant to the sales agreement will be available for sale in other offerings pursuant to the base prospectus, and if no shares are sold under the sales agreement, the full $250,000,000 of securities may be sold in other offerings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751205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61"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C062A"/>
        </w:rPr>
        <w:t>Subject to Completion, dated July 23,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154305</wp:posOffset>
            </wp:positionV>
            <wp:extent cx="154305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We may offer and sell up to $250,000,000 in the aggregate of the securities identified above from time to time in one or more offerings. This prospectus provides you with a general description of the securities.</w:t>
      </w:r>
    </w:p>
    <w:p>
      <w:pPr>
        <w:spacing w:after="0" w:line="170"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71"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114935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color w:val="auto"/>
        </w:rPr>
        <w:t>INVESTING IN OUR SECURITIES INVOLVES RISKS. SEE THE “RISK FACTORS” ON PAGE 5 OF THIS PROSPECTUS AND ANY SIMILAR SECTION CONTAINED IN THE APPLICABLE PROSPECTUS SUPPLEMENT CONCERNING FACTORS YOU SHOULD CONSIDER BEFORE INVESTING IN OUR SECURITIES.</w:t>
      </w:r>
    </w:p>
    <w:p>
      <w:pPr>
        <w:spacing w:after="0" w:line="184"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“ARDX.” On July 22, 2020, the last reported sale price of our common stock on the Nasdaq Global Market was $6.74 per share.</w:t>
      </w:r>
    </w:p>
    <w:p>
      <w:pPr>
        <w:spacing w:after="0" w:line="166" w:lineRule="exact"/>
        <w:rPr>
          <w:sz w:val="20"/>
          <w:szCs w:val="20"/>
          <w:color w:val="auto"/>
        </w:rPr>
      </w:pPr>
    </w:p>
    <w:p>
      <w:pPr>
        <w:jc w:val="both"/>
        <w:ind w:left="60" w:right="7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123190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340" w:type="dxa"/>
            <w:vAlign w:val="bottom"/>
          </w:tcPr>
          <w:p>
            <w:pPr>
              <w:ind w:left="2660"/>
              <w:spacing w:after="0"/>
              <w:rPr>
                <w:sz w:val="20"/>
                <w:szCs w:val="20"/>
                <w:color w:val="auto"/>
              </w:rPr>
            </w:pPr>
            <w:r>
              <w:rPr>
                <w:rFonts w:ascii="Arial" w:cs="Arial" w:eastAsia="Arial" w:hAnsi="Arial"/>
                <w:sz w:val="18"/>
                <w:szCs w:val="18"/>
                <w:b w:val="1"/>
                <w:bCs w:val="1"/>
                <w:color w:val="auto"/>
              </w:rPr>
              <w:t>The date of this prospectus is</w:t>
            </w:r>
          </w:p>
        </w:tc>
        <w:tc>
          <w:tcPr>
            <w:tcW w:w="3580" w:type="dxa"/>
            <w:vAlign w:val="bottom"/>
          </w:tcPr>
          <w:p>
            <w:pPr>
              <w:jc w:val="right"/>
              <w:ind w:right="2550"/>
              <w:spacing w:after="0"/>
              <w:rPr>
                <w:sz w:val="20"/>
                <w:szCs w:val="20"/>
                <w:color w:val="auto"/>
              </w:rPr>
            </w:pPr>
            <w:r>
              <w:rPr>
                <w:rFonts w:ascii="Arial" w:cs="Arial" w:eastAsia="Arial" w:hAnsi="Arial"/>
                <w:sz w:val="18"/>
                <w:szCs w:val="18"/>
                <w:b w:val="1"/>
                <w:bCs w:val="1"/>
                <w:color w:val="auto"/>
              </w:rPr>
              <w:t>, 2020.</w:t>
            </w:r>
          </w:p>
        </w:tc>
      </w:tr>
      <w:tr>
        <w:trPr>
          <w:trHeight w:val="992"/>
        </w:trPr>
        <w:tc>
          <w:tcPr>
            <w:tcW w:w="5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74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1180" w:type="dxa"/>
            <w:vAlign w:val="bottom"/>
          </w:tcPr>
          <w:p>
            <w:pPr>
              <w:spacing w:after="0"/>
              <w:rPr>
                <w:sz w:val="20"/>
                <w:szCs w:val="20"/>
                <w:color w:val="auto"/>
              </w:rPr>
            </w:pPr>
          </w:p>
        </w:tc>
      </w:tr>
      <w:tr>
        <w:trPr>
          <w:trHeight w:val="418"/>
        </w:trPr>
        <w:tc>
          <w:tcPr>
            <w:tcW w:w="774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ABOUT THIS PROSPECTUS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WHERE YOU CAN FIND MORE INFORMATION; INCORPORATION BY REFERENCE</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ABOUT ARDELYX</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CAPITAL STOCK</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DESCRIPTION OF DEBT SECURITIES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DESCRIPTION OF WARRANTS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DESCRIPTION OF UNITS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GLOBAL SECURITIES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PLAN OF DISTRIBUTION</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MATTERS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740" w:type="dxa"/>
            <w:vAlign w:val="bottom"/>
          </w:tcPr>
          <w:p>
            <w:pPr>
              <w:ind w:lef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EXPERTS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006"/>
        </w:trPr>
        <w:tc>
          <w:tcPr>
            <w:tcW w:w="7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$250,000,000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68" w:lineRule="exact"/>
        <w:rPr>
          <w:sz w:val="20"/>
          <w:szCs w:val="20"/>
          <w:color w:val="auto"/>
        </w:rPr>
      </w:pPr>
    </w:p>
    <w:p>
      <w:pPr>
        <w:ind w:left="60" w:right="159"/>
        <w:spacing w:after="0" w:line="285"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69" w:lineRule="exact"/>
        <w:rPr>
          <w:sz w:val="20"/>
          <w:szCs w:val="20"/>
          <w:color w:val="auto"/>
        </w:rPr>
      </w:pPr>
    </w:p>
    <w:p>
      <w:pPr>
        <w:ind w:left="60" w:right="519"/>
        <w:spacing w:after="0" w:line="342" w:lineRule="auto"/>
        <w:rPr>
          <w:sz w:val="20"/>
          <w:szCs w:val="20"/>
          <w:color w:val="auto"/>
        </w:rPr>
      </w:pPr>
      <w:r>
        <w:rPr>
          <w:rFonts w:ascii="Arial" w:cs="Arial" w:eastAsia="Arial" w:hAnsi="Arial"/>
          <w:sz w:val="16"/>
          <w:szCs w:val="16"/>
          <w:color w:val="auto"/>
        </w:rPr>
        <w:t>When we refer to “Ardelyx,” “we,” “our,” “us” and the “Company” in this prospectus, we mean Ardelyx, Inc., unless otherwise specified. When we refer to “you,” we mean the potential holders of the applicable series of securities.</w:t>
      </w:r>
    </w:p>
    <w:p>
      <w:pPr>
        <w:spacing w:after="0" w:line="124" w:lineRule="exact"/>
        <w:rPr>
          <w:sz w:val="20"/>
          <w:szCs w:val="20"/>
          <w:color w:val="auto"/>
        </w:rPr>
      </w:pPr>
    </w:p>
    <w:p>
      <w:pPr>
        <w:ind w:left="60" w:right="419"/>
        <w:spacing w:after="0" w:line="275" w:lineRule="auto"/>
        <w:rPr>
          <w:sz w:val="20"/>
          <w:szCs w:val="20"/>
          <w:color w:val="auto"/>
        </w:rPr>
      </w:pPr>
      <w:r>
        <w:rPr>
          <w:rFonts w:ascii="Arial" w:cs="Arial" w:eastAsia="Arial" w:hAnsi="Arial"/>
          <w:sz w:val="17"/>
          <w:szCs w:val="17"/>
          <w:color w:val="auto"/>
        </w:rPr>
        <w:t>Ardelyx</w:t>
      </w:r>
      <w:r>
        <w:rPr>
          <w:rFonts w:ascii="Arial" w:cs="Arial" w:eastAsia="Arial" w:hAnsi="Arial"/>
          <w:sz w:val="14"/>
          <w:szCs w:val="14"/>
          <w:color w:val="auto"/>
        </w:rPr>
        <w:t>®</w:t>
      </w:r>
      <w:r>
        <w:rPr>
          <w:rFonts w:ascii="Arial" w:cs="Arial" w:eastAsia="Arial" w:hAnsi="Arial"/>
          <w:sz w:val="17"/>
          <w:szCs w:val="17"/>
          <w:color w:val="auto"/>
        </w:rPr>
        <w:t xml:space="preserve"> and our logo are some of our trademarks used in this prospectus. This prospectus also includes trademarks, tradenames, and service marks that are the property of other organizations. Solely for convenience, our trademarks and tradenames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and ™ symbols, but those references are not intended to indicate, in any way, that we will not assert, to the fullest extent under applicable law, our rights, or the right of the applicable licensor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www.ardelyx.com</w:t>
      </w:r>
      <w:r>
        <w:rPr>
          <w:rFonts w:ascii="Arial" w:cs="Arial" w:eastAsia="Arial" w:hAnsi="Arial"/>
          <w:sz w:val="18"/>
          <w:szCs w:val="18"/>
          <w:color w:val="auto"/>
        </w:rPr>
        <w:t>. The information on, or accessible through, our website, however, is not, and should not be deemed to be, a part of this prospectus or any prospectus supplement. We have included our website address as an inactive textual reference only.</w:t>
      </w:r>
    </w:p>
    <w:p>
      <w:pPr>
        <w:spacing w:after="0" w:line="184"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95"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Items 2.02 or 7.01 of Form 8-K or related exhibits furnished pursuant to Item 9.01 of Form 8-K.</w:t>
      </w:r>
    </w:p>
    <w:p>
      <w:pPr>
        <w:spacing w:after="0" w:line="19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70" w:lineRule="exact"/>
        <w:rPr>
          <w:sz w:val="20"/>
          <w:szCs w:val="20"/>
          <w:color w:val="auto"/>
        </w:rPr>
      </w:pPr>
    </w:p>
    <w:p>
      <w:pPr>
        <w:ind w:left="700" w:hanging="326"/>
        <w:spacing w:after="0"/>
        <w:tabs>
          <w:tab w:leader="none" w:pos="700" w:val="left"/>
        </w:tabs>
        <w:numPr>
          <w:ilvl w:val="0"/>
          <w:numId w:val="3"/>
        </w:numPr>
        <w:rPr>
          <w:rFonts w:ascii="Arial" w:cs="Arial" w:eastAsia="Arial" w:hAnsi="Arial"/>
          <w:sz w:val="16"/>
          <w:szCs w:val="16"/>
          <w:u w:val="single" w:color="auto"/>
          <w:color w:val="0000EE"/>
        </w:rPr>
      </w:pPr>
      <w:hyperlink r:id="rId28">
        <w:r>
          <w:rPr>
            <w:rFonts w:ascii="Arial" w:cs="Arial" w:eastAsia="Arial" w:hAnsi="Arial"/>
            <w:sz w:val="16"/>
            <w:szCs w:val="16"/>
            <w:u w:val="single" w:color="auto"/>
            <w:color w:val="0000EE"/>
          </w:rPr>
          <w:t>our Annual Report on Form 10-K for the year ended December 31, 2019, filed with the SEC on March 6, 2020;</w:t>
        </w:r>
      </w:hyperlink>
    </w:p>
    <w:p>
      <w:pPr>
        <w:spacing w:after="0" w:line="248" w:lineRule="exact"/>
        <w:rPr>
          <w:rFonts w:ascii="Arial" w:cs="Arial" w:eastAsia="Arial" w:hAnsi="Arial"/>
          <w:sz w:val="16"/>
          <w:szCs w:val="16"/>
          <w:u w:val="single" w:color="auto"/>
          <w:color w:val="0000EE"/>
        </w:rPr>
      </w:pPr>
    </w:p>
    <w:p>
      <w:pPr>
        <w:ind w:left="700" w:right="179" w:hanging="326"/>
        <w:spacing w:after="0" w:line="342" w:lineRule="auto"/>
        <w:tabs>
          <w:tab w:leader="none" w:pos="700" w:val="left"/>
        </w:tabs>
        <w:numPr>
          <w:ilvl w:val="0"/>
          <w:numId w:val="3"/>
        </w:numPr>
        <w:rPr>
          <w:rFonts w:ascii="Arial" w:cs="Arial" w:eastAsia="Arial" w:hAnsi="Arial"/>
          <w:sz w:val="16"/>
          <w:szCs w:val="16"/>
          <w:color w:val="0000EE"/>
        </w:rPr>
      </w:pPr>
      <w:hyperlink r:id="rId28">
        <w:r>
          <w:rPr>
            <w:rFonts w:ascii="Arial" w:cs="Arial" w:eastAsia="Arial" w:hAnsi="Arial"/>
            <w:sz w:val="16"/>
            <w:szCs w:val="16"/>
            <w:color w:val="auto"/>
          </w:rPr>
          <w:t xml:space="preserve">the information specifically incorporated by reference into our </w:t>
        </w:r>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color w:val="auto"/>
        </w:rPr>
        <w:t xml:space="preserve"> </w:t>
      </w:r>
      <w:hyperlink r:id="rId28">
        <w:r>
          <w:rPr>
            <w:rFonts w:ascii="Arial" w:cs="Arial" w:eastAsia="Arial" w:hAnsi="Arial"/>
            <w:sz w:val="16"/>
            <w:szCs w:val="16"/>
            <w:u w:val="single" w:color="auto"/>
            <w:color w:val="0000EE"/>
          </w:rPr>
          <w:t>December 31, 2019</w:t>
        </w:r>
        <w:r>
          <w:rPr>
            <w:rFonts w:ascii="Arial" w:cs="Arial" w:eastAsia="Arial" w:hAnsi="Arial"/>
            <w:sz w:val="16"/>
            <w:szCs w:val="16"/>
            <w:color w:val="0000EE"/>
          </w:rPr>
          <w:t xml:space="preserve"> </w:t>
        </w:r>
        <w:r>
          <w:rPr>
            <w:rFonts w:ascii="Arial" w:cs="Arial" w:eastAsia="Arial" w:hAnsi="Arial"/>
            <w:sz w:val="16"/>
            <w:szCs w:val="16"/>
            <w:color w:val="000000"/>
          </w:rPr>
          <w:t>from our</w:t>
        </w:r>
        <w:r>
          <w:rPr>
            <w:rFonts w:ascii="Arial" w:cs="Arial" w:eastAsia="Arial" w:hAnsi="Arial"/>
            <w:sz w:val="16"/>
            <w:szCs w:val="16"/>
            <w:color w:val="0000EE"/>
          </w:rPr>
          <w:t xml:space="preserve"> </w:t>
        </w:r>
      </w:hyperlink>
      <w:hyperlink r:id="rId29">
        <w:r>
          <w:rPr>
            <w:rFonts w:ascii="Arial" w:cs="Arial" w:eastAsia="Arial" w:hAnsi="Arial"/>
            <w:sz w:val="16"/>
            <w:szCs w:val="16"/>
            <w:u w:val="single" w:color="auto"/>
            <w:color w:val="0000EE"/>
          </w:rPr>
          <w:t>Definitive Proxy Statement on Schedule 14A filed with the SEC on April 27, 2020;</w:t>
        </w:r>
      </w:hyperlink>
    </w:p>
    <w:p>
      <w:pPr>
        <w:spacing w:after="0" w:line="123" w:lineRule="exact"/>
        <w:rPr>
          <w:rFonts w:ascii="Arial" w:cs="Arial" w:eastAsia="Arial" w:hAnsi="Arial"/>
          <w:sz w:val="16"/>
          <w:szCs w:val="16"/>
          <w:color w:val="0000EE"/>
        </w:rPr>
      </w:pPr>
    </w:p>
    <w:p>
      <w:pPr>
        <w:ind w:left="700" w:hanging="326"/>
        <w:spacing w:after="0"/>
        <w:tabs>
          <w:tab w:leader="none" w:pos="700" w:val="left"/>
        </w:tabs>
        <w:numPr>
          <w:ilvl w:val="0"/>
          <w:numId w:val="3"/>
        </w:numPr>
        <w:rPr>
          <w:rFonts w:ascii="Arial" w:cs="Arial" w:eastAsia="Arial" w:hAnsi="Arial"/>
          <w:sz w:val="17"/>
          <w:szCs w:val="17"/>
          <w:u w:val="single" w:color="auto"/>
          <w:color w:val="0000EE"/>
        </w:rPr>
      </w:pPr>
      <w:hyperlink r:id="rId30">
        <w:r>
          <w:rPr>
            <w:rFonts w:ascii="Arial" w:cs="Arial" w:eastAsia="Arial" w:hAnsi="Arial"/>
            <w:sz w:val="17"/>
            <w:szCs w:val="17"/>
            <w:u w:val="single" w:color="auto"/>
            <w:color w:val="0000EE"/>
          </w:rPr>
          <w:t>our Quarterly Report on Form 10-Q for the quarter ended March 31, 2020 filed with the SEC on May 7, 2020;</w:t>
        </w:r>
      </w:hyperlink>
    </w:p>
    <w:p>
      <w:pPr>
        <w:spacing w:after="0" w:line="236" w:lineRule="exact"/>
        <w:rPr>
          <w:rFonts w:ascii="Arial" w:cs="Arial" w:eastAsia="Arial" w:hAnsi="Arial"/>
          <w:sz w:val="17"/>
          <w:szCs w:val="17"/>
          <w:u w:val="single" w:color="auto"/>
          <w:color w:val="0000EE"/>
        </w:rPr>
      </w:pPr>
    </w:p>
    <w:p>
      <w:pPr>
        <w:ind w:left="700" w:right="37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1">
        <w:r>
          <w:rPr>
            <w:rFonts w:ascii="Arial" w:cs="Arial" w:eastAsia="Arial" w:hAnsi="Arial"/>
            <w:sz w:val="18"/>
            <w:szCs w:val="18"/>
            <w:u w:val="single" w:color="auto"/>
            <w:color w:val="0000EE"/>
          </w:rPr>
          <w:t>January 13, 2020</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March 17,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3">
        <w:r>
          <w:rPr>
            <w:rFonts w:ascii="Arial" w:cs="Arial" w:eastAsia="Arial" w:hAnsi="Arial"/>
            <w:sz w:val="18"/>
            <w:szCs w:val="18"/>
            <w:u w:val="single" w:color="auto"/>
            <w:color w:val="0000EE"/>
          </w:rPr>
          <w:t>June 10, 2020</w:t>
        </w:r>
      </w:hyperlink>
      <w:r>
        <w:rPr>
          <w:rFonts w:ascii="Arial" w:cs="Arial" w:eastAsia="Arial" w:hAnsi="Arial"/>
          <w:sz w:val="18"/>
          <w:szCs w:val="18"/>
          <w:color w:val="auto"/>
        </w:rPr>
        <w:t>; and</w:t>
      </w:r>
    </w:p>
    <w:p>
      <w:pPr>
        <w:spacing w:after="0" w:line="38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79" w:hanging="326"/>
        <w:spacing w:after="0" w:line="342" w:lineRule="auto"/>
        <w:tabs>
          <w:tab w:leader="none" w:pos="700" w:val="left"/>
        </w:tabs>
        <w:numPr>
          <w:ilvl w:val="0"/>
          <w:numId w:val="4"/>
        </w:numPr>
        <w:rPr>
          <w:rFonts w:ascii="Arial" w:cs="Arial" w:eastAsia="Arial" w:hAnsi="Arial"/>
          <w:sz w:val="16"/>
          <w:szCs w:val="16"/>
          <w:u w:val="single" w:color="auto"/>
          <w:color w:val="0000EE"/>
        </w:rPr>
      </w:pPr>
      <w:hyperlink r:id="rId35">
        <w:r>
          <w:rPr>
            <w:rFonts w:ascii="Arial" w:cs="Arial" w:eastAsia="Arial" w:hAnsi="Arial"/>
            <w:sz w:val="16"/>
            <w:szCs w:val="16"/>
            <w:u w:val="single" w:color="auto"/>
            <w:color w:val="0000EE"/>
          </w:rPr>
          <w:t>the description of our common stock contained in our registration statement on Form 8-A filed with the SEC on</w:t>
        </w:r>
      </w:hyperlink>
      <w:r>
        <w:rPr>
          <w:rFonts w:ascii="Arial" w:cs="Arial" w:eastAsia="Arial" w:hAnsi="Arial"/>
          <w:sz w:val="16"/>
          <w:szCs w:val="16"/>
          <w:u w:val="single" w:color="auto"/>
          <w:color w:val="0000EE"/>
        </w:rPr>
        <w:t xml:space="preserve"> </w:t>
      </w:r>
      <w:hyperlink r:id="rId35">
        <w:r>
          <w:rPr>
            <w:rFonts w:ascii="Arial" w:cs="Arial" w:eastAsia="Arial" w:hAnsi="Arial"/>
            <w:sz w:val="16"/>
            <w:szCs w:val="16"/>
            <w:u w:val="single" w:color="auto"/>
            <w:color w:val="0000EE"/>
          </w:rPr>
          <w:t>June 9, 2014, including any amendments or reports filed for the purpose of updating such description.</w:t>
        </w:r>
      </w:hyperlink>
    </w:p>
    <w:p>
      <w:pPr>
        <w:spacing w:after="0" w:line="124" w:lineRule="exact"/>
        <w:rPr>
          <w:rFonts w:ascii="Arial" w:cs="Arial" w:eastAsia="Arial" w:hAnsi="Arial"/>
          <w:sz w:val="16"/>
          <w:szCs w:val="16"/>
          <w:color w:val="auto"/>
        </w:rPr>
      </w:pPr>
    </w:p>
    <w:p>
      <w:pPr>
        <w:ind w:left="60" w:right="159"/>
        <w:spacing w:after="0" w:line="275"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6" w:lineRule="exact"/>
        <w:rPr>
          <w:rFonts w:ascii="Arial" w:cs="Arial" w:eastAsia="Arial" w:hAnsi="Arial"/>
          <w:sz w:val="16"/>
          <w:szCs w:val="16"/>
          <w:color w:val="auto"/>
        </w:rPr>
      </w:pPr>
    </w:p>
    <w:p>
      <w:pPr>
        <w:jc w:val="both"/>
        <w:ind w:left="60" w:right="439"/>
        <w:spacing w:after="0" w:line="263"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84"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Ardelyx, Inc.</w:t>
      </w:r>
    </w:p>
    <w:p>
      <w:pPr>
        <w:spacing w:after="0" w:line="23"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34175 Ardenwood Blvd.</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Fremont, CA 94555</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(510)745-1700</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Attention: Chief Legal and Administrative Officer</w:t>
      </w:r>
    </w:p>
    <w:p>
      <w:pPr>
        <w:spacing w:after="0" w:line="211" w:lineRule="exact"/>
        <w:rPr>
          <w:rFonts w:ascii="Arial" w:cs="Arial" w:eastAsia="Arial" w:hAnsi="Arial"/>
          <w:sz w:val="16"/>
          <w:szCs w:val="16"/>
          <w:color w:val="auto"/>
        </w:rPr>
      </w:pPr>
    </w:p>
    <w:p>
      <w:pPr>
        <w:ind w:left="60" w:right="259"/>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ARDELYX</w:t>
      </w:r>
    </w:p>
    <w:p>
      <w:pPr>
        <w:spacing w:after="0" w:line="229"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We are a specialized biopharmaceutical company focused on developing first-in-class medicines to improve treatment for people with kidney and cardiovascular diseases. This includes patients with chronic kidney disease, or CKD, on dialysis suffering from elevated serum phosphorus, or hyperphosphatemia; and CKD patients and/or heart failure patients with elevated serum potassium, or hyperkalemia. Our lead program is tenapanor, a first-in-class medicine for which we submitted a New Drug Application, or NDA, in June 2020 for the control of serum phosphorus in adult patients with CKD on dialysis. Tenapanor has a unique mechanism of action and acts locally in the gut to inhibit the sodium hydrogen exchanger 3, or NHE3. This results in the tightening of the epithelial cell junctions, thereby significantly reducing paracellular uptake of phosphate, the primary pathway of phosphate absorption.</w:t>
      </w:r>
    </w:p>
    <w:p>
      <w:pPr>
        <w:spacing w:after="0" w:line="178"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 xml:space="preserve">We were founded in October 2007 as a Delaware corporation under the name Nteryx, Inc. Our principal executive offices are located at 34175 Ardenwood Blvd., Fremont, CA 94555, and our telephone number is (510) 745-1700. Our website address is </w:t>
      </w:r>
      <w:r>
        <w:rPr>
          <w:rFonts w:ascii="Arial" w:cs="Arial" w:eastAsia="Arial" w:hAnsi="Arial"/>
          <w:sz w:val="16"/>
          <w:szCs w:val="16"/>
          <w:i w:val="1"/>
          <w:iCs w:val="1"/>
          <w:color w:val="auto"/>
        </w:rPr>
        <w:t>www.ardelyx.com</w:t>
      </w:r>
      <w:r>
        <w:rPr>
          <w:rFonts w:ascii="Arial" w:cs="Arial" w:eastAsia="Arial" w:hAnsi="Arial"/>
          <w:sz w:val="16"/>
          <w:szCs w:val="16"/>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or “Ardelyx” refer to Ardelyx,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included in our most recent Annual Report on Form 10-K, our most recent Quarterly Report on Form 10-Q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 For a complete description, you should refer to our amended and restated certificate of incorporation and amended and restated bylaws, copies of which are incorporated by reference as exhibits to the registration statement of which this prospectus is a part.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Our amended and restated certificate of incorporation authorizes 300,000,000 shares of common stock, $0.0001 par value per share, and 5,000,000 shares of preferred stock, $0.0001 par value per share.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60" w:right="259"/>
        <w:spacing w:after="0" w:line="293" w:lineRule="auto"/>
        <w:rPr>
          <w:sz w:val="20"/>
          <w:szCs w:val="20"/>
          <w:color w:val="auto"/>
        </w:rPr>
      </w:pPr>
      <w:r>
        <w:rPr>
          <w:rFonts w:ascii="Arial" w:cs="Arial" w:eastAsia="Arial" w:hAnsi="Arial"/>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will be, fully paid and nonassessable.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left="60" w:right="439"/>
        <w:spacing w:after="0" w:line="311"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174" w:lineRule="exact"/>
        <w:rPr>
          <w:sz w:val="20"/>
          <w:szCs w:val="20"/>
          <w:color w:val="auto"/>
        </w:rPr>
      </w:pPr>
    </w:p>
    <w:p>
      <w:pPr>
        <w:ind w:left="60" w:right="239"/>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66"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Some provisions of Delaware law and our amended and restated certificate of incorporation and our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92"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left="60" w:right="259"/>
        <w:spacing w:after="0" w:line="286" w:lineRule="auto"/>
        <w:rPr>
          <w:sz w:val="20"/>
          <w:szCs w:val="20"/>
          <w:color w:val="auto"/>
        </w:rPr>
      </w:pPr>
      <w:r>
        <w:rPr>
          <w:rFonts w:ascii="Arial" w:cs="Arial" w:eastAsia="Arial" w:hAnsi="Arial"/>
          <w:sz w:val="17"/>
          <w:szCs w:val="17"/>
          <w:color w:val="auto"/>
        </w:rPr>
        <w:t>We are subject to the provisions of Section 203 of the Delaware General Corporation Law. Under Section 203, we would generally be prohibited from engaging in any business combination with any interested stockholder for a period of three years following the time that this stockholder became an interested stockholder unless:</w:t>
      </w:r>
    </w:p>
    <w:p>
      <w:pPr>
        <w:spacing w:after="0" w:line="165" w:lineRule="exact"/>
        <w:rPr>
          <w:sz w:val="20"/>
          <w:szCs w:val="20"/>
          <w:color w:val="auto"/>
        </w:rPr>
      </w:pPr>
    </w:p>
    <w:p>
      <w:pPr>
        <w:ind w:left="700" w:right="659" w:hanging="326"/>
        <w:spacing w:after="0" w:line="308"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prior to this time, the board of directors of the corporation approved either the business combination or the transaction that resulted in the stockholder becoming an interested stockholder;</w:t>
      </w:r>
    </w:p>
    <w:p>
      <w:pPr>
        <w:spacing w:after="0" w:line="146" w:lineRule="exact"/>
        <w:rPr>
          <w:rFonts w:ascii="Arial" w:cs="Arial" w:eastAsia="Arial" w:hAnsi="Arial"/>
          <w:sz w:val="17"/>
          <w:szCs w:val="17"/>
          <w:color w:val="auto"/>
        </w:rPr>
      </w:pPr>
    </w:p>
    <w:p>
      <w:pPr>
        <w:ind w:left="700" w:right="139" w:hanging="326"/>
        <w:spacing w:after="0" w:line="275"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76" w:lineRule="exact"/>
        <w:rPr>
          <w:rFonts w:ascii="Arial" w:cs="Arial" w:eastAsia="Arial" w:hAnsi="Arial"/>
          <w:sz w:val="17"/>
          <w:szCs w:val="17"/>
          <w:color w:val="auto"/>
        </w:rPr>
      </w:pPr>
    </w:p>
    <w:p>
      <w:pPr>
        <w:ind w:left="700" w:right="119" w:hanging="326"/>
        <w:spacing w:after="0" w:line="286"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Under Section 203, a “business combination” includes:</w:t>
      </w:r>
    </w:p>
    <w:p>
      <w:pPr>
        <w:spacing w:after="0" w:line="225" w:lineRule="exact"/>
        <w:rPr>
          <w:sz w:val="20"/>
          <w:szCs w:val="20"/>
          <w:color w:val="auto"/>
        </w:rPr>
      </w:pPr>
    </w:p>
    <w:p>
      <w:pPr>
        <w:ind w:left="700" w:hanging="32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700" w:right="659" w:hanging="326"/>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70" w:lineRule="exact"/>
        <w:rPr>
          <w:rFonts w:ascii="Arial" w:cs="Arial" w:eastAsia="Arial" w:hAnsi="Arial"/>
          <w:sz w:val="18"/>
          <w:szCs w:val="18"/>
          <w:color w:val="auto"/>
        </w:rPr>
      </w:pPr>
    </w:p>
    <w:p>
      <w:pPr>
        <w:ind w:left="700" w:right="439" w:hanging="326"/>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79" w:hanging="326"/>
        <w:spacing w:after="0" w:line="308"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of any class or series of the corporation beneficially owned by the interested stockholder; or</w:t>
      </w:r>
    </w:p>
    <w:p>
      <w:pPr>
        <w:spacing w:after="0" w:line="146" w:lineRule="exact"/>
        <w:rPr>
          <w:rFonts w:ascii="Arial" w:cs="Arial" w:eastAsia="Arial" w:hAnsi="Arial"/>
          <w:sz w:val="17"/>
          <w:szCs w:val="17"/>
          <w:color w:val="auto"/>
        </w:rPr>
      </w:pPr>
    </w:p>
    <w:p>
      <w:pPr>
        <w:ind w:left="700" w:right="659" w:hanging="32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jc w:val="both"/>
        <w:ind w:left="60" w:right="379"/>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jc w:val="both"/>
        <w:ind w:left="60" w:right="579"/>
        <w:spacing w:after="0" w:line="263"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Our amended and restated certificate of incorporation eliminates the right of stockholders to act by written consent without a meeting.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225"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at least a 66 2/3% stockholder vote. Furthermore, any vacancy on our board of directors, however occurring, including a vacancy resulting from an increase in the size of our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 for any derivative action or proceeding brought on our behalf; any action asserting a breach of fiduciary duty, or other wrongdoing by, any of our directors, officers, employees or stockholders; any action asserting a claim against us or any of our directors, officers or employees arising pursuant to the Delaware General Corporation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Law, our amended and restated certificate of incorporation or our amended and restated bylaws; any action to interpret, apply, enforce or determine the validity of our amended and restated certificate of incorporation or our amended and restated bylaws; or any action asserting a claim against us or any of our directors, officers or employees that is governed by the internal affairs doctrine; provided, that, this provision would not apply to suits brought to enforce a duty or liability created by the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Although our amended and restated certificate of incorporation contains the choice of forum provision described above, there is uncertainty as to whether a court would enforce such provision and it is possible that a court could find that such a provision is inapplicable for a particular claim or action or that such provision is unenforceable. We note that investors cannot waive compliance with the federal securities laws and the rules and regulations thereunder.</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jc w:val="both"/>
        <w:ind w:left="60" w:right="339"/>
        <w:spacing w:after="0" w:line="263"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66 2/3% of the voting power of our then outstanding voting stock.</w:t>
      </w:r>
    </w:p>
    <w:p>
      <w:pPr>
        <w:spacing w:after="0" w:line="184"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29"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for breach of fiduciary duty as a director to the fullest extent permitted by Delaware law. Consequently, our directors will not be personally liable to us or our stockholders for monetary damages for any breach of fiduciary duties as directors, except liability for:</w:t>
      </w:r>
    </w:p>
    <w:p>
      <w:pPr>
        <w:spacing w:after="0" w:line="187" w:lineRule="exact"/>
        <w:rPr>
          <w:sz w:val="20"/>
          <w:szCs w:val="20"/>
          <w:color w:val="auto"/>
        </w:rPr>
      </w:pPr>
    </w:p>
    <w:p>
      <w:pPr>
        <w:ind w:left="700" w:hanging="32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6" w:lineRule="exact"/>
        <w:rPr>
          <w:rFonts w:ascii="Arial" w:cs="Arial" w:eastAsia="Arial" w:hAnsi="Arial"/>
          <w:sz w:val="17"/>
          <w:szCs w:val="17"/>
          <w:color w:val="auto"/>
        </w:rPr>
      </w:pPr>
    </w:p>
    <w:p>
      <w:pPr>
        <w:ind w:left="700" w:right="259" w:hanging="32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action or proceeding. We believe that these bylaw provisions and indemnification agreements are necessary to attract and retain qualified persons as directors and officers. We also maintain directors’ and officers’ liability insurance.</w:t>
      </w:r>
    </w:p>
    <w:p>
      <w:pPr>
        <w:spacing w:after="0" w:line="124"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Nasdaq Global Market Listing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listed on the Nasdaq Global Market under the symbol “ARDX.”</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6"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87"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The debt securities will be issued under an indenture between us and a third party to be identified therein.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61"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As used in this section only, “Ardelyx,” “we,” “our” or “us” refer to Ardelyx, Inc. excluding our subsidiaries, unless expressly stated or the context otherwise requires.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71"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1" w:lineRule="exact"/>
        <w:rPr>
          <w:sz w:val="20"/>
          <w:szCs w:val="20"/>
          <w:color w:val="auto"/>
        </w:rPr>
      </w:pP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price or prices (expressed as a percentage of the principal amount) at which we will sell the debt securities;</w:t>
      </w:r>
    </w:p>
    <w:p>
      <w:pPr>
        <w:spacing w:after="0" w:line="248" w:lineRule="exact"/>
        <w:rPr>
          <w:rFonts w:ascii="Arial" w:cs="Arial" w:eastAsia="Arial" w:hAnsi="Arial"/>
          <w:sz w:val="16"/>
          <w:szCs w:val="16"/>
          <w:color w:val="auto"/>
        </w:rPr>
      </w:pP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left="700" w:right="219" w:hanging="326"/>
        <w:spacing w:after="0" w:line="301"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57" w:lineRule="exact"/>
        <w:rPr>
          <w:rFonts w:ascii="Arial" w:cs="Arial" w:eastAsia="Arial" w:hAnsi="Arial"/>
          <w:sz w:val="16"/>
          <w:szCs w:val="16"/>
          <w:color w:val="auto"/>
        </w:rPr>
      </w:pPr>
    </w:p>
    <w:p>
      <w:pPr>
        <w:jc w:val="both"/>
        <w:ind w:left="700" w:right="199" w:hanging="326"/>
        <w:spacing w:after="0" w:line="311"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79" w:hanging="32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170" w:lineRule="exact"/>
        <w:rPr>
          <w:rFonts w:ascii="Arial" w:cs="Arial" w:eastAsia="Arial" w:hAnsi="Arial"/>
          <w:sz w:val="18"/>
          <w:szCs w:val="18"/>
          <w:color w:val="auto"/>
        </w:rPr>
      </w:pPr>
    </w:p>
    <w:p>
      <w:pPr>
        <w:ind w:left="700" w:right="119" w:hanging="326"/>
        <w:spacing w:after="0" w:line="25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186" w:lineRule="exact"/>
        <w:rPr>
          <w:rFonts w:ascii="Arial" w:cs="Arial" w:eastAsia="Arial" w:hAnsi="Arial"/>
          <w:sz w:val="18"/>
          <w:szCs w:val="18"/>
          <w:color w:val="auto"/>
        </w:rPr>
      </w:pPr>
    </w:p>
    <w:p>
      <w:pPr>
        <w:ind w:left="700" w:right="219" w:hanging="326"/>
        <w:spacing w:after="0" w:line="308"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dates on which and the price or prices at which we will repurchase debt securities at the option of the holders of debt securities and other detailed terms and provisions of these repurchase obligations;</w:t>
      </w:r>
    </w:p>
    <w:p>
      <w:pPr>
        <w:spacing w:after="0" w:line="146" w:lineRule="exact"/>
        <w:rPr>
          <w:rFonts w:ascii="Arial" w:cs="Arial" w:eastAsia="Arial" w:hAnsi="Arial"/>
          <w:sz w:val="17"/>
          <w:szCs w:val="17"/>
          <w:color w:val="auto"/>
        </w:rPr>
      </w:pPr>
    </w:p>
    <w:p>
      <w:pPr>
        <w:ind w:left="700" w:right="539" w:hanging="32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whether the debt securities will be issued in the form of certificated debt securities or global debt securities;</w:t>
      </w:r>
    </w:p>
    <w:p>
      <w:pPr>
        <w:spacing w:after="0" w:line="236" w:lineRule="exact"/>
        <w:rPr>
          <w:rFonts w:ascii="Arial" w:cs="Arial" w:eastAsia="Arial" w:hAnsi="Arial"/>
          <w:sz w:val="17"/>
          <w:szCs w:val="17"/>
          <w:color w:val="auto"/>
        </w:rPr>
      </w:pPr>
    </w:p>
    <w:p>
      <w:pPr>
        <w:ind w:left="700" w:right="459" w:hanging="32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70"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83" w:lineRule="exact"/>
        <w:rPr>
          <w:rFonts w:ascii="Arial" w:cs="Arial" w:eastAsia="Arial" w:hAnsi="Arial"/>
          <w:sz w:val="18"/>
          <w:szCs w:val="18"/>
          <w:color w:val="auto"/>
        </w:rPr>
      </w:pPr>
    </w:p>
    <w:p>
      <w:pPr>
        <w:ind w:left="700" w:right="559" w:hanging="32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70" w:lineRule="exact"/>
        <w:rPr>
          <w:rFonts w:ascii="Arial" w:cs="Arial" w:eastAsia="Arial" w:hAnsi="Arial"/>
          <w:sz w:val="18"/>
          <w:szCs w:val="18"/>
          <w:color w:val="auto"/>
        </w:rPr>
      </w:pPr>
    </w:p>
    <w:p>
      <w:pPr>
        <w:ind w:left="700" w:right="279" w:hanging="326"/>
        <w:spacing w:after="0" w:line="263"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83" w:lineRule="exact"/>
        <w:rPr>
          <w:rFonts w:ascii="Arial" w:cs="Arial" w:eastAsia="Arial" w:hAnsi="Arial"/>
          <w:sz w:val="18"/>
          <w:szCs w:val="18"/>
          <w:color w:val="auto"/>
        </w:rPr>
      </w:pPr>
    </w:p>
    <w:p>
      <w:pPr>
        <w:ind w:left="700" w:right="379" w:hanging="326"/>
        <w:spacing w:after="0" w:line="311"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48" w:lineRule="exact"/>
        <w:rPr>
          <w:rFonts w:ascii="Arial" w:cs="Arial" w:eastAsia="Arial" w:hAnsi="Arial"/>
          <w:sz w:val="16"/>
          <w:szCs w:val="16"/>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25" w:lineRule="exact"/>
        <w:rPr>
          <w:rFonts w:ascii="Arial" w:cs="Arial" w:eastAsia="Arial" w:hAnsi="Arial"/>
          <w:sz w:val="18"/>
          <w:szCs w:val="18"/>
          <w:color w:val="auto"/>
        </w:rPr>
      </w:pPr>
    </w:p>
    <w:p>
      <w:pPr>
        <w:ind w:left="700" w:right="99" w:hanging="326"/>
        <w:spacing w:after="0" w:line="263"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83"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described in this prospectus or in the indenture with respect to the debt securities;</w:t>
      </w:r>
    </w:p>
    <w:p>
      <w:pPr>
        <w:spacing w:after="0" w:line="170" w:lineRule="exact"/>
        <w:rPr>
          <w:rFonts w:ascii="Arial" w:cs="Arial" w:eastAsia="Arial" w:hAnsi="Arial"/>
          <w:sz w:val="18"/>
          <w:szCs w:val="18"/>
          <w:color w:val="auto"/>
        </w:rPr>
      </w:pPr>
    </w:p>
    <w:p>
      <w:pPr>
        <w:ind w:left="700" w:right="239" w:hanging="32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170" w:lineRule="exact"/>
        <w:rPr>
          <w:rFonts w:ascii="Arial" w:cs="Arial" w:eastAsia="Arial" w:hAnsi="Arial"/>
          <w:sz w:val="18"/>
          <w:szCs w:val="18"/>
          <w:color w:val="auto"/>
        </w:rPr>
      </w:pPr>
    </w:p>
    <w:p>
      <w:pPr>
        <w:ind w:left="700" w:right="159" w:hanging="326"/>
        <w:spacing w:after="0" w:line="25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159" w:hanging="326"/>
        <w:spacing w:after="0" w:line="263"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83" w:lineRule="exact"/>
        <w:rPr>
          <w:rFonts w:ascii="Arial" w:cs="Arial" w:eastAsia="Arial" w:hAnsi="Arial"/>
          <w:sz w:val="18"/>
          <w:szCs w:val="18"/>
          <w:color w:val="auto"/>
        </w:rPr>
      </w:pPr>
    </w:p>
    <w:p>
      <w:pPr>
        <w:ind w:left="700" w:right="399" w:hanging="32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70"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7" w:lineRule="exact"/>
        <w:rPr>
          <w:sz w:val="20"/>
          <w:szCs w:val="20"/>
          <w:color w:val="auto"/>
        </w:rPr>
      </w:pPr>
    </w:p>
    <w:p>
      <w:pPr>
        <w:ind w:left="60" w:right="239"/>
        <w:spacing w:after="0" w:line="296"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ind w:left="60" w:right="299"/>
        <w:spacing w:after="0" w:line="273" w:lineRule="auto"/>
        <w:rPr>
          <w:sz w:val="20"/>
          <w:szCs w:val="20"/>
          <w:color w:val="auto"/>
        </w:rPr>
      </w:pPr>
      <w:r>
        <w:rPr>
          <w:rFonts w:ascii="Arial" w:cs="Arial" w:eastAsia="Arial" w:hAnsi="Arial"/>
          <w:sz w:val="17"/>
          <w:szCs w:val="17"/>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78" w:lineRule="exact"/>
        <w:rPr>
          <w:sz w:val="20"/>
          <w:szCs w:val="20"/>
          <w:color w:val="auto"/>
        </w:rPr>
      </w:pPr>
    </w:p>
    <w:p>
      <w:pPr>
        <w:ind w:left="60" w:right="339"/>
        <w:spacing w:after="0" w:line="279" w:lineRule="auto"/>
        <w:rPr>
          <w:sz w:val="20"/>
          <w:szCs w:val="20"/>
          <w:color w:val="auto"/>
        </w:rPr>
      </w:pPr>
      <w:r>
        <w:rPr>
          <w:rFonts w:ascii="Arial" w:cs="Arial" w:eastAsia="Arial" w:hAnsi="Arial"/>
          <w:sz w:val="17"/>
          <w:szCs w:val="17"/>
          <w:i w:val="1"/>
          <w:iCs w:val="1"/>
          <w:color w:val="auto"/>
        </w:rPr>
        <w:t>Certificated Debt Securities</w:t>
      </w:r>
      <w:r>
        <w:rPr>
          <w:rFonts w:ascii="Arial" w:cs="Arial" w:eastAsia="Arial" w:hAnsi="Arial"/>
          <w:sz w:val="17"/>
          <w:szCs w:val="17"/>
          <w:color w:val="auto"/>
        </w:rPr>
        <w:t>. You may transfer or exchange certificated debt securities at any office we maintain for this</w:t>
      </w:r>
      <w:r>
        <w:rPr>
          <w:rFonts w:ascii="Arial" w:cs="Arial" w:eastAsia="Arial" w:hAnsi="Arial"/>
          <w:sz w:val="17"/>
          <w:szCs w:val="17"/>
          <w:i w:val="1"/>
          <w:iCs w:val="1"/>
          <w:color w:val="auto"/>
        </w:rPr>
        <w:t xml:space="preserve"> </w:t>
      </w:r>
      <w:r>
        <w:rPr>
          <w:rFonts w:ascii="Arial" w:cs="Arial" w:eastAsia="Arial" w:hAnsi="Arial"/>
          <w:sz w:val="17"/>
          <w:szCs w:val="17"/>
          <w:color w:val="auto"/>
        </w:rPr>
        <w:t>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71"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7"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i w:val="1"/>
          <w:iCs w:val="1"/>
          <w:color w:val="auto"/>
        </w:rPr>
        <w:t>Global Debt Securities and Book-Entry System</w:t>
      </w:r>
      <w:r>
        <w:rPr>
          <w:rFonts w:ascii="Arial" w:cs="Arial" w:eastAsia="Arial" w:hAnsi="Arial"/>
          <w:sz w:val="18"/>
          <w:szCs w:val="18"/>
          <w:color w:val="auto"/>
        </w:rPr>
        <w:t>. Each global debt security representing book-entry debt securities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deposited with, or on behalf of, the Depositary, and registered in the name of the Depositary or a nominee of the Depositary. Please see “Global Securities.”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70" w:lineRule="exact"/>
        <w:rPr>
          <w:sz w:val="20"/>
          <w:szCs w:val="20"/>
          <w:color w:val="auto"/>
        </w:rPr>
      </w:pPr>
    </w:p>
    <w:p>
      <w:pPr>
        <w:jc w:val="both"/>
        <w:ind w:left="700" w:right="359" w:hanging="326"/>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person (if other than Ardelyx) is a corporation organized and validly existing under the laws of any U.S. domestic jurisdiction and expressly assumes our obligations on the debt securities and under the indenture; and</w:t>
      </w:r>
    </w:p>
    <w:p>
      <w:pPr>
        <w:spacing w:after="0" w:line="183" w:lineRule="exact"/>
        <w:rPr>
          <w:rFonts w:ascii="Arial" w:cs="Arial" w:eastAsia="Arial" w:hAnsi="Arial"/>
          <w:sz w:val="18"/>
          <w:szCs w:val="18"/>
          <w:color w:val="auto"/>
        </w:rPr>
      </w:pPr>
    </w:p>
    <w:p>
      <w:pPr>
        <w:ind w:left="700" w:right="499" w:hanging="32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1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 (Section 5.1)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25" w:lineRule="exact"/>
        <w:rPr>
          <w:sz w:val="20"/>
          <w:szCs w:val="20"/>
          <w:color w:val="auto"/>
        </w:rPr>
      </w:pPr>
    </w:p>
    <w:p>
      <w:pPr>
        <w:ind w:left="700" w:right="179" w:hanging="326"/>
        <w:spacing w:after="0" w:line="286"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38" w:lineRule="exact"/>
        <w:rPr>
          <w:rFonts w:ascii="Arial" w:cs="Arial" w:eastAsia="Arial" w:hAnsi="Arial"/>
          <w:sz w:val="17"/>
          <w:szCs w:val="17"/>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84" w:lineRule="exact"/>
        <w:rPr>
          <w:rFonts w:ascii="Arial" w:cs="Arial" w:eastAsia="Arial" w:hAnsi="Arial"/>
          <w:sz w:val="18"/>
          <w:szCs w:val="18"/>
          <w:color w:val="auto"/>
        </w:rPr>
      </w:pPr>
    </w:p>
    <w:p>
      <w:pPr>
        <w:ind w:left="700" w:right="379" w:hanging="326"/>
        <w:spacing w:after="0" w:line="296"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Ardelyx and the trustee receive written notice from the holders of not less than 25% in principal amount of the outstanding debt securities of that series as provided in the indenture;</w:t>
      </w:r>
    </w:p>
    <w:p>
      <w:pPr>
        <w:spacing w:after="0" w:line="120" w:lineRule="exact"/>
        <w:rPr>
          <w:rFonts w:ascii="Arial" w:cs="Arial" w:eastAsia="Arial" w:hAnsi="Arial"/>
          <w:sz w:val="16"/>
          <w:szCs w:val="16"/>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Ardelyx; and</w:t>
      </w:r>
    </w:p>
    <w:p>
      <w:pPr>
        <w:spacing w:after="0" w:line="198" w:lineRule="exact"/>
        <w:rPr>
          <w:rFonts w:ascii="Arial" w:cs="Arial" w:eastAsia="Arial" w:hAnsi="Arial"/>
          <w:sz w:val="18"/>
          <w:szCs w:val="18"/>
          <w:color w:val="auto"/>
        </w:rPr>
      </w:pPr>
    </w:p>
    <w:p>
      <w:pPr>
        <w:ind w:left="700" w:right="119" w:hanging="32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30"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71"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65"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4" w:lineRule="exact"/>
        <w:rPr>
          <w:sz w:val="20"/>
          <w:szCs w:val="20"/>
          <w:color w:val="auto"/>
        </w:rPr>
      </w:pPr>
    </w:p>
    <w:p>
      <w:pPr>
        <w:ind w:left="60" w:right="259"/>
        <w:spacing w:after="0" w:line="293" w:lineRule="auto"/>
        <w:rPr>
          <w:sz w:val="20"/>
          <w:szCs w:val="20"/>
          <w:color w:val="auto"/>
        </w:rPr>
      </w:pPr>
      <w:r>
        <w:rPr>
          <w:rFonts w:ascii="Arial" w:cs="Arial" w:eastAsia="Arial" w:hAnsi="Arial"/>
          <w:sz w:val="16"/>
          <w:szCs w:val="16"/>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64" w:lineRule="exact"/>
        <w:rPr>
          <w:sz w:val="20"/>
          <w:szCs w:val="20"/>
          <w:color w:val="auto"/>
        </w:rPr>
      </w:pPr>
    </w:p>
    <w:p>
      <w:pPr>
        <w:jc w:val="both"/>
        <w:ind w:left="60" w:right="479"/>
        <w:spacing w:after="0" w:line="342" w:lineRule="auto"/>
        <w:rPr>
          <w:sz w:val="20"/>
          <w:szCs w:val="20"/>
          <w:color w:val="auto"/>
        </w:rPr>
      </w:pPr>
      <w:r>
        <w:rPr>
          <w:rFonts w:ascii="Arial" w:cs="Arial" w:eastAsia="Arial" w:hAnsi="Arial"/>
          <w:sz w:val="16"/>
          <w:szCs w:val="16"/>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24" w:lineRule="exact"/>
        <w:rPr>
          <w:sz w:val="20"/>
          <w:szCs w:val="20"/>
          <w:color w:val="auto"/>
        </w:rPr>
      </w:pPr>
    </w:p>
    <w:p>
      <w:pPr>
        <w:ind w:left="700" w:right="159" w:hanging="32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170" w:lineRule="exact"/>
        <w:rPr>
          <w:rFonts w:ascii="Arial" w:cs="Arial" w:eastAsia="Arial" w:hAnsi="Arial"/>
          <w:sz w:val="18"/>
          <w:szCs w:val="18"/>
          <w:color w:val="auto"/>
        </w:rPr>
      </w:pPr>
    </w:p>
    <w:p>
      <w:pPr>
        <w:ind w:left="700" w:right="199" w:hanging="326"/>
        <w:spacing w:after="0" w:line="25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8" w:lineRule="exact"/>
        <w:rPr>
          <w:sz w:val="20"/>
          <w:szCs w:val="20"/>
          <w:color w:val="auto"/>
        </w:rPr>
      </w:pPr>
    </w:p>
    <w:p>
      <w:pPr>
        <w:ind w:left="60" w:right="359"/>
        <w:spacing w:after="0" w:line="311" w:lineRule="auto"/>
        <w:rPr>
          <w:sz w:val="20"/>
          <w:szCs w:val="20"/>
          <w:color w:val="auto"/>
        </w:rPr>
      </w:pPr>
      <w:r>
        <w:rPr>
          <w:rFonts w:ascii="Arial" w:cs="Arial" w:eastAsia="Arial" w:hAnsi="Arial"/>
          <w:sz w:val="16"/>
          <w:szCs w:val="16"/>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49"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170" w:lineRule="exact"/>
        <w:rPr>
          <w:sz w:val="20"/>
          <w:szCs w:val="20"/>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700" w:right="139" w:hanging="32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25" w:lineRule="exact"/>
        <w:rPr>
          <w:rFonts w:ascii="Arial" w:cs="Arial" w:eastAsia="Arial" w:hAnsi="Arial"/>
          <w:sz w:val="18"/>
          <w:szCs w:val="18"/>
          <w:color w:val="auto"/>
        </w:rPr>
      </w:pPr>
    </w:p>
    <w:p>
      <w:pPr>
        <w:ind w:left="700" w:right="299" w:hanging="32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debt securities of any series as permitted by the indenture;</w:t>
      </w:r>
    </w:p>
    <w:p>
      <w:pPr>
        <w:spacing w:after="0" w:line="170" w:lineRule="exact"/>
        <w:rPr>
          <w:rFonts w:ascii="Arial" w:cs="Arial" w:eastAsia="Arial" w:hAnsi="Arial"/>
          <w:sz w:val="18"/>
          <w:szCs w:val="18"/>
          <w:color w:val="auto"/>
        </w:rPr>
      </w:pPr>
    </w:p>
    <w:p>
      <w:pPr>
        <w:ind w:left="700" w:right="199" w:hanging="326"/>
        <w:spacing w:after="0" w:line="263"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83" w:lineRule="exact"/>
        <w:rPr>
          <w:rFonts w:ascii="Arial" w:cs="Arial" w:eastAsia="Arial" w:hAnsi="Arial"/>
          <w:sz w:val="18"/>
          <w:szCs w:val="18"/>
          <w:color w:val="auto"/>
        </w:rPr>
      </w:pPr>
    </w:p>
    <w:p>
      <w:pPr>
        <w:ind w:left="700" w:right="179" w:hanging="32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87" w:lineRule="exact"/>
        <w:rPr>
          <w:sz w:val="20"/>
          <w:szCs w:val="20"/>
          <w:color w:val="auto"/>
        </w:rPr>
      </w:pPr>
    </w:p>
    <w:p>
      <w:pPr>
        <w:ind w:left="700" w:hanging="326"/>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 the amount of debt securities whose holders must consent to an amendment, supplement or waiver;</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 the rate of or extend the time for payment of interest (including default interest) on any debt security;</w:t>
      </w:r>
    </w:p>
    <w:p>
      <w:pPr>
        <w:spacing w:after="0" w:line="236" w:lineRule="exact"/>
        <w:rPr>
          <w:rFonts w:ascii="Arial" w:cs="Arial" w:eastAsia="Arial" w:hAnsi="Arial"/>
          <w:sz w:val="17"/>
          <w:szCs w:val="17"/>
          <w:color w:val="auto"/>
        </w:rPr>
      </w:pPr>
    </w:p>
    <w:p>
      <w:pPr>
        <w:jc w:val="both"/>
        <w:ind w:left="700" w:right="179" w:hanging="326"/>
        <w:spacing w:after="0" w:line="263"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83"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25" w:lineRule="exact"/>
        <w:rPr>
          <w:rFonts w:ascii="Arial" w:cs="Arial" w:eastAsia="Arial" w:hAnsi="Arial"/>
          <w:sz w:val="18"/>
          <w:szCs w:val="18"/>
          <w:color w:val="auto"/>
        </w:rPr>
      </w:pPr>
    </w:p>
    <w:p>
      <w:pPr>
        <w:ind w:left="700" w:right="119" w:hanging="326"/>
        <w:spacing w:after="0" w:line="259"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86" w:lineRule="exact"/>
        <w:rPr>
          <w:rFonts w:ascii="Arial" w:cs="Arial" w:eastAsia="Arial" w:hAnsi="Arial"/>
          <w:sz w:val="18"/>
          <w:szCs w:val="18"/>
          <w:color w:val="auto"/>
        </w:rPr>
      </w:pPr>
    </w:p>
    <w:p>
      <w:pPr>
        <w:ind w:left="700" w:right="159" w:hanging="32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170" w:lineRule="exact"/>
        <w:rPr>
          <w:rFonts w:ascii="Arial" w:cs="Arial" w:eastAsia="Arial" w:hAnsi="Arial"/>
          <w:sz w:val="18"/>
          <w:szCs w:val="18"/>
          <w:color w:val="auto"/>
        </w:rPr>
      </w:pPr>
    </w:p>
    <w:p>
      <w:pPr>
        <w:jc w:val="both"/>
        <w:ind w:left="700" w:right="99" w:hanging="326"/>
        <w:spacing w:after="0" w:line="286"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165" w:lineRule="exact"/>
        <w:rPr>
          <w:rFonts w:ascii="Arial" w:cs="Arial" w:eastAsia="Arial" w:hAnsi="Arial"/>
          <w:sz w:val="17"/>
          <w:szCs w:val="17"/>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the outstanding debt securities of any series may rescind an acceleration and its consequences, including any related payment default that resulted from the acceleration. (Section 6.13)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29"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provides that, unless otherwise provided by the terms of the applicable series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5"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6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debt securities, upon compliance with certain conditions:</w:t>
      </w:r>
    </w:p>
    <w:p>
      <w:pPr>
        <w:spacing w:after="0" w:line="170" w:lineRule="exact"/>
        <w:rPr>
          <w:sz w:val="20"/>
          <w:szCs w:val="20"/>
          <w:color w:val="auto"/>
        </w:rPr>
      </w:pPr>
    </w:p>
    <w:p>
      <w:pPr>
        <w:ind w:left="700" w:right="259" w:hanging="326"/>
        <w:spacing w:after="0" w:line="263"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ind w:left="700" w:right="119" w:hanging="326"/>
        <w:spacing w:after="0" w:line="291"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66" w:lineRule="exact"/>
        <w:rPr>
          <w:rFonts w:ascii="Arial" w:cs="Arial" w:eastAsia="Arial" w:hAnsi="Arial"/>
          <w:sz w:val="16"/>
          <w:szCs w:val="16"/>
          <w:color w:val="auto"/>
        </w:rPr>
      </w:pPr>
    </w:p>
    <w:p>
      <w:pPr>
        <w:ind w:left="700" w:right="79" w:hanging="326"/>
        <w:spacing w:after="0" w:line="271" w:lineRule="auto"/>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229"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w:t>
      </w:r>
    </w:p>
    <w:p>
      <w:pPr>
        <w:spacing w:after="0" w:line="165"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49"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1"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170" w:lineRule="exact"/>
        <w:rPr>
          <w:sz w:val="20"/>
          <w:szCs w:val="20"/>
          <w:color w:val="auto"/>
        </w:rPr>
      </w:pPr>
    </w:p>
    <w:p>
      <w:pPr>
        <w:ind w:left="700" w:right="259" w:hanging="326"/>
        <w:spacing w:after="0" w:line="34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shares of common stock or preferred stock purchasable upon the exercise of warrants to purchase such shares and the price at which such number of shares may be purchased upon such exercise;</w:t>
      </w:r>
    </w:p>
    <w:p>
      <w:pPr>
        <w:spacing w:after="0" w:line="123" w:lineRule="exact"/>
        <w:rPr>
          <w:rFonts w:ascii="Arial" w:cs="Arial" w:eastAsia="Arial" w:hAnsi="Arial"/>
          <w:sz w:val="16"/>
          <w:szCs w:val="16"/>
          <w:color w:val="auto"/>
        </w:rPr>
      </w:pPr>
    </w:p>
    <w:p>
      <w:pPr>
        <w:ind w:left="700" w:right="79" w:hanging="326"/>
        <w:spacing w:after="0" w:line="34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23" w:lineRule="exact"/>
        <w:rPr>
          <w:rFonts w:ascii="Arial" w:cs="Arial" w:eastAsia="Arial" w:hAnsi="Arial"/>
          <w:sz w:val="16"/>
          <w:szCs w:val="16"/>
          <w:color w:val="auto"/>
        </w:rPr>
      </w:pPr>
    </w:p>
    <w:p>
      <w:pPr>
        <w:ind w:left="700" w:right="379" w:hanging="32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700" w:right="239" w:hanging="32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commence and the date on which the right will expire;</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225" w:lineRule="exact"/>
        <w:rPr>
          <w:rFonts w:ascii="Arial" w:cs="Arial" w:eastAsia="Arial" w:hAnsi="Arial"/>
          <w:sz w:val="18"/>
          <w:szCs w:val="18"/>
          <w:color w:val="auto"/>
        </w:rPr>
      </w:pPr>
    </w:p>
    <w:p>
      <w:pPr>
        <w:ind w:left="700" w:right="659" w:hanging="32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Holders of equity warrants will not be entitled to:</w:t>
      </w:r>
    </w:p>
    <w:p>
      <w:pPr>
        <w:spacing w:after="0" w:line="225" w:lineRule="exact"/>
        <w:rPr>
          <w:sz w:val="20"/>
          <w:szCs w:val="20"/>
          <w:color w:val="auto"/>
        </w:rPr>
      </w:pPr>
    </w:p>
    <w:p>
      <w:pPr>
        <w:ind w:left="700" w:hanging="32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225" w:lineRule="exact"/>
        <w:rPr>
          <w:rFonts w:ascii="Arial" w:cs="Arial" w:eastAsia="Arial" w:hAnsi="Arial"/>
          <w:sz w:val="18"/>
          <w:szCs w:val="18"/>
          <w:color w:val="auto"/>
        </w:rPr>
      </w:pPr>
    </w:p>
    <w:p>
      <w:pPr>
        <w:ind w:left="700" w:right="199" w:hanging="32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exercise any rights as stockholders of Ardelyx.</w:t>
      </w:r>
    </w:p>
    <w:p>
      <w:pPr>
        <w:spacing w:after="0" w:line="225" w:lineRule="exact"/>
        <w:rPr>
          <w:sz w:val="20"/>
          <w:szCs w:val="20"/>
          <w:color w:val="auto"/>
        </w:rPr>
      </w:pPr>
    </w:p>
    <w:p>
      <w:pPr>
        <w:jc w:val="both"/>
        <w:ind w:left="60" w:right="139"/>
        <w:spacing w:after="0" w:line="296"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61"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color w:val="auto"/>
        </w:rPr>
        <w:t>A holder of warrant certificates may exchange them for new warrant certificates of different denominations, present them for registration of transfer and exercise them at the corporate trust office of the warrant agent or any other office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left="60" w:right="279"/>
        <w:spacing w:after="0" w:line="257"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8"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77"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170" w:lineRule="exact"/>
        <w:rPr>
          <w:sz w:val="20"/>
          <w:szCs w:val="20"/>
          <w:color w:val="auto"/>
        </w:rPr>
      </w:pPr>
    </w:p>
    <w:p>
      <w:pPr>
        <w:ind w:left="700" w:hanging="32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if any, on and after which the constituent securities comprising the units will be separately transferable;</w:t>
      </w:r>
    </w:p>
    <w:p>
      <w:pPr>
        <w:spacing w:after="0" w:line="248" w:lineRule="exact"/>
        <w:rPr>
          <w:rFonts w:ascii="Arial" w:cs="Arial" w:eastAsia="Arial" w:hAnsi="Arial"/>
          <w:sz w:val="16"/>
          <w:szCs w:val="16"/>
          <w:color w:val="auto"/>
        </w:rPr>
      </w:pPr>
    </w:p>
    <w:p>
      <w:pPr>
        <w:ind w:left="700" w:hanging="32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Book-Entry, Delivery and Form</w:t>
      </w:r>
    </w:p>
    <w:p>
      <w:pPr>
        <w:spacing w:after="0" w:line="229"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Unless we indicate differently in any applicable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DTC has advised us that it is:</w:t>
      </w:r>
    </w:p>
    <w:p>
      <w:pPr>
        <w:spacing w:after="0" w:line="225" w:lineRule="exact"/>
        <w:rPr>
          <w:sz w:val="20"/>
          <w:szCs w:val="20"/>
          <w:color w:val="auto"/>
        </w:rPr>
      </w:pPr>
    </w:p>
    <w:p>
      <w:pPr>
        <w:ind w:left="700" w:hanging="32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85"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1"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8" w:lineRule="exact"/>
        <w:rPr>
          <w:sz w:val="20"/>
          <w:szCs w:val="20"/>
          <w:color w:val="auto"/>
        </w:rPr>
      </w:pPr>
    </w:p>
    <w:p>
      <w:pPr>
        <w:ind w:left="60" w:right="479"/>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84"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71"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66"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8"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49" w:lineRule="exact"/>
        <w:rPr>
          <w:sz w:val="20"/>
          <w:szCs w:val="20"/>
          <w:color w:val="auto"/>
        </w:rPr>
      </w:pPr>
    </w:p>
    <w:p>
      <w:pPr>
        <w:ind w:left="60" w:right="659"/>
        <w:spacing w:after="0" w:line="342" w:lineRule="auto"/>
        <w:rPr>
          <w:sz w:val="20"/>
          <w:szCs w:val="20"/>
          <w:color w:val="auto"/>
        </w:rPr>
      </w:pPr>
      <w:r>
        <w:rPr>
          <w:rFonts w:ascii="Arial" w:cs="Arial" w:eastAsia="Arial" w:hAnsi="Arial"/>
          <w:sz w:val="16"/>
          <w:szCs w:val="16"/>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24"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170" w:lineRule="exact"/>
        <w:rPr>
          <w:sz w:val="20"/>
          <w:szCs w:val="20"/>
          <w:color w:val="auto"/>
        </w:rPr>
      </w:pPr>
    </w:p>
    <w:p>
      <w:pPr>
        <w:ind w:left="700" w:right="179" w:hanging="326"/>
        <w:spacing w:after="0" w:line="301"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57" w:lineRule="exact"/>
        <w:rPr>
          <w:rFonts w:ascii="Arial" w:cs="Arial" w:eastAsia="Arial" w:hAnsi="Arial"/>
          <w:sz w:val="16"/>
          <w:szCs w:val="16"/>
          <w:color w:val="auto"/>
        </w:rPr>
      </w:pPr>
    </w:p>
    <w:p>
      <w:pPr>
        <w:ind w:left="700" w:hanging="326"/>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determine, in our sole discretion, not to have such securities represented by one or more global securities; or</w:t>
      </w:r>
    </w:p>
    <w:p>
      <w:pPr>
        <w:spacing w:after="0" w:line="248" w:lineRule="exact"/>
        <w:rPr>
          <w:rFonts w:ascii="Arial" w:cs="Arial" w:eastAsia="Arial" w:hAnsi="Arial"/>
          <w:sz w:val="16"/>
          <w:szCs w:val="16"/>
          <w:color w:val="auto"/>
        </w:rPr>
      </w:pPr>
    </w:p>
    <w:p>
      <w:pPr>
        <w:ind w:left="700" w:hanging="32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8"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225"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77" w:lineRule="exact"/>
        <w:rPr>
          <w:sz w:val="20"/>
          <w:szCs w:val="20"/>
          <w:color w:val="auto"/>
        </w:rPr>
      </w:pPr>
    </w:p>
    <w:p>
      <w:pPr>
        <w:jc w:val="both"/>
        <w:ind w:left="60" w:right="239"/>
        <w:spacing w:after="0" w:line="259"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7"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87" w:lineRule="exact"/>
        <w:rPr>
          <w:sz w:val="20"/>
          <w:szCs w:val="20"/>
          <w:color w:val="auto"/>
        </w:rPr>
      </w:pPr>
    </w:p>
    <w:p>
      <w:pPr>
        <w:ind w:left="60" w:right="419"/>
        <w:spacing w:after="0" w:line="259" w:lineRule="auto"/>
        <w:rPr>
          <w:sz w:val="20"/>
          <w:szCs w:val="20"/>
          <w:color w:val="auto"/>
        </w:rPr>
      </w:pPr>
      <w:r>
        <w:rPr>
          <w:rFonts w:ascii="Arial" w:cs="Arial" w:eastAsia="Arial" w:hAnsi="Arial"/>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87"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308" w:lineRule="auto"/>
        <w:rPr>
          <w:sz w:val="20"/>
          <w:szCs w:val="20"/>
          <w:color w:val="auto"/>
        </w:rPr>
      </w:pPr>
      <w:r>
        <w:rPr>
          <w:rFonts w:ascii="Arial" w:cs="Arial" w:eastAsia="Arial" w:hAnsi="Arial"/>
          <w:sz w:val="17"/>
          <w:szCs w:val="17"/>
          <w:color w:val="auto"/>
        </w:rPr>
        <w:t>DTC, and making or receiving payment in accordance with normal procedures for same-day fund settlement. Participants in Euroclear or Clearstream may not deliver instructions directly to their respective U.S. depositaries.</w:t>
      </w:r>
    </w:p>
    <w:p>
      <w:pPr>
        <w:spacing w:after="0" w:line="146"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0" w:right="59"/>
        <w:spacing w:after="0" w:line="311" w:lineRule="auto"/>
        <w:rPr>
          <w:sz w:val="20"/>
          <w:szCs w:val="20"/>
          <w:color w:val="auto"/>
        </w:rPr>
      </w:pPr>
      <w:r>
        <w:rPr>
          <w:rFonts w:ascii="Arial" w:cs="Arial" w:eastAsia="Arial" w:hAnsi="Arial"/>
          <w:sz w:val="16"/>
          <w:szCs w:val="16"/>
          <w:color w:val="auto"/>
        </w:rPr>
        <w:t>We may sell the securities from time to time pursuant to underwritten public offerings, “at the 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49" w:lineRule="exact"/>
        <w:rPr>
          <w:sz w:val="20"/>
          <w:szCs w:val="20"/>
          <w:color w:val="auto"/>
        </w:rPr>
      </w:pPr>
    </w:p>
    <w:p>
      <w:pPr>
        <w:ind w:left="700" w:hanging="32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4"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84"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84"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6"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92"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Any common stock or preferred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4" w:lineRule="exact"/>
        <w:rPr>
          <w:sz w:val="20"/>
          <w:szCs w:val="20"/>
          <w:color w:val="auto"/>
        </w:rPr>
      </w:pPr>
    </w:p>
    <w:p>
      <w:pPr>
        <w:ind w:left="60" w:right="179"/>
        <w:spacing w:after="0" w:line="270" w:lineRule="auto"/>
        <w:rPr>
          <w:sz w:val="20"/>
          <w:szCs w:val="20"/>
          <w:color w:val="auto"/>
        </w:rPr>
      </w:pPr>
      <w:r>
        <w:rPr>
          <w:rFonts w:ascii="Arial" w:cs="Arial" w:eastAsia="Arial" w:hAnsi="Arial"/>
          <w:sz w:val="17"/>
          <w:szCs w:val="17"/>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1"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8"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170"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Ardelyx, Inc. Additional legal matters may be passed upon for us or any underwriters, dealers or agents by counsel that we will name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b w:val="1"/>
          <w:bCs w:val="1"/>
          <w:color w:val="CC062A"/>
        </w:rPr>
        <w:t>The information in this preliminary prospectus supplement is not complete and may be changed. These securities may not be sold until the registration statement filed with the Securities and Exchange Commission is effective. This preliminary prospectus supplement is not an offer to sell nor does it seek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July 23,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154305</wp:posOffset>
            </wp:positionV>
            <wp:extent cx="2777490" cy="471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2777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We have entered into a sales agreement with Jefferies LLC, or Jefferies, relating to shares of our common stock offered by this prospectus supplement and the accompanying prospectus. In accordance with the terms of the sales agreement, under this prospectus supplement we may offer and sell shares of our common stock, $0.0001 par value per share, having an aggregate offering price of up to $100,000,000 from time to time through Jefferies, acting as agent.</w:t>
      </w:r>
    </w:p>
    <w:p>
      <w:pPr>
        <w:spacing w:after="0" w:line="157"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“ARDX.” On July 22, 2020, the last reported sale price of our common stock on the Nasdaq Global Market was $6.74 per share.</w:t>
      </w:r>
    </w:p>
    <w:p>
      <w:pPr>
        <w:spacing w:after="0" w:line="170"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Sales of our common stock, if any, under this prospectus supplement and the accompanying prospectus will be made in sales deemed to be “at the market offerings” as defined in Rule 415 promulgated under the Securities Act of 1933, as amended, or the Securities Act, including sales made directly on or through the Nasdaq Global Market or any other existing trading market for our common stock. Jefferies is not required to sell any specific amount of securities, but will act as our sales agent on a best efforts basis and use commercially reasonable efforts to sell on our behalf all of the shares of common stock requested to be sold by us, consistent with its normal trading and sales practices, on mutually agreed terms between Jefferies and us. There is no arrangement for funds to be received in any escrow, trust or similar arrangement.</w:t>
      </w:r>
    </w:p>
    <w:p>
      <w:pPr>
        <w:spacing w:after="0" w:line="166"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The compensation to Jefferies for sales of common stock pursuant to the sales agreement will be an amount of up to 3.0% of the gross proceeds of any shares of common stock sold under the sales agreement. In connection with the sale of our common stock on our behalf, Jefferies will be deemed to be an “underwriter” within the meaning of the Securities Act and the compensation of Jefferies will be deemed to be underwriting commissions or discounts.</w:t>
      </w:r>
    </w:p>
    <w:p>
      <w:pPr>
        <w:spacing w:after="0" w:line="167"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b w:val="1"/>
          <w:bCs w:val="1"/>
          <w:color w:val="auto"/>
        </w:rPr>
        <w:t>Investing in our common stock involves a high degree of risk. Before making an investment decision, please read the information under the heading “Risk Factors” beginning on page S-6 of this prospectus supplement and in the documents incorporated by reference into this prospectus supplement.</w:t>
      </w:r>
    </w:p>
    <w:p>
      <w:pPr>
        <w:spacing w:after="0" w:line="176" w:lineRule="exact"/>
        <w:rPr>
          <w:sz w:val="20"/>
          <w:szCs w:val="20"/>
          <w:color w:val="auto"/>
        </w:rPr>
      </w:pPr>
    </w:p>
    <w:p>
      <w:pPr>
        <w:ind w:left="60" w:right="13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Jefferies</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28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8280" w:type="dxa"/>
            <w:vAlign w:val="bottom"/>
          </w:tcPr>
          <w:p>
            <w:pPr>
              <w:spacing w:after="0"/>
              <w:rPr>
                <w:sz w:val="20"/>
                <w:szCs w:val="20"/>
                <w:color w:val="auto"/>
              </w:rPr>
            </w:pPr>
            <w:r>
              <w:rPr>
                <w:rFonts w:ascii="Arial" w:cs="Arial" w:eastAsia="Arial" w:hAnsi="Arial"/>
                <w:sz w:val="18"/>
                <w:szCs w:val="18"/>
                <w:b w:val="1"/>
                <w:bCs w:val="1"/>
                <w:color w:val="auto"/>
              </w:rPr>
              <w:t>Prospectus Supplement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Page</w:t>
            </w:r>
          </w:p>
        </w:tc>
      </w:tr>
      <w:tr>
        <w:trPr>
          <w:trHeight w:val="195"/>
        </w:trPr>
        <w:tc>
          <w:tcPr>
            <w:tcW w:w="8280" w:type="dxa"/>
            <w:vAlign w:val="bottom"/>
          </w:tcPr>
          <w:p>
            <w:pPr>
              <w:spacing w:after="0" w:line="195" w:lineRule="exact"/>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ABOUT THIS PROSPECTUS SUPPLEMENT</w:t>
              </w:r>
            </w:hyperlink>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6"/>
                <w:szCs w:val="16"/>
                <w:color w:val="auto"/>
              </w:rPr>
            </w:pP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MARKET, INDUSTRY AND OTHER DATA</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S-2</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PROSPECTUS SUPPLEMENT SUMMARY</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S-3</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THE OFFERING</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S-5</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S-6</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SPECIAL NOTE REGARDING FORWARD-LOOKING STATEMENTS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S-7</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USE OF PROCEEDS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S-8</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DILUTION</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S-9</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PLAN OF DISTRIBUTION</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S-11</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LEGAL MATTERS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S-12</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EXPERTS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S-12</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WHERE YOU CAN FIND MORE INFORMATION</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S-12</w:t>
            </w:r>
          </w:p>
        </w:tc>
      </w:tr>
      <w:tr>
        <w:trPr>
          <w:trHeight w:val="230"/>
        </w:trPr>
        <w:tc>
          <w:tcPr>
            <w:tcW w:w="82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INFORMATION INCORPORATED BY REFERENCE</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S-12</w:t>
            </w:r>
          </w:p>
        </w:tc>
      </w:tr>
      <w:tr>
        <w:trPr>
          <w:trHeight w:val="418"/>
        </w:trPr>
        <w:tc>
          <w:tcPr>
            <w:tcW w:w="8280" w:type="dxa"/>
            <w:vAlign w:val="bottom"/>
          </w:tcPr>
          <w:p>
            <w:pPr>
              <w:spacing w:after="0"/>
              <w:rPr>
                <w:sz w:val="20"/>
                <w:szCs w:val="20"/>
                <w:color w:val="auto"/>
              </w:rPr>
            </w:pPr>
            <w:r>
              <w:rPr>
                <w:rFonts w:ascii="Arial" w:cs="Arial" w:eastAsia="Arial" w:hAnsi="Arial"/>
                <w:sz w:val="18"/>
                <w:szCs w:val="18"/>
                <w:b w:val="1"/>
                <w:bCs w:val="1"/>
                <w:color w:val="auto"/>
              </w:rPr>
              <w:t>Prospectus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ABOUT THIS PROSPECTUS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WHERE YOU CAN FIND MORE INFORMATION; INCORPORATION BY REFERENCE</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ABOUT ARDELYX</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CAPITAL STOCK</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DESCRIPTION OF DEBT SECURITIES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DESCRIPTION OF WARRANTS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DESCRIPTION OF UNITS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GLOBAL SECURITIES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PLAN OF DISTRIBUTION</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MATTERS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30"/>
        </w:trPr>
        <w:tc>
          <w:tcPr>
            <w:tcW w:w="828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EXPERTS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60" w:right="419"/>
        <w:spacing w:after="0" w:line="301" w:lineRule="auto"/>
        <w:rPr>
          <w:sz w:val="20"/>
          <w:szCs w:val="20"/>
          <w:color w:val="auto"/>
        </w:rPr>
      </w:pPr>
      <w:r>
        <w:rPr>
          <w:rFonts w:ascii="Arial" w:cs="Arial" w:eastAsia="Arial" w:hAnsi="Arial"/>
          <w:sz w:val="16"/>
          <w:szCs w:val="16"/>
          <w:color w:val="auto"/>
        </w:rPr>
        <w:t>This prospectus supplement is part of a registration statement that we have filed with the U.S. Securities and Exchange Commission, or the SEC, utilizing a “shelf” registration process. By using a shelf registration statement, we may offer shares of our common stock having an aggregate offering price of up to $100,000,000 from time to time under this prospectus supplement at prices and on terms to be determined by market conditions at the time of offering.</w:t>
      </w:r>
    </w:p>
    <w:p>
      <w:pPr>
        <w:spacing w:after="0" w:line="157"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w:t>
      </w:r>
    </w:p>
    <w:p>
      <w:pPr>
        <w:spacing w:after="0" w:line="181"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We have not, and Jefferies has not, authorized anyone to provide any information other than that contained in or incorporated by reference in this prospectus supplement, the accompanying prospectus and any free writing prospectus prepared by or on behalf of us or to which we have referred you. We and Jefferies take no responsibility for, and can provide no assurance as to the reliability of, any other information that others may give you. We are not, and Jefferies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supplement,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“Information Incorporated by Reference.”</w:t>
      </w:r>
    </w:p>
    <w:p>
      <w:pPr>
        <w:spacing w:after="0" w:line="387" w:lineRule="exact"/>
        <w:rPr>
          <w:sz w:val="20"/>
          <w:szCs w:val="20"/>
          <w:color w:val="auto"/>
        </w:rPr>
      </w:pPr>
    </w:p>
    <w:p>
      <w:pPr>
        <w:ind w:left="60" w:right="179"/>
        <w:spacing w:after="0" w:line="289" w:lineRule="auto"/>
        <w:rPr>
          <w:sz w:val="20"/>
          <w:szCs w:val="20"/>
          <w:color w:val="auto"/>
        </w:rPr>
      </w:pPr>
      <w:r>
        <w:rPr>
          <w:rFonts w:ascii="Arial" w:cs="Arial" w:eastAsia="Arial" w:hAnsi="Arial"/>
          <w:sz w:val="16"/>
          <w:szCs w:val="16"/>
          <w:color w:val="auto"/>
        </w:rPr>
        <w:t>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6"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color w:val="auto"/>
        </w:rPr>
        <w:t>When we refer to “Ardelyx” “we,” “our,” “us” and the “Company” in this prospectus, we mean Ardelyx, Inc., unless otherwise specified. When we refer to “you,” we mean the holders of common stock of the Company.</w:t>
      </w:r>
    </w:p>
    <w:p>
      <w:pPr>
        <w:spacing w:after="0" w:line="14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Ardelyx® and our logo are some of our trademarks used in this prospectus supplement and the accompanying prospectus. This prospectus supplement and the accompanying prospectus also include trademarks, tradenames, and service marks that are the property of other organizations. Solely for convenience, our trademarks and tradenames referred to in this prospectus supplement and the accompanying prospectus may appear without the ® and ™ symbols, but those references are not intended to indicate, in any way, that we will not assert, to the fullest extent under applicable law, our rights, or the right of the applicable licensor to these trademarks and tradenames.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This prospectus supplement and accompanying prospectus, including the information incorporated by reference herein,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900430</wp:posOffset>
            </wp:positionH>
            <wp:positionV relativeFrom="page">
              <wp:posOffset>318135</wp:posOffset>
            </wp:positionV>
            <wp:extent cx="5747385" cy="8550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5747385" cy="8550910"/>
                    </a:xfrm>
                    <a:prstGeom prst="rect">
                      <a:avLst/>
                    </a:prstGeom>
                    <a:noFill/>
                  </pic:spPr>
                </pic:pic>
              </a:graphicData>
            </a:graphic>
          </wp:anchor>
        </w:drawing>
      </w: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i w:val="1"/>
          <w:iCs w:val="1"/>
          <w:color w:val="auto"/>
        </w:rPr>
        <w:t>This summary provides a general overview of selected information and does not contain all of the information you should consider before buying our common stock. Therefore, you should read the entire prospectus supplement and accompanying prospectus and any free writing prospectus that we have authorized for use in connection with this offering carefully, including the information incorporated by reference, before deciding to invest in our common stock. Investors should carefully consider the information set forth under “Risk Factors” beginning on page S-6 and the “Risk Factors” section, as well as our audited financial statements and related notes thereto, included in our Annual Report on Form 10-K for the year ended December 31, 2019 as well as our Quarterly Report on Form 10-Q for the quarterly period ended March 31, 2020 and any subsequent Quarterly Report on Form 10-Q incorporated by reference herein.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We are a specialized biopharmaceutical company focused on developing first-in-class medicines to improve treatment for people with kidney and cardiovascular diseases. This includes patients with chronic kidney disease, or CKD, on dialysis suffering from elevated serum phosphorus, or hyperphosphatemia; and CKD patients and/or heart failure patients with elevated serum potassium, or hyperkalemia. Our lead program is tenapanor, a first-in-class medicine for which we submitted a New Drug Application, or NDA, in June 2020 for the control of serum phosphorus in adult patients with CKD on dialysis. Tenapanor has a unique mechanism of action and acts locally in the gut to inhibit the sodium hydrogen exchanger 3, or NHE3. This results in the tightening of the epithelial cell junctions, thereby significantly reducing paracellular uptake of phosphate, the primary pathway of phosphate absorption. Tenapanor, if approved, would be the first therapy for phosphate management that is not a phosphate binder. As tenapanor is a novel, potent, small molecule there would be significantly less pill burden than with phosphate binders. Tenapanor is dosed as a single pill, twice-daily, which we believe could greatly improve patient adherence and compliance and free patients from having to take multiple pills before every meal.</w:t>
      </w:r>
    </w:p>
    <w:p>
      <w:pPr>
        <w:spacing w:after="0" w:line="179"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We have evaluated tenapanor in a Phase 3 program for the control of serum phosphorus in CKD patients on dialysis. In December 2019, we reported statistically significant efficacy results from our second monotherapy Phase 3 clinical trial, the PHREEDOM trial. The PHREEDOM trial is a one-year study with a 26-week open-label treatment period followed by a 12-week double-blind, placebo-controlled randomized withdrawal period and a 14-week open-label safety extension period. An active safety control group, for safety analysis only, received sevelamer, open-label, for the entire 52-week study period.</w:t>
      </w:r>
    </w:p>
    <w:p>
      <w:pPr>
        <w:spacing w:after="0" w:line="192"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Patients completing the PHREEDOM trial from both the tenapanor arm and the sevelamer active safety control arm had the option to participate in NORMALIZE, an ongoing open-label 18-month extension study. The goal of this study is to further our understanding of the potential for the dual mechanism of tenapanor and sevelamer to reduce patients’ serum phosphorus levels towards the normal range (2.5 – 4.5 mg/dL) while minimizing medication burden. In the NORMALIZE extension study patients completing PHREEDOM on tenapanor continued therapy with tenapanor, and those patients completing the safety control arm of PHREEDOM on sevelamer transitioned to tenapanor. In June 2020, we reported data from a planned second analysis demonstrating that the foundational use of tenapanor as monotherapy or in combination with sevelamer carbonate produces a significant phosphorus-lowering effect with a mean serum phosphorous reduction of 2.33 mg/dL, from a mean baseline phosphorus of 7.27 mg/dL at the beginning of the PHREEDOM trial to a mean of 4.94 mg/dL at the time of the analysis. Of the 171 patients in this interim analysis who completed up to 9 months of treatment in the NORMALIZE extension study, up to 47.4% achieved a normal serum phosphorus level, and of those, the majority were on tenapanor alone or tenapanor with low dose sevelamer of ≤3 sevelamer tablets per day. The only adverse event reported in &gt;5% of patients in NORMALIZE was diarrhea, with an incidence rate of 23.3%.</w:t>
      </w:r>
    </w:p>
    <w:p>
      <w:pPr>
        <w:spacing w:after="0" w:line="174" w:lineRule="exact"/>
        <w:rPr>
          <w:sz w:val="20"/>
          <w:szCs w:val="20"/>
          <w:color w:val="auto"/>
        </w:rPr>
      </w:pPr>
    </w:p>
    <w:p>
      <w:pPr>
        <w:ind w:left="60" w:right="459"/>
        <w:spacing w:after="0" w:line="259" w:lineRule="auto"/>
        <w:rPr>
          <w:sz w:val="20"/>
          <w:szCs w:val="20"/>
          <w:color w:val="auto"/>
        </w:rPr>
      </w:pPr>
      <w:r>
        <w:rPr>
          <w:rFonts w:ascii="Arial" w:cs="Arial" w:eastAsia="Arial" w:hAnsi="Arial"/>
          <w:sz w:val="18"/>
          <w:szCs w:val="18"/>
          <w:color w:val="auto"/>
        </w:rPr>
        <w:t>The PHREEDOM trial followed a successful monotherapy Phase 3 clinical trial completed in 2017, which achieved statistical significance for the primary endpoint . In addition, in September 2019, we reported positive results from the AMPLIFY trial, a Phase 3 study evaluating tenapanor in patients with CKD on dialysis who had uncontrolled hyperphosphatemia despite phosphate binder treatment.</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405130</wp:posOffset>
            </wp:positionV>
            <wp:extent cx="57435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5743575"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900430</wp:posOffset>
            </wp:positionH>
            <wp:positionV relativeFrom="page">
              <wp:posOffset>318135</wp:posOffset>
            </wp:positionV>
            <wp:extent cx="5747385" cy="52590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5747385" cy="5259070"/>
                    </a:xfrm>
                    <a:prstGeom prst="rect">
                      <a:avLst/>
                    </a:prstGeom>
                    <a:noFill/>
                  </pic:spPr>
                </pic:pic>
              </a:graphicData>
            </a:graphic>
          </wp:anchor>
        </w:drawing>
      </w: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RAAS inhibitors, which inhibit the renin-angiotensin-aldosterone system. Similar to what we have done with tenapanor in developing a non-binder approach for the treatment of elevated serum phosphate levels, RDX013 is designed to offer a non-binder alternative to lowering elevated potassium with a much lower pill burden than potassium binders and we believe may provide significant advantages as a stand-alone agent or in combination with potassium binders.</w:t>
      </w:r>
    </w:p>
    <w:p>
      <w:pPr>
        <w:spacing w:after="0" w:line="19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In addition to the development of tenapanor in our cardiorenal portfolio, we have developed tenapanor for the treatment of patients with IBS-C. On September 12, 2019, we received US FDA approval of IBSRELA® (tenapanor) for the treatment of irritable bowel syndrome with constipation (IBS-C) in adults. IBS-C is a burdensome gastrointestinal, or GI, disorder affecting a significant number of people. It is characterized by significant abdominal pain, constipation, straining during bowel movements, bloating and/or gas.</w:t>
      </w:r>
    </w:p>
    <w:p>
      <w:pPr>
        <w:spacing w:after="0" w:line="188"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By inhibiting NHE3 on the apical surface of the enterocytes, tenapanor reduces absorption of sodium from the small intestine and colon, resulting in an increase in water secretion into the intestinal lumen, which accelerates intestinal transit time and results in a softer stool consistency. Tenapanor has also been shown to reduce abdominal pain by decreasing visceral hypersensitivity and by decreasing intestinal permeability in animal models. In rat model of colonic hypersensitivity, tenapanor reduced visceral hyperalgesia and normalized colonic sensory neuronal excitability.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 xml:space="preserve">We were founded in October 2007 as a Delaware corporation under the name Nteryx, Inc. We changed our name to Ardelyx, Inc. in June 2008. Our principal executive offices are located at 34175 Ardenwood Blvd., Fremont, CA 94555, and our telephone number is (510) 745-1700. Our website address is </w:t>
      </w:r>
      <w:r>
        <w:rPr>
          <w:rFonts w:ascii="Arial" w:cs="Arial" w:eastAsia="Arial" w:hAnsi="Arial"/>
          <w:sz w:val="17"/>
          <w:szCs w:val="17"/>
          <w:i w:val="1"/>
          <w:iCs w:val="1"/>
          <w:color w:val="auto"/>
        </w:rPr>
        <w:t>www.ardelyx.com</w:t>
      </w:r>
      <w:r>
        <w:rPr>
          <w:rFonts w:ascii="Arial" w:cs="Arial" w:eastAsia="Arial" w:hAnsi="Arial"/>
          <w:sz w:val="17"/>
          <w:szCs w:val="17"/>
          <w:color w:val="auto"/>
        </w:rPr>
        <w:t>. The information on, or that can be accessed through, our website is not part of this prospectus supplement and is not incorporated by reference herein.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383540</wp:posOffset>
            </wp:positionV>
            <wp:extent cx="574357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5743575"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900430</wp:posOffset>
            </wp:positionH>
            <wp:positionV relativeFrom="page">
              <wp:posOffset>318135</wp:posOffset>
            </wp:positionV>
            <wp:extent cx="5747385" cy="8422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5747385" cy="8422005"/>
                    </a:xfrm>
                    <a:prstGeom prst="rect">
                      <a:avLst/>
                    </a:prstGeom>
                    <a:noFill/>
                  </pic:spPr>
                </pic:pic>
              </a:graphicData>
            </a:graphic>
          </wp:anchor>
        </w:drawing>
      </w: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43"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6"/>
          <w:szCs w:val="16"/>
          <w:color w:val="auto"/>
        </w:rPr>
        <w:t>Shares of our common stock having an aggregate offering</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price of up to $100,000,000.</w:t>
      </w:r>
    </w:p>
    <w:p>
      <w:pPr>
        <w:spacing w:after="0" w:line="9"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Common stock to be outstanding after this offering</w:t>
      </w:r>
      <w:r>
        <w:rPr>
          <w:sz w:val="20"/>
          <w:szCs w:val="20"/>
          <w:color w:val="auto"/>
        </w:rPr>
        <w:tab/>
      </w:r>
      <w:r>
        <w:rPr>
          <w:rFonts w:ascii="Arial" w:cs="Arial" w:eastAsia="Arial" w:hAnsi="Arial"/>
          <w:sz w:val="16"/>
          <w:szCs w:val="16"/>
          <w:color w:val="auto"/>
        </w:rPr>
        <w:t>Up to 103,871,891 shares (as more fully described in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notes following this table), assuming sales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14,836,795 shares of our common stock in this offering at an</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offering price of $6.74 per share, which was the last reported</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sale price of our common stock on the Nasdaq Global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Market on July 22, 2020. The actual number of shares issued</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will vary depending on the sales price under this offering.</w:t>
      </w:r>
    </w:p>
    <w:p>
      <w:pPr>
        <w:spacing w:after="0" w:line="21"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Manner of offering</w:t>
      </w:r>
      <w:r>
        <w:rPr>
          <w:sz w:val="20"/>
          <w:szCs w:val="20"/>
          <w:color w:val="auto"/>
        </w:rPr>
        <w:tab/>
      </w:r>
      <w:r>
        <w:rPr>
          <w:rFonts w:ascii="Arial" w:cs="Arial" w:eastAsia="Arial" w:hAnsi="Arial"/>
          <w:sz w:val="16"/>
          <w:szCs w:val="16"/>
          <w:color w:val="auto"/>
        </w:rPr>
        <w:t>“At the market offering” that may be made from time to time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through our sales agent, Jefferies LLC. See “Plan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Distribution” on page S-11.</w:t>
      </w:r>
    </w:p>
    <w:p>
      <w:pPr>
        <w:spacing w:after="0" w:line="9"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intend to use the net proceeds from this offering, if any,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for general corporate purposes, which may include, among</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other things, increasing our working capital and funding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research and development, and capital expenditures. See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“Use of Proceeds” on page S-6.</w:t>
      </w:r>
    </w:p>
    <w:p>
      <w:pPr>
        <w:spacing w:after="0" w:line="9"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read the “Risk Factors” section of this prospectus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supplement and in the documents incorporated by reference</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 this prospectus supplement for a discussion of factors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consider before deciding to purchase shares of our common</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w:t>
      </w:r>
    </w:p>
    <w:p>
      <w:pPr>
        <w:spacing w:after="0" w:line="9"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Symbol on the Nasdaq Global Market</w:t>
      </w:r>
      <w:r>
        <w:rPr>
          <w:sz w:val="20"/>
          <w:szCs w:val="20"/>
          <w:color w:val="auto"/>
        </w:rPr>
        <w:tab/>
      </w:r>
      <w:r>
        <w:rPr>
          <w:rFonts w:ascii="Arial" w:cs="Arial" w:eastAsia="Arial" w:hAnsi="Arial"/>
          <w:sz w:val="18"/>
          <w:szCs w:val="18"/>
          <w:color w:val="auto"/>
        </w:rPr>
        <w:t>“ARDX”</w:t>
      </w:r>
    </w:p>
    <w:p>
      <w:pPr>
        <w:spacing w:after="0" w:line="211"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color w:val="auto"/>
        </w:rPr>
        <w:t>The number of shares of common stock to be outstanding after this offering is based on 89,035,096 shares of common stock outstanding as of March 31, 2020, and excludes, in each case as of March 31, 2020:</w:t>
      </w:r>
    </w:p>
    <w:p>
      <w:pPr>
        <w:spacing w:after="0" w:line="146" w:lineRule="exact"/>
        <w:rPr>
          <w:sz w:val="20"/>
          <w:szCs w:val="20"/>
          <w:color w:val="auto"/>
        </w:rPr>
      </w:pPr>
    </w:p>
    <w:p>
      <w:pPr>
        <w:ind w:left="720" w:right="359" w:hanging="333"/>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8,803,605 shares of common stock issuable upon the exercise of outstanding stock options having a weighted-average exercise price of $6.85 per share;</w:t>
      </w:r>
    </w:p>
    <w:p>
      <w:pPr>
        <w:spacing w:after="0" w:line="170" w:lineRule="exact"/>
        <w:rPr>
          <w:rFonts w:ascii="Arial" w:cs="Arial" w:eastAsia="Arial" w:hAnsi="Arial"/>
          <w:sz w:val="18"/>
          <w:szCs w:val="18"/>
          <w:color w:val="auto"/>
        </w:rPr>
      </w:pPr>
    </w:p>
    <w:p>
      <w:pPr>
        <w:ind w:left="720" w:right="139" w:hanging="333"/>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2,172,899 shares of common stock issuable upon the exercise of outstanding warrants having an exercise price of $13.91 per share, which warrants expired in June 2020;</w:t>
      </w:r>
    </w:p>
    <w:p>
      <w:pPr>
        <w:spacing w:after="0" w:line="170" w:lineRule="exact"/>
        <w:rPr>
          <w:rFonts w:ascii="Arial" w:cs="Arial" w:eastAsia="Arial" w:hAnsi="Arial"/>
          <w:sz w:val="18"/>
          <w:szCs w:val="18"/>
          <w:color w:val="auto"/>
        </w:rPr>
      </w:pPr>
    </w:p>
    <w:p>
      <w:pPr>
        <w:ind w:left="720" w:hanging="333"/>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849,328 shares of common stock issuable upon the settlement of outstanding restricted stock units;</w:t>
      </w:r>
    </w:p>
    <w:p>
      <w:pPr>
        <w:spacing w:after="0" w:line="225" w:lineRule="exact"/>
        <w:rPr>
          <w:rFonts w:ascii="Arial" w:cs="Arial" w:eastAsia="Arial" w:hAnsi="Arial"/>
          <w:sz w:val="18"/>
          <w:szCs w:val="18"/>
          <w:color w:val="auto"/>
        </w:rPr>
      </w:pPr>
    </w:p>
    <w:p>
      <w:pPr>
        <w:ind w:left="720" w:right="239" w:hanging="333"/>
        <w:spacing w:after="0" w:line="263"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3,077,556 shares of common stock reserved for issuance pursuant to future awards under our 2014 Equity Incentive Award Plan, as well as any automatic increases in the number of shares of our common stock reserved for future issuance under this plan;</w:t>
      </w:r>
    </w:p>
    <w:p>
      <w:pPr>
        <w:spacing w:after="0" w:line="183" w:lineRule="exact"/>
        <w:rPr>
          <w:rFonts w:ascii="Arial" w:cs="Arial" w:eastAsia="Arial" w:hAnsi="Arial"/>
          <w:sz w:val="18"/>
          <w:szCs w:val="18"/>
          <w:color w:val="auto"/>
        </w:rPr>
      </w:pPr>
    </w:p>
    <w:p>
      <w:pPr>
        <w:jc w:val="both"/>
        <w:ind w:left="720" w:right="279" w:hanging="333"/>
        <w:spacing w:after="0" w:line="263"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443,774 shares of common stock reserved for future issuance under our Employee Stock Purchase Plan, as well as any automatic increases in the number of shares of our common stock reserved for future issuance under this plan; and</w:t>
      </w:r>
    </w:p>
    <w:p>
      <w:pPr>
        <w:spacing w:after="0" w:line="183" w:lineRule="exact"/>
        <w:rPr>
          <w:rFonts w:ascii="Arial" w:cs="Arial" w:eastAsia="Arial" w:hAnsi="Arial"/>
          <w:sz w:val="18"/>
          <w:szCs w:val="18"/>
          <w:color w:val="auto"/>
        </w:rPr>
      </w:pPr>
    </w:p>
    <w:p>
      <w:pPr>
        <w:ind w:left="720" w:right="239" w:hanging="333"/>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1,000,000 shares of common stock reserved for issuance pursuant to future awards under our 2016 Employment Commencement Inducement Plan.</w:t>
      </w:r>
    </w:p>
    <w:p>
      <w:pPr>
        <w:spacing w:after="0" w:line="170"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Unless otherwise stated, all information contained in this prospectus supplement reflects an assumed public offering price of $6.74 per share, which was the last reported sale price of our common stock on the Nasdaq Global Market on July 22, 2020.</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405130</wp:posOffset>
            </wp:positionV>
            <wp:extent cx="574357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5743575"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i w:val="1"/>
          <w:iCs w:val="1"/>
          <w:color w:val="auto"/>
        </w:rPr>
        <w:t>You should consider carefully the risks described below and discussed under the section captioned “Risk Factors” contained in our quarterly report for the quarterly period ended March 31, 2020, as updated by our subsequent filings under the Securities Exchange Act of 1934, as amended, or the Exchange Act, each of which is incorporated by reference in this prospectus supplement in their entirety,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 To the extent the COVID-19 pandemic adversely affects our business and financial results, it may also have the effect of heightening many of the risks in this “Risk Factors” section and those contained in the documents incorporated by reference herein.”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Risks Relating to this Offering</w:t>
      </w:r>
    </w:p>
    <w:p>
      <w:pPr>
        <w:spacing w:after="0" w:line="229"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170"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Our management will have broad discretion over the use of proceeds from this offering. We intend to use the net proceeds, if any, from this offering for general corporate purposes, which may include, among other things, increasing our working capital and funding research and development, and capital expenditures.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178"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You may experience immediate and substantial dilution in the net tangible book value per share of the common stock you purchase.</w:t>
      </w:r>
    </w:p>
    <w:p>
      <w:pPr>
        <w:spacing w:after="0" w:line="170"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The price per share of our common stock being offered may be higher than the net tangible book value per share of our common stock outstanding prior to this offering. Assuming that an aggregate of 14,836,795 shares are sold at a price of $6.74 per share, the last reported sale price of our common stock on the Nasdaq Global Market on July 22, 2020, for aggregate proceeds of $100,000,000 in this offering, and after deducting commissions and estimated aggregate offering expenses payable by us, you will suffer immediate and substantial dilution of $4.18 per share, representing the difference between the as adjusted net tangible book value per share of our common stock as of March 31, 2020 after giving effect to this offering and the assumed offering price. See the section entitled “Dilution” below for a more detailed discussion of the dilution you will incur if you purchase common stock in this offering.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As of March 31, 2020, 14,174,263 shares of common stock were either subject to outstanding options or restricted stock unit awards, or reserved for future issuance under our equity incentive plans are eligible for sale in the public market to the extent permitted by the provisions of various vesting schedules.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Unless the context requires otherwise, in this prospectus supplement the terms “Ardelyx”, “we,” “us,” “our” and “the Company” refer to Ardelyx, Inc.</w:t>
      </w:r>
    </w:p>
    <w:p>
      <w:pPr>
        <w:spacing w:after="0" w:line="103"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color w:val="auto"/>
        </w:rPr>
        <w:t>This prospectus supplement, the accompanying prospectus, including the documents incorporated by reference herein and therein, and any free writing prospectus that we have authorized for use in connection with this offering contain forward-looking statements that involve risks and uncertainties. Any statements contained or incorporated by reference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700" w:right="259" w:hanging="326"/>
        <w:spacing w:after="0" w:line="259"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regarding our plans for and our participation in the commercialization of tenapanor for the control of serum phosphorus in chronic kidney disease, or CKD, patients on dialysis, including our expectations regarding our plans to build our own sales and marketing organization to market and sell tenapanor for such indication;</w:t>
      </w:r>
    </w:p>
    <w:p>
      <w:pPr>
        <w:spacing w:after="0" w:line="119" w:lineRule="exact"/>
        <w:rPr>
          <w:rFonts w:ascii="Arial" w:cs="Arial" w:eastAsia="Arial" w:hAnsi="Arial"/>
          <w:sz w:val="18"/>
          <w:szCs w:val="18"/>
          <w:color w:val="auto"/>
        </w:rPr>
      </w:pPr>
    </w:p>
    <w:p>
      <w:pPr>
        <w:ind w:left="700" w:right="679" w:hanging="32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w:t>
      </w:r>
    </w:p>
    <w:p>
      <w:pPr>
        <w:spacing w:after="0" w:line="102" w:lineRule="exact"/>
        <w:rPr>
          <w:rFonts w:ascii="Arial" w:cs="Arial" w:eastAsia="Arial" w:hAnsi="Arial"/>
          <w:sz w:val="18"/>
          <w:szCs w:val="18"/>
          <w:color w:val="auto"/>
        </w:rPr>
      </w:pPr>
    </w:p>
    <w:p>
      <w:pPr>
        <w:ind w:left="700" w:right="199" w:hanging="326"/>
        <w:spacing w:after="0" w:line="279" w:lineRule="auto"/>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identify and validate targets and novel drug candidates using our proprietary drug discovery and design platform including the Ardelyx Primary Enterocyte and Colonocyte Culture System, or APECCS, or any other proprietary drug discovery and design platform we develop for the identification, screening, testing, design and development of new product candidates for the treatment of renal diseases;</w:t>
      </w:r>
    </w:p>
    <w:p>
      <w:pPr>
        <w:spacing w:after="0" w:line="90" w:lineRule="exact"/>
        <w:rPr>
          <w:rFonts w:ascii="Arial" w:cs="Arial" w:eastAsia="Arial" w:hAnsi="Arial"/>
          <w:sz w:val="17"/>
          <w:szCs w:val="17"/>
          <w:color w:val="auto"/>
        </w:rPr>
      </w:pPr>
    </w:p>
    <w:p>
      <w:pPr>
        <w:ind w:left="700" w:hanging="326"/>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implementation of our business model and strategic plans for our business, product candidates and technology;</w:t>
      </w:r>
    </w:p>
    <w:p>
      <w:pPr>
        <w:spacing w:after="0" w:line="180" w:lineRule="exact"/>
        <w:rPr>
          <w:rFonts w:ascii="Arial" w:cs="Arial" w:eastAsia="Arial" w:hAnsi="Arial"/>
          <w:sz w:val="16"/>
          <w:szCs w:val="16"/>
          <w:color w:val="auto"/>
        </w:rPr>
      </w:pPr>
    </w:p>
    <w:p>
      <w:pPr>
        <w:ind w:left="700" w:right="159" w:hanging="32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102"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uncertain negative impacts that COVID-19 may have on our business, financial condition, results of operations, and changes in overall volatility in the global economy;</w:t>
      </w:r>
    </w:p>
    <w:p>
      <w:pPr>
        <w:spacing w:after="0" w:line="89" w:lineRule="exact"/>
        <w:rPr>
          <w:rFonts w:ascii="Arial" w:cs="Arial" w:eastAsia="Arial" w:hAnsi="Arial"/>
          <w:sz w:val="18"/>
          <w:szCs w:val="18"/>
          <w:color w:val="auto"/>
        </w:rPr>
      </w:pPr>
    </w:p>
    <w:p>
      <w:pPr>
        <w:ind w:left="700" w:hanging="32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57" w:lineRule="exact"/>
        <w:rPr>
          <w:rFonts w:ascii="Arial" w:cs="Arial" w:eastAsia="Arial" w:hAnsi="Arial"/>
          <w:sz w:val="18"/>
          <w:szCs w:val="18"/>
          <w:color w:val="auto"/>
        </w:rPr>
      </w:pPr>
    </w:p>
    <w:p>
      <w:pPr>
        <w:ind w:left="700" w:hanging="32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58"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or incorporated by reference in, this prospectus supplement may turn out to be inaccurate. Factors that may cause actual results to differ materially from current expectations include, among other things, those listed under “Risk Factors” and elsewhere in this prospectus supplement, the accompanying prospectus, and the documents incorporated by reference herein and the discussion in our Annual Report on Form 10-K for the year ended December 31, 2019 and in our Quarterly Report on Form 10-Q for the quarterly period ended March 31, 2020, as amended, in each of “Risk Factors” and “Management’s Discussion and Analysis of Financial Condition and Results of Operations.” Potential investors are urged to consider these factors carefully in evaluating the forward-looking statements. These forward-looking statements speak only as of the date of this prospectus supplement, the accompanying prospectus and the documents incorporated by reference herein and therein, and any free writing prospectus, as applicable.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supplement. See “Where You Can Find More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The amount of proceeds from this offering will depend upon the number of shares of our common stock sold and the market price at which they are sold. There can be no assurance that we will be able to sell any shares under or fully utilize the sales agreement with Jefferies as a source of financing. We intend to use the net proceeds, if any, from this offering for general corporate purposes, which may include, among other things, activities for the development and potential commercialization of tenanpanor for the control of serum phosphorus in chronic kidney disease, or CKD, patients on dialysis, as well as for clinical trials and nonclinical studies for other product candidates, and for general corporate purposes and working capital.</w:t>
      </w:r>
    </w:p>
    <w:p>
      <w:pPr>
        <w:spacing w:after="0" w:line="19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amounts and timing of our actual expenditures will depend on numerous factors, including our clinical, pre-commercial and commercial activities with respect to tenapanor for the control of serum phosphorus in chronic kidney disease, our regulatory activities for tenapanor in such indication, our ability to establish one or more new collaborations for the commercialization of IBSRELA, the timing of potential future milestone payments from our current and future collaboration partners, as well as the amount of cash used in our operations and the amount of payments under our loan and security agreement with Solar Capital Ltd. and Western Alliance Bank.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if any, from this offering in interest-bearing investment-grade securities, certificates of deposit or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Our historical net tangible book value as of March 31, 2020 was approximately $167.8 million, or $1.88 per share. Our net tangible book value represents total tangible assets less total liabilities and convertible preferred stock, all divided by the number of shares of common stock outstanding on March 31, 2020.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61"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After giving effect to the sale of our common stock in the aggregate amount of $100.0 million in this offering at an assumed offering price of $6.74, the last reported sale price of our common stock on the Nasdaq Global Market on July 22, 2020, and after deducting commissions and estimated aggregate offering expenses payable by us, our as adjusted net tangible book value as of March 31, 2020 would have been approximately $265.5 million, or $2.56 per share. This represents an immediate increase in net tangible book value of $0.68 per share to existing stockholders and immediate dilution in net tangible book value of $4.18 per share to new investors purchasing our common stock in this offering. The following table illustrates this dilution on a per share basis:</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March 31, 2020</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new investors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1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0"/>
        </w:trPr>
        <w:tc>
          <w:tcPr>
            <w:tcW w:w="5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69" w:lineRule="auto"/>
        <w:rPr>
          <w:sz w:val="20"/>
          <w:szCs w:val="20"/>
          <w:color w:val="auto"/>
        </w:rPr>
      </w:pPr>
      <w:r>
        <w:rPr>
          <w:rFonts w:ascii="Arial" w:cs="Arial" w:eastAsia="Arial" w:hAnsi="Arial"/>
          <w:sz w:val="17"/>
          <w:szCs w:val="17"/>
          <w:color w:val="auto"/>
        </w:rPr>
        <w:t>The shares sold in this offering, if any, will be sold from time to time at various prices. An increase of $1.00 per share in the price at which the shares are sold from the assumed offering price of $6.74 per share shown in the table above, assuming all of our common stock in the aggregate amount of $100.0 million is sold at that price, would cause our as adjusted net tangible book value per share after the offering to be $2.60 per share and would increase the dilution in net tangible book value per share to new investors to $5.14 per share, after deducting commissions and estimated aggregate offering expenses payable by us. A decrease of $1.00 per share in the price at which the shares are sold from the assumed offering price of $6.74 per share shown in the table above, assuming all of our common stock in the aggregate amount of $100.0 million is sold at that price, would cause our as adjusted net tangible book value per share after the offering to be $2.49 per share and would decrease the dilution in net tangible book value per share to new investors to $3.25 per share, after deducting commissions and estimated aggregate offering expenses payable by us. This information is supplied for illustrative purposes only.</w:t>
      </w:r>
    </w:p>
    <w:p>
      <w:pPr>
        <w:spacing w:after="0" w:line="182"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To the extent that outstanding options are exercised or outstanding restricted stock awards vest,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above discussion and table are based on 89,035,096 shares of common stock outstanding as of March 31, 2020, and excludes, in each case as of March 31, 2020:</w:t>
      </w:r>
    </w:p>
    <w:p>
      <w:pPr>
        <w:spacing w:after="0" w:line="170" w:lineRule="exact"/>
        <w:rPr>
          <w:sz w:val="20"/>
          <w:szCs w:val="20"/>
          <w:color w:val="auto"/>
        </w:rPr>
      </w:pPr>
    </w:p>
    <w:p>
      <w:pPr>
        <w:ind w:left="700" w:right="379" w:hanging="32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8,803,605 shares of common stock issuable upon the exercise of outstanding stock options having a weighted-average exercise price of $6.85 per share;</w:t>
      </w:r>
    </w:p>
    <w:p>
      <w:pPr>
        <w:spacing w:after="0" w:line="170" w:lineRule="exact"/>
        <w:rPr>
          <w:rFonts w:ascii="Arial" w:cs="Arial" w:eastAsia="Arial" w:hAnsi="Arial"/>
          <w:sz w:val="18"/>
          <w:szCs w:val="18"/>
          <w:color w:val="auto"/>
        </w:rPr>
      </w:pPr>
    </w:p>
    <w:p>
      <w:pPr>
        <w:ind w:left="700" w:right="159" w:hanging="32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2,172,899 shares of common stock issuable upon the exercise of outstanding warrants having an exercise price of $13.91 per share, which warrants expired in June 2020;</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849,328 shares of common stock issuable upon the settlement of outstanding restricted stock units;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39" w:hanging="326"/>
        <w:spacing w:after="0" w:line="263"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3,077,556 shares of common stock reserved for issuance pursuant to future awards under our 2014 Equity Incentive Award Plan, as well as any automatic increases in the number of shares of our common stock reserved for future issuance under this plan;</w:t>
      </w:r>
    </w:p>
    <w:p>
      <w:pPr>
        <w:spacing w:after="0" w:line="183"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443,774 shares of common stock reserved for future issuance under our Employee Stock Purchase Plan, as well as any automatic increases in the number of shares of our common stock reserved for future issuance under this plan; and</w:t>
      </w:r>
    </w:p>
    <w:p>
      <w:pPr>
        <w:spacing w:after="0" w:line="183" w:lineRule="exact"/>
        <w:rPr>
          <w:rFonts w:ascii="Arial" w:cs="Arial" w:eastAsia="Arial" w:hAnsi="Arial"/>
          <w:sz w:val="18"/>
          <w:szCs w:val="18"/>
          <w:color w:val="auto"/>
        </w:rPr>
      </w:pPr>
    </w:p>
    <w:p>
      <w:pPr>
        <w:ind w:left="700" w:right="25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1,000,000 shares of common stock reserved for issuance pursuant to future awards under our 2016 Employment Commencement Inducement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02"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We have entered into a sales agreement with Jefferies, under which we may offer and sell up to $100,000,000 of our shares of common stock from time to time through Jefferies acting as agent. Sales of our shares of common stock, if any, under this prospectus supplement and the accompanying prospectus will be made by any method that is deemed to be an “at the market offering” as defined in Rule 415(a)(4) under the Securities Act.</w:t>
      </w:r>
    </w:p>
    <w:p>
      <w:pPr>
        <w:spacing w:after="0" w:line="131"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37" w:lineRule="exact"/>
        <w:rPr>
          <w:sz w:val="20"/>
          <w:szCs w:val="20"/>
          <w:color w:val="auto"/>
        </w:rPr>
      </w:pPr>
    </w:p>
    <w:p>
      <w:pPr>
        <w:ind w:left="60" w:right="339"/>
        <w:spacing w:after="0" w:line="301" w:lineRule="auto"/>
        <w:rPr>
          <w:sz w:val="20"/>
          <w:szCs w:val="20"/>
          <w:color w:val="auto"/>
        </w:rPr>
      </w:pPr>
      <w:r>
        <w:rPr>
          <w:rFonts w:ascii="Arial" w:cs="Arial" w:eastAsia="Arial" w:hAnsi="Arial"/>
          <w:sz w:val="16"/>
          <w:szCs w:val="16"/>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30"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$50,000, in addition to certain ongoing disbursements of its legal counsel. We estimate that the total expenses for the offering, excluding any commissions or expense reimbursement payable to Jefferies under the terms of the sales agreement, will be approximately $168,000. The remaining sale proceeds, after deducting any other transaction fees, will equal our net proceeds from the sale of such shares.</w:t>
      </w:r>
    </w:p>
    <w:p>
      <w:pPr>
        <w:spacing w:after="0" w:line="125" w:lineRule="exact"/>
        <w:rPr>
          <w:sz w:val="20"/>
          <w:szCs w:val="20"/>
          <w:color w:val="auto"/>
        </w:rPr>
      </w:pPr>
    </w:p>
    <w:p>
      <w:pPr>
        <w:jc w:val="both"/>
        <w:ind w:left="60" w:right="219"/>
        <w:spacing w:after="0" w:line="286" w:lineRule="auto"/>
        <w:rPr>
          <w:sz w:val="20"/>
          <w:szCs w:val="20"/>
          <w:color w:val="auto"/>
        </w:rPr>
      </w:pPr>
      <w:r>
        <w:rPr>
          <w:rFonts w:ascii="Arial" w:cs="Arial" w:eastAsia="Arial" w:hAnsi="Arial"/>
          <w:sz w:val="17"/>
          <w:szCs w:val="17"/>
          <w:color w:val="auto"/>
        </w:rPr>
        <w:t>Jefferies will provide written confirmation to us before the open on the Nasdaq Global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12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61"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trading days’ prior notice.</w:t>
      </w:r>
    </w:p>
    <w:p>
      <w:pPr>
        <w:spacing w:after="0" w:line="108" w:lineRule="exact"/>
        <w:rPr>
          <w:sz w:val="20"/>
          <w:szCs w:val="20"/>
          <w:color w:val="auto"/>
        </w:rPr>
      </w:pPr>
    </w:p>
    <w:p>
      <w:pPr>
        <w:jc w:val="both"/>
        <w:ind w:left="60" w:right="299"/>
        <w:spacing w:after="0" w:line="263" w:lineRule="auto"/>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143"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Jefferies and its affiliates have provided, and may in the future provide, various investment banking, commercial banking, financial advisory and other financial services for us and our affiliates, for which services they have received, and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61" w:lineRule="exact"/>
        <w:rPr>
          <w:sz w:val="20"/>
          <w:szCs w:val="20"/>
          <w:color w:val="auto"/>
        </w:rPr>
      </w:pPr>
    </w:p>
    <w:p>
      <w:pPr>
        <w:ind w:left="60" w:right="559"/>
        <w:spacing w:after="0" w:line="263"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The validity of the issuance of the securities offered hereby will be passed upon by our counsel, Latham &amp; Watkins LLP, Menlo Park, California. Jefferies LLC is being represented in connection with this offering by Davis Polk &amp; Wardwell LLP, Menlo Park, California.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of which this prospectus forms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and the accompanying prospectus,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78"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 xml:space="preserve">We file reports, proxy statements and other information with the SEC under the Exchange Act. The SEC maintains an Internet website that contains reports, proxy statements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instead of having to repeat the information in this prospectus supplement and the accompanying prospectus. The information incorporated by reference is considered to be part of this prospectus supplement and the accompanying prospectus, and later information that we file with the SEC will automatically update and supersede this information. Any statement contained in a previously filed document incorporated by reference will be deemed to be modified or superseded for purposes of this prospectus to the extent that a statement contained in this prospectus modifies or replaces that statement. 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Items 2.02 or 7.01 of Form 8-K or related exhibits furnished pursuant to Item 9.01 of Form 8-K.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incorporate by reference the documents set forth below that have previously been filed with the SEC:</w:t>
      </w:r>
    </w:p>
    <w:p>
      <w:pPr>
        <w:spacing w:after="0" w:line="225" w:lineRule="exact"/>
        <w:rPr>
          <w:sz w:val="20"/>
          <w:szCs w:val="20"/>
          <w:color w:val="auto"/>
        </w:rPr>
      </w:pPr>
    </w:p>
    <w:p>
      <w:pPr>
        <w:ind w:left="700" w:hanging="326"/>
        <w:spacing w:after="0"/>
        <w:tabs>
          <w:tab w:leader="none" w:pos="700" w:val="left"/>
        </w:tabs>
        <w:numPr>
          <w:ilvl w:val="0"/>
          <w:numId w:val="30"/>
        </w:numPr>
        <w:rPr>
          <w:rFonts w:ascii="Arial" w:cs="Arial" w:eastAsia="Arial" w:hAnsi="Arial"/>
          <w:sz w:val="16"/>
          <w:szCs w:val="16"/>
          <w:u w:val="single" w:color="auto"/>
          <w:color w:val="0000EE"/>
        </w:rPr>
      </w:pPr>
      <w:hyperlink r:id="rId28">
        <w:r>
          <w:rPr>
            <w:rFonts w:ascii="Arial" w:cs="Arial" w:eastAsia="Arial" w:hAnsi="Arial"/>
            <w:sz w:val="16"/>
            <w:szCs w:val="16"/>
            <w:u w:val="single" w:color="auto"/>
            <w:color w:val="0000EE"/>
          </w:rPr>
          <w:t>our Annual Report on Form 10-K for the year ended December 31, 2019, filed with the SEC on March 6, 2020;</w:t>
        </w:r>
      </w:hyperlink>
    </w:p>
    <w:p>
      <w:pPr>
        <w:spacing w:after="0" w:line="248" w:lineRule="exact"/>
        <w:rPr>
          <w:rFonts w:ascii="Arial" w:cs="Arial" w:eastAsia="Arial" w:hAnsi="Arial"/>
          <w:sz w:val="16"/>
          <w:szCs w:val="16"/>
          <w:u w:val="single" w:color="auto"/>
          <w:color w:val="0000EE"/>
        </w:rPr>
      </w:pPr>
    </w:p>
    <w:p>
      <w:pPr>
        <w:ind w:left="700" w:right="179" w:hanging="326"/>
        <w:spacing w:after="0" w:line="342" w:lineRule="auto"/>
        <w:tabs>
          <w:tab w:leader="none" w:pos="700" w:val="left"/>
        </w:tabs>
        <w:numPr>
          <w:ilvl w:val="0"/>
          <w:numId w:val="30"/>
        </w:numPr>
        <w:rPr>
          <w:rFonts w:ascii="Arial" w:cs="Arial" w:eastAsia="Arial" w:hAnsi="Arial"/>
          <w:sz w:val="16"/>
          <w:szCs w:val="16"/>
          <w:u w:val="single" w:color="auto"/>
          <w:color w:val="0000EE"/>
        </w:rPr>
      </w:pPr>
      <w:hyperlink r:id="rId29">
        <w:r>
          <w:rPr>
            <w:rFonts w:ascii="Arial" w:cs="Arial" w:eastAsia="Arial" w:hAnsi="Arial"/>
            <w:sz w:val="16"/>
            <w:szCs w:val="16"/>
            <w:u w:val="single" w:color="auto"/>
            <w:color w:val="0000EE"/>
          </w:rPr>
          <w:t>the information specifically incorporated by reference into our Annual Report on Form 10-K for the year ended</w:t>
        </w:r>
      </w:hyperlink>
      <w:r>
        <w:rPr>
          <w:rFonts w:ascii="Arial" w:cs="Arial" w:eastAsia="Arial" w:hAnsi="Arial"/>
          <w:sz w:val="16"/>
          <w:szCs w:val="16"/>
          <w:u w:val="single" w:color="auto"/>
          <w:color w:val="0000EE"/>
        </w:rPr>
        <w:t xml:space="preserve"> </w:t>
      </w:r>
      <w:hyperlink r:id="rId29">
        <w:r>
          <w:rPr>
            <w:rFonts w:ascii="Arial" w:cs="Arial" w:eastAsia="Arial" w:hAnsi="Arial"/>
            <w:sz w:val="16"/>
            <w:szCs w:val="16"/>
            <w:u w:val="single" w:color="auto"/>
            <w:color w:val="0000EE"/>
          </w:rPr>
          <w:t>December 31, 2019 from our Definitive Proxy Statement on Schedule 14A filed with the SEC on April 27, 2020;</w:t>
        </w:r>
      </w:hyperlink>
    </w:p>
    <w:p>
      <w:pPr>
        <w:spacing w:after="0" w:line="340"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31"/>
        </w:numPr>
        <w:rPr>
          <w:rFonts w:ascii="Arial" w:cs="Arial" w:eastAsia="Arial" w:hAnsi="Arial"/>
          <w:sz w:val="16"/>
          <w:szCs w:val="16"/>
          <w:u w:val="single" w:color="auto"/>
          <w:color w:val="0000EE"/>
        </w:rPr>
      </w:pPr>
      <w:hyperlink r:id="rId30">
        <w:r>
          <w:rPr>
            <w:rFonts w:ascii="Arial" w:cs="Arial" w:eastAsia="Arial" w:hAnsi="Arial"/>
            <w:sz w:val="16"/>
            <w:szCs w:val="16"/>
            <w:u w:val="single" w:color="auto"/>
            <w:color w:val="0000EE"/>
          </w:rPr>
          <w:t>our Quarterly Report on Form 10-Q for the quarter ended March 31, 2020 filed with the SEC on May 7, 2020;</w:t>
        </w:r>
      </w:hyperlink>
    </w:p>
    <w:p>
      <w:pPr>
        <w:spacing w:after="0" w:line="248" w:lineRule="exact"/>
        <w:rPr>
          <w:rFonts w:ascii="Arial" w:cs="Arial" w:eastAsia="Arial" w:hAnsi="Arial"/>
          <w:sz w:val="16"/>
          <w:szCs w:val="16"/>
          <w:u w:val="single" w:color="auto"/>
          <w:color w:val="0000EE"/>
        </w:rPr>
      </w:pPr>
    </w:p>
    <w:p>
      <w:pPr>
        <w:ind w:left="700" w:right="379" w:hanging="32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1">
        <w:r>
          <w:rPr>
            <w:rFonts w:ascii="Arial" w:cs="Arial" w:eastAsia="Arial" w:hAnsi="Arial"/>
            <w:sz w:val="18"/>
            <w:szCs w:val="18"/>
            <w:u w:val="single" w:color="auto"/>
            <w:color w:val="0000EE"/>
          </w:rPr>
          <w:t>January 13, 2020</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March 17,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3">
        <w:r>
          <w:rPr>
            <w:rFonts w:ascii="Arial" w:cs="Arial" w:eastAsia="Arial" w:hAnsi="Arial"/>
            <w:sz w:val="18"/>
            <w:szCs w:val="18"/>
            <w:u w:val="single" w:color="auto"/>
            <w:color w:val="0000EE"/>
          </w:rPr>
          <w:t>June 10, 2020</w:t>
        </w:r>
      </w:hyperlink>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700" w:right="279" w:hanging="326"/>
        <w:spacing w:after="0" w:line="342" w:lineRule="auto"/>
        <w:tabs>
          <w:tab w:leader="none" w:pos="700" w:val="left"/>
        </w:tabs>
        <w:numPr>
          <w:ilvl w:val="0"/>
          <w:numId w:val="31"/>
        </w:numPr>
        <w:rPr>
          <w:rFonts w:ascii="Arial" w:cs="Arial" w:eastAsia="Arial" w:hAnsi="Arial"/>
          <w:sz w:val="16"/>
          <w:szCs w:val="16"/>
          <w:u w:val="single" w:color="auto"/>
          <w:color w:val="0000EE"/>
        </w:rPr>
      </w:pPr>
      <w:hyperlink r:id="rId35">
        <w:r>
          <w:rPr>
            <w:rFonts w:ascii="Arial" w:cs="Arial" w:eastAsia="Arial" w:hAnsi="Arial"/>
            <w:sz w:val="16"/>
            <w:szCs w:val="16"/>
            <w:u w:val="single" w:color="auto"/>
            <w:color w:val="0000EE"/>
          </w:rPr>
          <w:t>the description of our common stock contained in our registration statement on Form 8-A filed with the SEC on</w:t>
        </w:r>
      </w:hyperlink>
      <w:r>
        <w:rPr>
          <w:rFonts w:ascii="Arial" w:cs="Arial" w:eastAsia="Arial" w:hAnsi="Arial"/>
          <w:sz w:val="16"/>
          <w:szCs w:val="16"/>
          <w:u w:val="single" w:color="auto"/>
          <w:color w:val="0000EE"/>
        </w:rPr>
        <w:t xml:space="preserve"> </w:t>
      </w:r>
      <w:hyperlink r:id="rId35">
        <w:r>
          <w:rPr>
            <w:rFonts w:ascii="Arial" w:cs="Arial" w:eastAsia="Arial" w:hAnsi="Arial"/>
            <w:sz w:val="16"/>
            <w:szCs w:val="16"/>
            <w:u w:val="single" w:color="auto"/>
            <w:color w:val="0000EE"/>
          </w:rPr>
          <w:t>June 9, 2014, including any amendments or reports filed for the purpose of updating such description.</w:t>
        </w:r>
      </w:hyperlink>
    </w:p>
    <w:p>
      <w:pPr>
        <w:spacing w:after="0" w:line="124" w:lineRule="exact"/>
        <w:rPr>
          <w:rFonts w:ascii="Arial" w:cs="Arial" w:eastAsia="Arial" w:hAnsi="Arial"/>
          <w:sz w:val="16"/>
          <w:szCs w:val="16"/>
          <w:color w:val="auto"/>
        </w:rPr>
      </w:pPr>
    </w:p>
    <w:p>
      <w:pPr>
        <w:ind w:left="60" w:right="179"/>
        <w:spacing w:after="0" w:line="286" w:lineRule="auto"/>
        <w:rPr>
          <w:sz w:val="20"/>
          <w:szCs w:val="20"/>
          <w:color w:val="auto"/>
        </w:rPr>
      </w:pPr>
      <w:r>
        <w:rPr>
          <w:rFonts w:ascii="Arial" w:cs="Arial" w:eastAsia="Arial" w:hAnsi="Arial"/>
          <w:sz w:val="17"/>
          <w:szCs w:val="17"/>
          <w:color w:val="auto"/>
        </w:rPr>
        <w:t xml:space="preserve">These documents may also be accessed on our website at </w:t>
      </w:r>
      <w:r>
        <w:rPr>
          <w:rFonts w:ascii="Arial" w:cs="Arial" w:eastAsia="Arial" w:hAnsi="Arial"/>
          <w:sz w:val="17"/>
          <w:szCs w:val="17"/>
          <w:i w:val="1"/>
          <w:iCs w:val="1"/>
          <w:color w:val="auto"/>
        </w:rPr>
        <w:t>www.ardelyx.com</w:t>
      </w:r>
      <w:r>
        <w:rPr>
          <w:rFonts w:ascii="Arial" w:cs="Arial" w:eastAsia="Arial" w:hAnsi="Arial"/>
          <w:sz w:val="17"/>
          <w:szCs w:val="17"/>
          <w:color w:val="auto"/>
        </w:rPr>
        <w:t>. Except as otherwise specifically incorporated by reference in this prospectus supplement and the accompanying prospectus, information contained in, or accessible through, our website is not a part of this prospectus supplement and the accompanying prospectus.</w:t>
      </w:r>
    </w:p>
    <w:p>
      <w:pPr>
        <w:spacing w:after="0" w:line="165" w:lineRule="exact"/>
        <w:rPr>
          <w:rFonts w:ascii="Arial" w:cs="Arial" w:eastAsia="Arial" w:hAnsi="Arial"/>
          <w:sz w:val="16"/>
          <w:szCs w:val="16"/>
          <w:color w:val="auto"/>
        </w:rPr>
      </w:pPr>
    </w:p>
    <w:p>
      <w:pPr>
        <w:ind w:left="60" w:right="199"/>
        <w:spacing w:after="0" w:line="342" w:lineRule="auto"/>
        <w:rPr>
          <w:sz w:val="20"/>
          <w:szCs w:val="20"/>
          <w:color w:val="auto"/>
        </w:rPr>
      </w:pPr>
      <w:r>
        <w:rPr>
          <w:rFonts w:ascii="Arial" w:cs="Arial" w:eastAsia="Arial" w:hAnsi="Arial"/>
          <w:sz w:val="16"/>
          <w:szCs w:val="16"/>
          <w:color w:val="auto"/>
        </w:rPr>
        <w:t>We will furnish without charge to you, upon written or oral request, a copy of any or all of the documents incorporated by reference, including exhibits to these documents by writing or telephoning us at the following address:</w:t>
      </w:r>
    </w:p>
    <w:p>
      <w:pPr>
        <w:spacing w:after="0" w:line="124"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Ardelyx, Inc.</w:t>
      </w:r>
    </w:p>
    <w:p>
      <w:pPr>
        <w:spacing w:after="0" w:line="2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34175 Ardenwood Blvd.</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Fremont, CA 94555</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(510) 745-1700</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Attention: Chief Legal and Administrative Officer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966470</wp:posOffset>
            </wp:positionV>
            <wp:extent cx="2777490" cy="4718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2777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1045845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 other than the SEC registration fee.</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32,450.00</w:t>
            </w:r>
          </w:p>
        </w:tc>
      </w:tr>
      <w:tr>
        <w:trPr>
          <w:trHeight w:val="216"/>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The Nasdaq Global Market supplemental listing fee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Fees and expenses of the trustee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qualification fees and expenses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Transfer agent fees and expenses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96"/>
        </w:trPr>
        <w:tc>
          <w:tcPr>
            <w:tcW w:w="9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67" w:lineRule="exact"/>
        <w:rPr>
          <w:sz w:val="20"/>
          <w:szCs w:val="20"/>
          <w:color w:val="auto"/>
        </w:rPr>
      </w:pPr>
    </w:p>
    <w:p>
      <w:pPr>
        <w:ind w:left="380" w:right="599" w:hanging="330"/>
        <w:spacing w:after="0" w:line="207" w:lineRule="auto"/>
        <w:tabs>
          <w:tab w:leader="none" w:pos="38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These fees are calculated based on the securities offered and the number of issuances and accordingly cannot be estimated at this time.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left="60" w:right="239"/>
        <w:spacing w:after="0" w:line="288" w:lineRule="auto"/>
        <w:rPr>
          <w:sz w:val="20"/>
          <w:szCs w:val="20"/>
          <w:color w:val="auto"/>
        </w:rPr>
      </w:pPr>
      <w:r>
        <w:rPr>
          <w:rFonts w:ascii="Arial" w:cs="Arial" w:eastAsia="Arial" w:hAnsi="Arial"/>
          <w:sz w:val="16"/>
          <w:szCs w:val="16"/>
          <w:color w:val="auto"/>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68"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95" w:lineRule="exact"/>
        <w:rPr>
          <w:sz w:val="20"/>
          <w:szCs w:val="20"/>
          <w:color w:val="auto"/>
        </w:rPr>
      </w:pPr>
    </w:p>
    <w:p>
      <w:pPr>
        <w:ind w:left="60" w:right="299"/>
        <w:spacing w:after="0" w:line="287" w:lineRule="auto"/>
        <w:rPr>
          <w:sz w:val="20"/>
          <w:szCs w:val="20"/>
          <w:color w:val="auto"/>
        </w:rPr>
      </w:pPr>
      <w:r>
        <w:rPr>
          <w:rFonts w:ascii="Arial" w:cs="Arial" w:eastAsia="Arial" w:hAnsi="Arial"/>
          <w:sz w:val="16"/>
          <w:szCs w:val="16"/>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w:t>
      </w:r>
    </w:p>
    <w:p>
      <w:pPr>
        <w:spacing w:after="0" w:line="2" w:lineRule="exact"/>
        <w:rPr>
          <w:sz w:val="20"/>
          <w:szCs w:val="20"/>
          <w:color w:val="auto"/>
        </w:rPr>
      </w:pPr>
    </w:p>
    <w:p>
      <w:pPr>
        <w:ind w:left="60" w:right="159" w:hanging="10"/>
        <w:spacing w:after="0" w:line="281" w:lineRule="auto"/>
        <w:tabs>
          <w:tab w:leader="none" w:pos="2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any breach of the director’s duty of loyalty to the corporation or its stockholders, (ii) for acts or omissions not in good faith or which involve intentional misconduct or a knowing violation of law, (iii) under Section 174 of the DGCL, or</w:t>
      </w:r>
    </w:p>
    <w:p>
      <w:pPr>
        <w:spacing w:after="0" w:line="1" w:lineRule="exact"/>
        <w:rPr>
          <w:rFonts w:ascii="Arial" w:cs="Arial" w:eastAsia="Arial" w:hAnsi="Arial"/>
          <w:sz w:val="16"/>
          <w:szCs w:val="16"/>
          <w:color w:val="auto"/>
        </w:rPr>
      </w:pPr>
    </w:p>
    <w:p>
      <w:pPr>
        <w:ind w:left="360" w:hanging="310"/>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11"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 of 1933, as amended, or the Securities Act.</w:t>
      </w:r>
    </w:p>
    <w:p>
      <w:pPr>
        <w:spacing w:after="0" w:line="171"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Our amended and restated certificate of incorporation and our amended and restated bylaws provide for the indemnification provisions described above and elsewhere herein. We have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700" w:hanging="32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Incorporated by Reference to Filings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4"/>
              </w:rPr>
              <w:t>Indicated</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20" w:type="dxa"/>
            <w:vAlign w:val="bottom"/>
            <w:gridSpan w:val="8"/>
          </w:tcPr>
          <w:p>
            <w:pPr>
              <w:ind w:left="1380"/>
              <w:spacing w:after="0" w:line="155" w:lineRule="exact"/>
              <w:rPr>
                <w:sz w:val="20"/>
                <w:szCs w:val="20"/>
                <w:color w:val="auto"/>
              </w:rPr>
            </w:pPr>
            <w:r>
              <w:rPr>
                <w:rFonts w:ascii="Arial" w:cs="Arial" w:eastAsia="Arial" w:hAnsi="Arial"/>
                <w:sz w:val="14"/>
                <w:szCs w:val="14"/>
                <w:b w:val="1"/>
                <w:bCs w:val="1"/>
                <w:color w:val="auto"/>
              </w:rPr>
              <w:t>Exhibit Description</w:t>
            </w:r>
          </w:p>
        </w:tc>
        <w:tc>
          <w:tcPr>
            <w:tcW w:w="5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7"/>
              </w:rPr>
              <w:t>Form</w:t>
            </w:r>
          </w:p>
        </w:tc>
        <w:tc>
          <w:tcPr>
            <w:tcW w:w="9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Exhibit No.</w:t>
            </w:r>
          </w:p>
        </w:tc>
        <w:tc>
          <w:tcPr>
            <w:tcW w:w="88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6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Form of Underwriting Agreement.</w:t>
            </w: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40" w:type="dxa"/>
            <w:vAlign w:val="bottom"/>
            <w:gridSpan w:val="2"/>
            <w:vMerge w:val="restart"/>
          </w:tcPr>
          <w:p>
            <w:pPr>
              <w:spacing w:after="0" w:line="190"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2"/>
                <w:szCs w:val="12"/>
                <w:color w:val="auto"/>
              </w:rPr>
            </w:pPr>
          </w:p>
        </w:tc>
        <w:tc>
          <w:tcPr>
            <w:tcW w:w="2220" w:type="dxa"/>
            <w:vAlign w:val="bottom"/>
            <w:gridSpan w:val="3"/>
            <w:vMerge w:val="restart"/>
          </w:tcPr>
          <w:p>
            <w:pPr>
              <w:spacing w:after="0" w:line="190"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Open Market Sales Agreement</w:t>
              </w:r>
            </w:hyperlink>
          </w:p>
        </w:tc>
        <w:tc>
          <w:tcPr>
            <w:tcW w:w="180" w:type="dxa"/>
            <w:vAlign w:val="bottom"/>
            <w:tcBorders>
              <w:bottom w:val="single" w:sz="8" w:color="0000EE"/>
            </w:tcBorders>
            <w:gridSpan w:val="2"/>
          </w:tcPr>
          <w:p>
            <w:pPr>
              <w:spacing w:after="0" w:line="129" w:lineRule="exact"/>
              <w:rPr>
                <w:rFonts w:ascii="Arial" w:cs="Arial" w:eastAsia="Arial" w:hAnsi="Arial"/>
                <w:sz w:val="13"/>
                <w:szCs w:val="13"/>
                <w:color w:val="0000EE"/>
                <w:w w:val="81"/>
              </w:rPr>
            </w:pPr>
            <w:hyperlink r:id="rId87">
              <w:r>
                <w:rPr>
                  <w:rFonts w:ascii="Arial" w:cs="Arial" w:eastAsia="Arial" w:hAnsi="Arial"/>
                  <w:sz w:val="13"/>
                  <w:szCs w:val="13"/>
                  <w:color w:val="0000EE"/>
                  <w:w w:val="81"/>
                </w:rPr>
                <w:t>SM</w:t>
              </w:r>
            </w:hyperlink>
          </w:p>
        </w:tc>
        <w:tc>
          <w:tcPr>
            <w:tcW w:w="2540" w:type="dxa"/>
            <w:vAlign w:val="bottom"/>
            <w:gridSpan w:val="3"/>
            <w:vMerge w:val="restart"/>
          </w:tcPr>
          <w:p>
            <w:pPr>
              <w:spacing w:after="0" w:line="190"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 by and between Ardelyx, Inc. and</w:t>
              </w:r>
            </w:hyperlink>
          </w:p>
        </w:tc>
        <w:tc>
          <w:tcPr>
            <w:tcW w:w="220" w:type="dxa"/>
            <w:vAlign w:val="bottom"/>
            <w:gridSpan w:val="2"/>
            <w:vMerge w:val="restart"/>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0000EE"/>
            </w:tcBorders>
            <w:gridSpan w:val="3"/>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Borders>
              <w:bottom w:val="single" w:sz="8" w:color="0000EE"/>
            </w:tcBorders>
            <w:gridSpan w:val="3"/>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Jefferies LLC, dated July 8, 2020.</w:t>
              </w:r>
            </w:hyperlink>
          </w:p>
        </w:tc>
        <w:tc>
          <w:tcPr>
            <w:tcW w:w="2720" w:type="dxa"/>
            <w:vAlign w:val="bottom"/>
            <w:gridSpan w:val="4"/>
          </w:tcPr>
          <w:p>
            <w:pPr>
              <w:spacing w:after="0"/>
              <w:rPr>
                <w:sz w:val="17"/>
                <w:szCs w:val="17"/>
                <w:color w:val="auto"/>
              </w:rPr>
            </w:pPr>
          </w:p>
        </w:tc>
        <w:tc>
          <w:tcPr>
            <w:tcW w:w="5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5"/>
              </w:rPr>
              <w:t>S-3</w:t>
            </w: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5"/>
              </w:rPr>
              <w:t>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w w:val="88"/>
              </w:rPr>
              <w:t>07/08/2020</w:t>
            </w:r>
          </w:p>
        </w:tc>
        <w:tc>
          <w:tcPr>
            <w:tcW w:w="0" w:type="dxa"/>
            <w:vAlign w:val="bottom"/>
          </w:tcPr>
          <w:p>
            <w:pPr>
              <w:spacing w:after="0"/>
              <w:rPr>
                <w:sz w:val="1"/>
                <w:szCs w:val="1"/>
                <w:color w:val="auto"/>
              </w:rPr>
            </w:pPr>
          </w:p>
        </w:tc>
      </w:tr>
      <w:tr>
        <w:trPr>
          <w:trHeight w:val="222"/>
        </w:trPr>
        <w:tc>
          <w:tcPr>
            <w:tcW w:w="540" w:type="dxa"/>
            <w:vAlign w:val="bottom"/>
            <w:gridSpan w:val="2"/>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5160" w:type="dxa"/>
            <w:vAlign w:val="bottom"/>
            <w:gridSpan w:val="10"/>
          </w:tcPr>
          <w:p>
            <w:pPr>
              <w:spacing w:after="0"/>
              <w:rPr>
                <w:rFonts w:ascii="Arial" w:cs="Arial" w:eastAsia="Arial" w:hAnsi="Arial"/>
                <w:sz w:val="18"/>
                <w:szCs w:val="18"/>
                <w:color w:val="0000EE"/>
                <w:w w:val="97"/>
              </w:rPr>
            </w:pPr>
            <w:hyperlink r:id="rId88">
              <w:r>
                <w:rPr>
                  <w:rFonts w:ascii="Arial" w:cs="Arial" w:eastAsia="Arial" w:hAnsi="Arial"/>
                  <w:sz w:val="18"/>
                  <w:szCs w:val="18"/>
                  <w:u w:val="single" w:color="auto"/>
                  <w:color w:val="0000EE"/>
                  <w:w w:val="97"/>
                </w:rPr>
                <w:t>Amended and Restated Certificate of Incorporation of Ardelyx, Inc</w:t>
              </w:r>
              <w:r>
                <w:rPr>
                  <w:rFonts w:ascii="Arial" w:cs="Arial" w:eastAsia="Arial" w:hAnsi="Arial"/>
                  <w:sz w:val="18"/>
                  <w:szCs w:val="18"/>
                  <w:color w:val="0000EE"/>
                  <w:w w:val="97"/>
                </w:rPr>
                <w:t>.</w:t>
              </w:r>
            </w:hyperlink>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06/24/2014</w:t>
            </w: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5160" w:type="dxa"/>
            <w:vAlign w:val="bottom"/>
            <w:gridSpan w:val="10"/>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Amended and Restated Bylaws of Ardelyx, Inc.</w:t>
              </w:r>
            </w:hyperlink>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06/24/2014</w:t>
            </w: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5160" w:type="dxa"/>
            <w:vAlign w:val="bottom"/>
            <w:gridSpan w:val="10"/>
          </w:tcPr>
          <w:p>
            <w:pPr>
              <w:spacing w:after="0"/>
              <w:rPr>
                <w:sz w:val="20"/>
                <w:szCs w:val="20"/>
                <w:color w:val="auto"/>
              </w:rPr>
            </w:pPr>
            <w:r>
              <w:rPr>
                <w:rFonts w:ascii="Arial" w:cs="Arial" w:eastAsia="Arial" w:hAnsi="Arial"/>
                <w:sz w:val="18"/>
                <w:szCs w:val="18"/>
                <w:color w:val="auto"/>
              </w:rPr>
              <w:t>Reference is made to Exhibits 3.1 through 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5160" w:type="dxa"/>
            <w:vAlign w:val="bottom"/>
            <w:gridSpan w:val="10"/>
          </w:tcPr>
          <w:p>
            <w:pPr>
              <w:spacing w:after="0"/>
              <w:rPr>
                <w:rFonts w:ascii="Arial" w:cs="Arial" w:eastAsia="Arial" w:hAnsi="Arial"/>
                <w:sz w:val="18"/>
                <w:szCs w:val="18"/>
                <w:color w:val="0000EE"/>
              </w:rPr>
            </w:pPr>
            <w:hyperlink r:id="rId90">
              <w:r>
                <w:rPr>
                  <w:rFonts w:ascii="Arial" w:cs="Arial" w:eastAsia="Arial" w:hAnsi="Arial"/>
                  <w:sz w:val="18"/>
                  <w:szCs w:val="18"/>
                  <w:u w:val="single" w:color="auto"/>
                  <w:color w:val="0000EE"/>
                </w:rPr>
                <w:t>Form of Common Stock Certificate</w:t>
              </w:r>
              <w:r>
                <w:rPr>
                  <w:rFonts w:ascii="Arial" w:cs="Arial" w:eastAsia="Arial" w:hAnsi="Arial"/>
                  <w:sz w:val="18"/>
                  <w:szCs w:val="18"/>
                  <w:color w:val="0000EE"/>
                </w:rPr>
                <w:t>.</w:t>
              </w:r>
            </w:hyperlink>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06/18/2014</w:t>
            </w: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5160" w:type="dxa"/>
            <w:vAlign w:val="bottom"/>
            <w:gridSpan w:val="10"/>
          </w:tcPr>
          <w:p>
            <w:pPr>
              <w:spacing w:after="0"/>
              <w:rPr>
                <w:sz w:val="20"/>
                <w:szCs w:val="20"/>
                <w:color w:val="auto"/>
              </w:rPr>
            </w:pPr>
            <w:r>
              <w:rPr>
                <w:rFonts w:ascii="Arial" w:cs="Arial" w:eastAsia="Arial" w:hAnsi="Arial"/>
                <w:sz w:val="18"/>
                <w:szCs w:val="18"/>
                <w:color w:val="auto"/>
              </w:rPr>
              <w:t>Form of Preferred Stock Certificate.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160" w:type="dxa"/>
            <w:vAlign w:val="bottom"/>
            <w:gridSpan w:val="10"/>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Form of Indenture.</w:t>
              </w:r>
            </w:hyperlink>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S-3</w:t>
            </w: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07/08/2020</w:t>
            </w: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5160" w:type="dxa"/>
            <w:vAlign w:val="bottom"/>
            <w:gridSpan w:val="10"/>
          </w:tcPr>
          <w:p>
            <w:pPr>
              <w:spacing w:after="0"/>
              <w:rPr>
                <w:sz w:val="20"/>
                <w:szCs w:val="20"/>
                <w:color w:val="auto"/>
              </w:rPr>
            </w:pPr>
            <w:r>
              <w:rPr>
                <w:rFonts w:ascii="Arial" w:cs="Arial" w:eastAsia="Arial" w:hAnsi="Arial"/>
                <w:sz w:val="18"/>
                <w:szCs w:val="18"/>
                <w:color w:val="auto"/>
              </w:rPr>
              <w:t>Form of Note.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5160" w:type="dxa"/>
            <w:vAlign w:val="bottom"/>
            <w:gridSpan w:val="10"/>
          </w:tcPr>
          <w:p>
            <w:pPr>
              <w:spacing w:after="0"/>
              <w:rPr>
                <w:sz w:val="20"/>
                <w:szCs w:val="20"/>
                <w:color w:val="auto"/>
              </w:rPr>
            </w:pPr>
            <w:r>
              <w:rPr>
                <w:rFonts w:ascii="Arial" w:cs="Arial" w:eastAsia="Arial" w:hAnsi="Arial"/>
                <w:sz w:val="18"/>
                <w:szCs w:val="18"/>
                <w:color w:val="auto"/>
              </w:rPr>
              <w:t>Form of Warrant.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5160" w:type="dxa"/>
            <w:vAlign w:val="bottom"/>
            <w:gridSpan w:val="10"/>
          </w:tcPr>
          <w:p>
            <w:pPr>
              <w:spacing w:after="0"/>
              <w:rPr>
                <w:sz w:val="20"/>
                <w:szCs w:val="20"/>
                <w:color w:val="auto"/>
              </w:rPr>
            </w:pPr>
            <w:r>
              <w:rPr>
                <w:rFonts w:ascii="Arial" w:cs="Arial" w:eastAsia="Arial" w:hAnsi="Arial"/>
                <w:sz w:val="18"/>
                <w:szCs w:val="18"/>
                <w:color w:val="auto"/>
              </w:rPr>
              <w:t>Form of Warrant Agreement.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5160" w:type="dxa"/>
            <w:vAlign w:val="bottom"/>
            <w:gridSpan w:val="10"/>
          </w:tcPr>
          <w:p>
            <w:pPr>
              <w:spacing w:after="0"/>
              <w:rPr>
                <w:sz w:val="20"/>
                <w:szCs w:val="20"/>
                <w:color w:val="auto"/>
              </w:rPr>
            </w:pPr>
            <w:r>
              <w:rPr>
                <w:rFonts w:ascii="Arial" w:cs="Arial" w:eastAsia="Arial" w:hAnsi="Arial"/>
                <w:sz w:val="18"/>
                <w:szCs w:val="18"/>
                <w:color w:val="auto"/>
              </w:rPr>
              <w:t>Form of Unit Agreement.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5160" w:type="dxa"/>
            <w:vAlign w:val="bottom"/>
            <w:gridSpan w:val="10"/>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Opinion of Latham &amp; Watkins LLP.</w:t>
              </w:r>
            </w:hyperlink>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S-3</w:t>
            </w: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07/08/2020</w:t>
            </w: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5160" w:type="dxa"/>
            <w:vAlign w:val="bottom"/>
            <w:gridSpan w:val="10"/>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Consent of Independent Registered Public Accounting Firm.</w:t>
              </w:r>
            </w:hyperlink>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2"/>
          </w:tcPr>
          <w:p>
            <w:pPr>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5160" w:type="dxa"/>
            <w:vAlign w:val="bottom"/>
            <w:gridSpan w:val="10"/>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Consent of Latham &amp; Watkins LLP (included in Exhibit 5.1).</w:t>
              </w:r>
            </w:hyperlink>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S-3</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07/08/2020</w:t>
            </w:r>
          </w:p>
        </w:tc>
        <w:tc>
          <w:tcPr>
            <w:tcW w:w="0" w:type="dxa"/>
            <w:vAlign w:val="bottom"/>
          </w:tcPr>
          <w:p>
            <w:pPr>
              <w:spacing w:after="0"/>
              <w:rPr>
                <w:sz w:val="1"/>
                <w:szCs w:val="1"/>
                <w:color w:val="auto"/>
              </w:rPr>
            </w:pPr>
          </w:p>
        </w:tc>
      </w:tr>
      <w:tr>
        <w:trPr>
          <w:trHeight w:val="190"/>
        </w:trPr>
        <w:tc>
          <w:tcPr>
            <w:tcW w:w="540" w:type="dxa"/>
            <w:vAlign w:val="bottom"/>
            <w:gridSpan w:val="2"/>
          </w:tcPr>
          <w:p>
            <w:pPr>
              <w:spacing w:after="0" w:line="190" w:lineRule="exact"/>
              <w:rPr>
                <w:sz w:val="20"/>
                <w:szCs w:val="20"/>
                <w:color w:val="auto"/>
              </w:rPr>
            </w:pPr>
            <w:r>
              <w:rPr>
                <w:rFonts w:ascii="Arial" w:cs="Arial" w:eastAsia="Arial" w:hAnsi="Arial"/>
                <w:sz w:val="18"/>
                <w:szCs w:val="18"/>
                <w:color w:val="auto"/>
              </w:rPr>
              <w:t>24.1</w:t>
            </w:r>
          </w:p>
        </w:tc>
        <w:tc>
          <w:tcPr>
            <w:tcW w:w="100" w:type="dxa"/>
            <w:vAlign w:val="bottom"/>
          </w:tcPr>
          <w:p>
            <w:pPr>
              <w:spacing w:after="0"/>
              <w:rPr>
                <w:sz w:val="16"/>
                <w:szCs w:val="16"/>
                <w:color w:val="auto"/>
              </w:rPr>
            </w:pPr>
          </w:p>
        </w:tc>
        <w:tc>
          <w:tcPr>
            <w:tcW w:w="4900" w:type="dxa"/>
            <w:vAlign w:val="bottom"/>
            <w:tcBorders>
              <w:bottom w:val="single" w:sz="8" w:color="0000EE"/>
            </w:tcBorders>
            <w:gridSpan w:val="7"/>
          </w:tcPr>
          <w:p>
            <w:pPr>
              <w:spacing w:after="0" w:line="190" w:lineRule="exact"/>
              <w:rPr>
                <w:rFonts w:ascii="Arial" w:cs="Arial" w:eastAsia="Arial" w:hAnsi="Arial"/>
                <w:sz w:val="18"/>
                <w:szCs w:val="18"/>
                <w:color w:val="0000EE"/>
                <w:w w:val="89"/>
              </w:rPr>
            </w:pPr>
            <w:hyperlink r:id="rId93">
              <w:r>
                <w:rPr>
                  <w:rFonts w:ascii="Arial" w:cs="Arial" w:eastAsia="Arial" w:hAnsi="Arial"/>
                  <w:sz w:val="18"/>
                  <w:szCs w:val="18"/>
                  <w:color w:val="0000EE"/>
                  <w:w w:val="89"/>
                </w:rPr>
                <w:t>Powers of Attorney (incorporated by reference to the signature page</w:t>
              </w:r>
            </w:hyperlink>
          </w:p>
        </w:tc>
        <w:tc>
          <w:tcPr>
            <w:tcW w:w="260" w:type="dxa"/>
            <w:vAlign w:val="bottom"/>
            <w:gridSpan w:val="3"/>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60" w:type="dxa"/>
            <w:vAlign w:val="bottom"/>
            <w:gridSpan w:val="10"/>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hereto).</w:t>
              </w:r>
            </w:hyperlink>
          </w:p>
        </w:tc>
        <w:tc>
          <w:tcPr>
            <w:tcW w:w="5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5"/>
              </w:rPr>
              <w:t>S-3</w:t>
            </w: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1"/>
              </w:rPr>
              <w:t>24.1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w w:val="88"/>
              </w:rPr>
              <w:t>07/08/2020</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 w:type="dxa"/>
            <w:vAlign w:val="bottom"/>
            <w:gridSpan w:val="2"/>
          </w:tcPr>
          <w:p>
            <w:pPr>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5160" w:type="dxa"/>
            <w:vAlign w:val="bottom"/>
            <w:gridSpan w:val="10"/>
          </w:tcPr>
          <w:p>
            <w:pPr>
              <w:spacing w:after="0"/>
              <w:rPr>
                <w:sz w:val="20"/>
                <w:szCs w:val="20"/>
                <w:color w:val="auto"/>
              </w:rPr>
            </w:pPr>
            <w:r>
              <w:rPr>
                <w:rFonts w:ascii="Arial" w:cs="Arial" w:eastAsia="Arial" w:hAnsi="Arial"/>
                <w:sz w:val="18"/>
                <w:szCs w:val="18"/>
                <w:color w:val="auto"/>
                <w:w w:val="95"/>
              </w:rPr>
              <w:t>Statement of Eligibility on Form T-1 under the Trust Indenture Act of</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gridSpan w:val="10"/>
          </w:tcPr>
          <w:p>
            <w:pPr>
              <w:spacing w:after="0"/>
              <w:rPr>
                <w:sz w:val="20"/>
                <w:szCs w:val="20"/>
                <w:color w:val="auto"/>
              </w:rPr>
            </w:pPr>
            <w:r>
              <w:rPr>
                <w:rFonts w:ascii="Arial" w:cs="Arial" w:eastAsia="Arial" w:hAnsi="Arial"/>
                <w:sz w:val="18"/>
                <w:szCs w:val="18"/>
                <w:color w:val="auto"/>
                <w:w w:val="93"/>
              </w:rPr>
              <w:t>1939, as amended, of the trustee, as trustee under the indenture filed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gridSpan w:val="10"/>
          </w:tcPr>
          <w:p>
            <w:pPr>
              <w:spacing w:after="0"/>
              <w:rPr>
                <w:sz w:val="20"/>
                <w:szCs w:val="20"/>
                <w:color w:val="auto"/>
              </w:rPr>
            </w:pPr>
            <w:r>
              <w:rPr>
                <w:rFonts w:ascii="Arial" w:cs="Arial" w:eastAsia="Arial" w:hAnsi="Arial"/>
                <w:sz w:val="18"/>
                <w:szCs w:val="18"/>
                <w:color w:val="auto"/>
              </w:rPr>
              <w:t>herewith.</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20" w:hanging="270"/>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be filed by amendment or incorporated by reference in connection with the offering of the securities.</w:t>
      </w:r>
    </w:p>
    <w:p>
      <w:pPr>
        <w:spacing w:after="0" w:line="34"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  To be filed in accordance with the requirements of Item 601(b)(25) of Regulation S-K.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Provided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8240" w:space="120"/>
            <w:col w:w="65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700" w:hanging="650"/>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0" w:right="179" w:hanging="10"/>
        <w:spacing w:after="0" w:line="277" w:lineRule="auto"/>
        <w:tabs>
          <w:tab w:leader="none" w:pos="7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0" w:lineRule="exact"/>
        <w:rPr>
          <w:sz w:val="20"/>
          <w:szCs w:val="20"/>
          <w:color w:val="auto"/>
        </w:rPr>
      </w:pPr>
    </w:p>
    <w:p>
      <w:pPr>
        <w:ind w:left="700" w:hanging="650"/>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60" w:right="159" w:hanging="10"/>
        <w:spacing w:after="0" w:line="271" w:lineRule="auto"/>
        <w:tabs>
          <w:tab w:leader="none" w:pos="7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left="60" w:right="679" w:hanging="10"/>
        <w:spacing w:after="0" w:line="308" w:lineRule="auto"/>
        <w:tabs>
          <w:tab w:leader="none" w:pos="7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4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(a)(1)(ii) and (a)(1)(iii) of this section do not apply if the information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8" w:lineRule="exact"/>
        <w:rPr>
          <w:sz w:val="20"/>
          <w:szCs w:val="20"/>
          <w:color w:val="auto"/>
        </w:rPr>
      </w:pPr>
    </w:p>
    <w:p>
      <w:pPr>
        <w:ind w:left="60" w:right="159" w:hanging="10"/>
        <w:spacing w:after="0" w:line="286" w:lineRule="auto"/>
        <w:tabs>
          <w:tab w:leader="none" w:pos="7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65" w:lineRule="exact"/>
        <w:rPr>
          <w:rFonts w:ascii="Arial" w:cs="Arial" w:eastAsia="Arial" w:hAnsi="Arial"/>
          <w:sz w:val="17"/>
          <w:szCs w:val="17"/>
          <w:color w:val="auto"/>
        </w:rPr>
      </w:pPr>
    </w:p>
    <w:p>
      <w:pPr>
        <w:ind w:left="60" w:right="159" w:hanging="10"/>
        <w:spacing w:after="0" w:line="277" w:lineRule="auto"/>
        <w:tabs>
          <w:tab w:leader="none" w:pos="7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700" w:hanging="650"/>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60" w:right="339" w:hanging="10"/>
        <w:spacing w:after="0" w:line="342" w:lineRule="auto"/>
        <w:tabs>
          <w:tab w:leader="none" w:pos="7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3" w:lineRule="exact"/>
        <w:rPr>
          <w:rFonts w:ascii="Arial" w:cs="Arial" w:eastAsia="Arial" w:hAnsi="Arial"/>
          <w:sz w:val="16"/>
          <w:szCs w:val="16"/>
          <w:color w:val="auto"/>
        </w:rPr>
      </w:pPr>
    </w:p>
    <w:p>
      <w:pPr>
        <w:ind w:left="60" w:right="99" w:hanging="10"/>
        <w:spacing w:after="0" w:line="286" w:lineRule="auto"/>
        <w:tabs>
          <w:tab w:leader="none" w:pos="7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no statement made in a registration statement or prospectus that is part of the registration statement or made</w:t>
      </w:r>
      <w:r>
        <w:rPr>
          <w:rFonts w:ascii="Arial" w:cs="Arial" w:eastAsia="Arial" w:hAnsi="Arial"/>
          <w:sz w:val="16"/>
          <w:szCs w:val="16"/>
          <w:i w:val="1"/>
          <w:iCs w:val="1"/>
          <w:color w:val="auto"/>
        </w:rPr>
        <w:t xml:space="preserve"> </w:t>
      </w:r>
      <w:r>
        <w:rPr>
          <w:rFonts w:ascii="Arial" w:cs="Arial" w:eastAsia="Arial" w:hAnsi="Arial"/>
          <w:sz w:val="16"/>
          <w:szCs w:val="16"/>
          <w:color w:val="auto"/>
        </w:rPr>
        <w:t>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hanging="10"/>
        <w:spacing w:after="0" w:line="255" w:lineRule="auto"/>
        <w:tabs>
          <w:tab w:leader="none" w:pos="7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2" w:lineRule="exact"/>
        <w:rPr>
          <w:sz w:val="20"/>
          <w:szCs w:val="20"/>
          <w:color w:val="auto"/>
        </w:rPr>
      </w:pPr>
    </w:p>
    <w:p>
      <w:pPr>
        <w:ind w:left="60" w:right="119" w:hanging="10"/>
        <w:spacing w:after="0" w:line="277" w:lineRule="auto"/>
        <w:tabs>
          <w:tab w:leader="none" w:pos="7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60" w:right="159" w:hanging="10"/>
        <w:spacing w:after="0" w:line="277" w:lineRule="auto"/>
        <w:tabs>
          <w:tab w:leader="none" w:pos="7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60" w:right="159" w:hanging="10"/>
        <w:spacing w:after="0" w:line="277" w:lineRule="auto"/>
        <w:tabs>
          <w:tab w:leader="none" w:pos="7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700" w:hanging="650"/>
        <w:spacing w:after="0"/>
        <w:tabs>
          <w:tab w:leader="none" w:pos="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237" w:lineRule="exact"/>
        <w:rPr>
          <w:sz w:val="20"/>
          <w:szCs w:val="20"/>
          <w:color w:val="auto"/>
        </w:rPr>
      </w:pPr>
    </w:p>
    <w:p>
      <w:pPr>
        <w:ind w:left="60" w:right="139" w:hanging="10"/>
        <w:spacing w:after="0" w:line="273" w:lineRule="auto"/>
        <w:tabs>
          <w:tab w:leader="none" w:pos="708"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8" w:lineRule="exact"/>
        <w:rPr>
          <w:sz w:val="20"/>
          <w:szCs w:val="20"/>
          <w:color w:val="auto"/>
        </w:rPr>
      </w:pPr>
    </w:p>
    <w:p>
      <w:pPr>
        <w:ind w:left="60" w:right="119" w:hanging="10"/>
        <w:spacing w:after="0" w:line="269" w:lineRule="auto"/>
        <w:tabs>
          <w:tab w:leader="none" w:pos="708"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sz w:val="20"/>
          <w:szCs w:val="20"/>
          <w:color w:val="auto"/>
        </w:rPr>
      </w:pPr>
    </w:p>
    <w:p>
      <w:pPr>
        <w:ind w:left="60" w:right="259" w:hanging="10"/>
        <w:spacing w:after="0" w:line="263" w:lineRule="auto"/>
        <w:tabs>
          <w:tab w:leader="none" w:pos="7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Fremont, California, on July 23, 2020.</w:t>
      </w:r>
    </w:p>
    <w:p>
      <w:pPr>
        <w:spacing w:after="0" w:line="20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Ardelyx, Inc.</w:t>
      </w:r>
    </w:p>
    <w:p>
      <w:pPr>
        <w:spacing w:after="0" w:line="22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Raab</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Michael Raab</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below by the following persons on behalf of the registrant in the capacities and on the dates indicated.</w:t>
      </w:r>
    </w:p>
    <w:p>
      <w:pPr>
        <w:sectPr>
          <w:pgSz w:w="11900" w:h="16838" w:orient="portrait"/>
          <w:cols w:equalWidth="0" w:num="1">
            <w:col w:w="9019"/>
          </w:cols>
          <w:pgMar w:left="1440" w:top="517" w:right="1440" w:bottom="1440" w:gutter="0" w:footer="0" w:header="0"/>
        </w:sectPr>
      </w:pPr>
    </w:p>
    <w:p>
      <w:pPr>
        <w:spacing w:after="0" w:line="162"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17570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5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17570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Michael Raab</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17570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Justin Renz</w:t>
      </w:r>
    </w:p>
    <w:p>
      <w:pPr>
        <w:spacing w:after="0" w:line="7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17570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Mott</w:t>
      </w:r>
    </w:p>
    <w:p>
      <w:pPr>
        <w:spacing w:after="0" w:line="7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17570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Geoffrey A. Block, M.D.</w:t>
      </w:r>
    </w:p>
    <w:p>
      <w:pPr>
        <w:spacing w:after="0" w:line="8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17570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Robert Bazemore</w:t>
      </w:r>
    </w:p>
    <w:p>
      <w:pPr>
        <w:spacing w:after="0" w:line="7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17570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William Bertrand, Jr., J.D.</w:t>
      </w:r>
    </w:p>
    <w:p>
      <w:pPr>
        <w:spacing w:after="0" w:line="7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17570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Onaiza Cadoret-Manier</w:t>
      </w:r>
    </w:p>
    <w:p>
      <w:pPr>
        <w:spacing w:after="0" w:line="8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17570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Jan M. Lundberg, Ph.D.</w:t>
      </w:r>
    </w:p>
    <w:p>
      <w:pPr>
        <w:spacing w:after="0" w:line="8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17570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Gordon Ringold, Ph.D.</w:t>
      </w:r>
    </w:p>
    <w:p>
      <w:pPr>
        <w:spacing w:after="0" w:line="8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17570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Richard Rodgers</w:t>
      </w:r>
    </w:p>
    <w:p>
      <w:pPr>
        <w:spacing w:after="0" w:line="224" w:lineRule="exact"/>
        <w:rPr>
          <w:sz w:val="20"/>
          <w:szCs w:val="20"/>
          <w:color w:val="auto"/>
        </w:rPr>
      </w:pPr>
    </w:p>
    <w:p>
      <w:pPr>
        <w:ind w:left="560" w:right="180" w:hanging="499"/>
        <w:spacing w:after="0" w:line="320" w:lineRule="auto"/>
        <w:tabs>
          <w:tab w:leader="none" w:pos="540" w:val="left"/>
        </w:tabs>
        <w:rPr>
          <w:sz w:val="20"/>
          <w:szCs w:val="20"/>
          <w:color w:val="auto"/>
        </w:rPr>
      </w:pPr>
      <w:r>
        <w:rPr>
          <w:rFonts w:ascii="Arial" w:cs="Arial" w:eastAsia="Arial" w:hAnsi="Arial"/>
          <w:sz w:val="16"/>
          <w:szCs w:val="16"/>
          <w:color w:val="auto"/>
        </w:rPr>
        <w:t>*By:</w:t>
        <w:tab/>
        <w:t>/s/ Elizabeth Grammer Elizabeth Grammer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-320675</wp:posOffset>
            </wp:positionV>
            <wp:extent cx="1440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63"/>
        </w:trPr>
        <w:tc>
          <w:tcPr>
            <w:tcW w:w="45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President, Chief Executive Officer and Director</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1"/>
              </w:rPr>
              <w:t>July 23, 2020</w:t>
            </w:r>
          </w:p>
        </w:tc>
        <w:tc>
          <w:tcPr>
            <w:tcW w:w="0" w:type="dxa"/>
            <w:vAlign w:val="bottom"/>
          </w:tcPr>
          <w:p>
            <w:pPr>
              <w:spacing w:after="0"/>
              <w:rPr>
                <w:sz w:val="1"/>
                <w:szCs w:val="1"/>
                <w:color w:val="auto"/>
              </w:rPr>
            </w:pPr>
          </w:p>
        </w:tc>
      </w:tr>
      <w:tr>
        <w:trPr>
          <w:trHeight w:val="122"/>
        </w:trPr>
        <w:tc>
          <w:tcPr>
            <w:tcW w:w="45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3"/>
              </w:rPr>
              <w:t>(principal executive officer)</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2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45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Chief Financial Officer</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1"/>
              </w:rPr>
              <w:t>July 23, 2020</w:t>
            </w:r>
          </w:p>
        </w:tc>
        <w:tc>
          <w:tcPr>
            <w:tcW w:w="0" w:type="dxa"/>
            <w:vAlign w:val="bottom"/>
          </w:tcPr>
          <w:p>
            <w:pPr>
              <w:spacing w:after="0"/>
              <w:rPr>
                <w:sz w:val="1"/>
                <w:szCs w:val="1"/>
                <w:color w:val="auto"/>
              </w:rPr>
            </w:pPr>
          </w:p>
        </w:tc>
      </w:tr>
      <w:tr>
        <w:trPr>
          <w:trHeight w:val="122"/>
        </w:trPr>
        <w:tc>
          <w:tcPr>
            <w:tcW w:w="45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3"/>
              </w:rPr>
              <w:t>(principal financial and accounting officer)</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2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45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Chairman of the Board of Directors</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July 23, 2020</w:t>
            </w:r>
          </w:p>
        </w:tc>
        <w:tc>
          <w:tcPr>
            <w:tcW w:w="0" w:type="dxa"/>
            <w:vAlign w:val="bottom"/>
          </w:tcPr>
          <w:p>
            <w:pPr>
              <w:spacing w:after="0"/>
              <w:rPr>
                <w:sz w:val="1"/>
                <w:szCs w:val="1"/>
                <w:color w:val="auto"/>
              </w:rPr>
            </w:pPr>
          </w:p>
        </w:tc>
      </w:tr>
      <w:tr>
        <w:trPr>
          <w:trHeight w:val="513"/>
        </w:trPr>
        <w:tc>
          <w:tcPr>
            <w:tcW w:w="45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July 23, 2020</w:t>
            </w:r>
          </w:p>
        </w:tc>
        <w:tc>
          <w:tcPr>
            <w:tcW w:w="0" w:type="dxa"/>
            <w:vAlign w:val="bottom"/>
          </w:tcPr>
          <w:p>
            <w:pPr>
              <w:spacing w:after="0"/>
              <w:rPr>
                <w:sz w:val="1"/>
                <w:szCs w:val="1"/>
                <w:color w:val="auto"/>
              </w:rPr>
            </w:pPr>
          </w:p>
        </w:tc>
      </w:tr>
      <w:tr>
        <w:trPr>
          <w:trHeight w:val="513"/>
        </w:trPr>
        <w:tc>
          <w:tcPr>
            <w:tcW w:w="45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July 23, 2020</w:t>
            </w:r>
          </w:p>
        </w:tc>
        <w:tc>
          <w:tcPr>
            <w:tcW w:w="0" w:type="dxa"/>
            <w:vAlign w:val="bottom"/>
          </w:tcPr>
          <w:p>
            <w:pPr>
              <w:spacing w:after="0"/>
              <w:rPr>
                <w:sz w:val="1"/>
                <w:szCs w:val="1"/>
                <w:color w:val="auto"/>
              </w:rPr>
            </w:pPr>
          </w:p>
        </w:tc>
      </w:tr>
      <w:tr>
        <w:trPr>
          <w:trHeight w:val="513"/>
        </w:trPr>
        <w:tc>
          <w:tcPr>
            <w:tcW w:w="45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July 23, 2020</w:t>
            </w:r>
          </w:p>
        </w:tc>
        <w:tc>
          <w:tcPr>
            <w:tcW w:w="0" w:type="dxa"/>
            <w:vAlign w:val="bottom"/>
          </w:tcPr>
          <w:p>
            <w:pPr>
              <w:spacing w:after="0"/>
              <w:rPr>
                <w:sz w:val="1"/>
                <w:szCs w:val="1"/>
                <w:color w:val="auto"/>
              </w:rPr>
            </w:pPr>
          </w:p>
        </w:tc>
      </w:tr>
      <w:tr>
        <w:trPr>
          <w:trHeight w:val="513"/>
        </w:trPr>
        <w:tc>
          <w:tcPr>
            <w:tcW w:w="45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July 23, 2020</w:t>
            </w:r>
          </w:p>
        </w:tc>
        <w:tc>
          <w:tcPr>
            <w:tcW w:w="0" w:type="dxa"/>
            <w:vAlign w:val="bottom"/>
          </w:tcPr>
          <w:p>
            <w:pPr>
              <w:spacing w:after="0"/>
              <w:rPr>
                <w:sz w:val="1"/>
                <w:szCs w:val="1"/>
                <w:color w:val="auto"/>
              </w:rPr>
            </w:pPr>
          </w:p>
        </w:tc>
      </w:tr>
      <w:tr>
        <w:trPr>
          <w:trHeight w:val="513"/>
        </w:trPr>
        <w:tc>
          <w:tcPr>
            <w:tcW w:w="45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July 23, 2020</w:t>
            </w:r>
          </w:p>
        </w:tc>
        <w:tc>
          <w:tcPr>
            <w:tcW w:w="0" w:type="dxa"/>
            <w:vAlign w:val="bottom"/>
          </w:tcPr>
          <w:p>
            <w:pPr>
              <w:spacing w:after="0"/>
              <w:rPr>
                <w:sz w:val="1"/>
                <w:szCs w:val="1"/>
                <w:color w:val="auto"/>
              </w:rPr>
            </w:pPr>
          </w:p>
        </w:tc>
      </w:tr>
      <w:tr>
        <w:trPr>
          <w:trHeight w:val="513"/>
        </w:trPr>
        <w:tc>
          <w:tcPr>
            <w:tcW w:w="45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July 23, 2020</w:t>
            </w:r>
          </w:p>
        </w:tc>
        <w:tc>
          <w:tcPr>
            <w:tcW w:w="0" w:type="dxa"/>
            <w:vAlign w:val="bottom"/>
          </w:tcPr>
          <w:p>
            <w:pPr>
              <w:spacing w:after="0"/>
              <w:rPr>
                <w:sz w:val="1"/>
                <w:szCs w:val="1"/>
                <w:color w:val="auto"/>
              </w:rPr>
            </w:pPr>
          </w:p>
        </w:tc>
      </w:tr>
      <w:tr>
        <w:trPr>
          <w:trHeight w:val="513"/>
        </w:trPr>
        <w:tc>
          <w:tcPr>
            <w:tcW w:w="45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July 23, 2020</w:t>
            </w:r>
          </w:p>
        </w:tc>
        <w:tc>
          <w:tcPr>
            <w:tcW w:w="0" w:type="dxa"/>
            <w:vAlign w:val="bottom"/>
          </w:tcPr>
          <w:p>
            <w:pPr>
              <w:spacing w:after="0"/>
              <w:rPr>
                <w:sz w:val="1"/>
                <w:szCs w:val="1"/>
                <w:color w:val="auto"/>
              </w:rPr>
            </w:pPr>
          </w:p>
        </w:tc>
      </w:tr>
    </w:tbl>
    <w:p>
      <w:pPr>
        <w:spacing w:after="0" w:line="1259" w:lineRule="exact"/>
        <w:rPr>
          <w:sz w:val="20"/>
          <w:szCs w:val="20"/>
          <w:color w:val="auto"/>
        </w:rPr>
      </w:pPr>
    </w:p>
    <w:p>
      <w:pPr>
        <w:sectPr>
          <w:pgSz w:w="11900" w:h="16838" w:orient="portrait"/>
          <w:cols w:equalWidth="0" w:num="2">
            <w:col w:w="2380" w:space="720"/>
            <w:col w:w="5919"/>
          </w:cols>
          <w:pgMar w:left="1440" w:top="517" w:right="1440" w:bottom="1440" w:gutter="0" w:footer="0" w:header="0"/>
          <w:type w:val="continuous"/>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consent to the reference to our firm under the caption “Experts” in this Registration Statement (Form S-3) and the related Prospectus of Ardelyx, Inc. for the registration of up to $250,000,000 of its common stock, preferred stock, debt securities, warrants, and units, and to the incorporation by reference therein of our reports dated March 6, 2020, with respect to the financial statements of Ardelyx, Inc., and the effectiveness of internal control over financial reporting of Ardelyx, Inc., included in its Annual Report (Form 10-K) for the year ended December 31, 2019, filed with the Securities and Exchange Commission.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lowerRoman"/>
      <w:start w:val="1"/>
    </w:lvl>
  </w:abstractNum>
  <w:abstractNum w:abstractNumId="33">
    <w:nsid w:val="580BD78F"/>
    <w:multiLevelType w:val="hybridMultilevel"/>
    <w:lvl w:ilvl="0">
      <w:lvlJc w:val="left"/>
      <w:lvlText w:val="(%1)"/>
      <w:numFmt w:val="lowerRoman"/>
      <w:start w:val="4"/>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Roman"/>
      <w:start w:val="1"/>
    </w:lvl>
  </w:abstractNum>
  <w:abstractNum w:abstractNumId="39">
    <w:nsid w:val="1D4ED43B"/>
    <w:multiLevelType w:val="hybridMultilevel"/>
    <w:lvl w:ilvl="0">
      <w:lvlJc w:val="left"/>
      <w:lvlText w:val="(%1)"/>
      <w:numFmt w:val="decimal"/>
      <w:start w:val="2"/>
    </w:lvl>
  </w:abstractNum>
  <w:abstractNum w:abstractNumId="40">
    <w:nsid w:val="725A06FB"/>
    <w:multiLevelType w:val="hybridMultilevel"/>
    <w:lvl w:ilvl="0">
      <w:lvlJc w:val="left"/>
      <w:lvlText w:val="(%1)"/>
      <w:numFmt w:val="decimal"/>
      <w:start w:val="5"/>
    </w:lvl>
  </w:abstractNum>
  <w:abstractNum w:abstractNumId="41">
    <w:nsid w:val="2CD89A32"/>
    <w:multiLevelType w:val="hybridMultilevel"/>
    <w:lvl w:ilvl="0">
      <w:lvlJc w:val="left"/>
      <w:lvlText w:val="(%1)"/>
      <w:numFmt w:val="upperLetter"/>
      <w:start w:val="1"/>
    </w:lvl>
  </w:abstractNum>
  <w:abstractNum w:abstractNumId="42">
    <w:nsid w:val="57E4CCAF"/>
    <w:multiLevelType w:val="hybridMultilevel"/>
    <w:lvl w:ilvl="0">
      <w:lvlJc w:val="left"/>
      <w:lvlText w:val="(%1)"/>
      <w:numFmt w:val="decimal"/>
      <w:start w:val="6"/>
    </w:lvl>
  </w:abstractNum>
  <w:abstractNum w:abstractNumId="43">
    <w:nsid w:val="7A6D8D3C"/>
    <w:multiLevelType w:val="hybridMultilevel"/>
    <w:lvl w:ilvl="0">
      <w:lvlJc w:val="left"/>
      <w:lvlText w:val="(%1)"/>
      <w:numFmt w:val="lowerRoman"/>
      <w:start w:val="1"/>
    </w:lvl>
  </w:abstractNum>
  <w:abstractNum w:abstractNumId="44">
    <w:nsid w:val="4B588F54"/>
    <w:multiLevelType w:val="hybridMultilevel"/>
    <w:lvl w:ilvl="0">
      <w:lvlJc w:val="left"/>
      <w:lvlText w:val="(%1)"/>
      <w:numFmt w:val="lowerLetter"/>
      <w:start w:val="2"/>
    </w:lvl>
  </w:abstractNum>
  <w:abstractNum w:abstractNumId="45">
    <w:nsid w:val="542289EC"/>
    <w:multiLevelType w:val="hybridMultilevel"/>
    <w:lvl w:ilvl="0">
      <w:lvlJc w:val="left"/>
      <w:lvlText w:val="(%1)"/>
      <w:numFmt w:val="lowerLetter"/>
      <w:start w:val="8"/>
    </w:lvl>
  </w:abstractNum>
  <w:abstractNum w:abstractNumId="46">
    <w:nsid w:val="6DE91B18"/>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4"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jpe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jpe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28" Type="http://schemas.openxmlformats.org/officeDocument/2006/relationships/hyperlink" Target="https://www.sec.gov/Archives/edgar/data/1437402/000155837020002138/ardx-20191231x10k.htm" TargetMode="External"/><Relationship Id="rId29" Type="http://schemas.openxmlformats.org/officeDocument/2006/relationships/hyperlink" Target="https://www.sec.gov/Archives/edgar/data/1437402/000155837020004319/tmb-20200609xdef14a.htm" TargetMode="External"/><Relationship Id="rId30" Type="http://schemas.openxmlformats.org/officeDocument/2006/relationships/hyperlink" Target="https://www.sec.gov/Archives/edgar/data/1437402/000155837020005688/ardx-20200331x10q.htm" TargetMode="External"/><Relationship Id="rId31" Type="http://schemas.openxmlformats.org/officeDocument/2006/relationships/hyperlink" Target="https://www.sec.gov/Archives/edgar/data/1437402/000155837020000130/f8-k.htm" TargetMode="External"/><Relationship Id="rId32" Type="http://schemas.openxmlformats.org/officeDocument/2006/relationships/hyperlink" Target="https://www.sec.gov/Archives/edgar/data/1437402/000155837020002836/f8-k.htm" TargetMode="External"/><Relationship Id="rId33" Type="http://schemas.openxmlformats.org/officeDocument/2006/relationships/hyperlink" Target="https://www.sec.gov/Archives/edgar/data/1437402/000155837020007400/tmb-20200608x8k.htm" TargetMode="External"/><Relationship Id="rId35" Type="http://schemas.openxmlformats.org/officeDocument/2006/relationships/hyperlink" Target="https://www.sec.gov/Archives/edgar/data/1437402/000119312514230441/d740908d8a12b.htm" TargetMode="External"/><Relationship Id="rId87" Type="http://schemas.openxmlformats.org/officeDocument/2006/relationships/hyperlink" Target="https://www.sec.gov/Archives/edgar/data/1437402/000155837020008087/ardx-20200708xex1d2.htm" TargetMode="External"/><Relationship Id="rId88" Type="http://schemas.openxmlformats.org/officeDocument/2006/relationships/hyperlink" Target="https://www.sec.gov/Archives/edgar/data/1437402/000119312514247380/d748616dex31.htm" TargetMode="External"/><Relationship Id="rId89" Type="http://schemas.openxmlformats.org/officeDocument/2006/relationships/hyperlink" Target="https://www.sec.gov/Archives/edgar/data/1437402/000119312514247380/d748616dex32.htm" TargetMode="External"/><Relationship Id="rId90" Type="http://schemas.openxmlformats.org/officeDocument/2006/relationships/hyperlink" Target="https://www.sec.gov/Archives/edgar/data/1437402/000119312514240520/d704770dex42.htm" TargetMode="External"/><Relationship Id="rId91" Type="http://schemas.openxmlformats.org/officeDocument/2006/relationships/hyperlink" Target="https://www.sec.gov/Archives/edgar/data/1437402/000155837020008087/ardx-20200708xex4d4.htm" TargetMode="External"/><Relationship Id="rId92" Type="http://schemas.openxmlformats.org/officeDocument/2006/relationships/hyperlink" Target="https://www.sec.gov/Archives/edgar/data/1437402/000155837020008087/ardx-20200708xex5d1.htm" TargetMode="External"/><Relationship Id="rId93" Type="http://schemas.openxmlformats.org/officeDocument/2006/relationships/hyperlink" Target="https://www.sec.gov/Archives/edgar/data/1437402/000155837020008087/ardx-20200708x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2020-07-24T05:10:32Z</dcterms:created>
  <dcterms:modified xsi:type="dcterms:W3CDTF">2020-07-24T05:10:32Z</dcterms:modified>
</cp:coreProperties>
</file>