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RAAB MICHAEL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ARDELYX,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193040</wp:posOffset>
            </wp:positionV>
            <wp:extent cx="6964045" cy="18364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36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07/02/2020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23,128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7.0101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24,364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208,057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made pursuant to a 10b5-1 trading plan adopted by the Reporting Person on December 21, 2019.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7"/>
        <w:spacing w:after="0" w:line="25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 was executed in multiple trades in prices ranging from $7.00 to $7.0650,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are directly held by Michael G. Raab, Trustee of the Michael G. Raab Living Trust dated July 25, 2012.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are owned directly by trusts for the benefit of the Reporting Person's children.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185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07/06/2020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Raab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2606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21402" TargetMode="External"/><Relationship Id="rId14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2020-07-06T15:48:08Z</dcterms:created>
  <dcterms:modified xsi:type="dcterms:W3CDTF">2020-07-06T15:48:08Z</dcterms:modified>
</cp:coreProperties>
</file>