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8"/>
        </w:trPr>
        <w:tc>
          <w:tcPr>
            <w:tcW w:w="28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76"/>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99"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4"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May 3, 2023, Ardelyx, Inc. (the “Company”) announced its financial results for the quarter ended March 31, 2023. The full text of the press release issued in connection with the announcement is furnished as Exhibit 99.1 to this Current Report on Form 8-K.</w:t>
      </w:r>
    </w:p>
    <w:p>
      <w:pPr>
        <w:spacing w:after="0" w:line="7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1000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2"/>
        </w:trPr>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rPr>
              <w:t>No.</w:t>
            </w:r>
          </w:p>
        </w:tc>
        <w:tc>
          <w:tcPr>
            <w:tcW w:w="20" w:type="dxa"/>
            <w:vAlign w:val="bottom"/>
          </w:tcPr>
          <w:p>
            <w:pPr>
              <w:spacing w:after="0"/>
              <w:rPr>
                <w:sz w:val="15"/>
                <w:szCs w:val="15"/>
                <w:color w:val="auto"/>
              </w:rPr>
            </w:pPr>
          </w:p>
        </w:tc>
        <w:tc>
          <w:tcPr>
            <w:tcW w:w="10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p>
      <w:pPr>
        <w:sectPr>
          <w:pgSz w:w="11900" w:h="16838" w:orient="portrait"/>
          <w:cols w:equalWidth="0" w:num="1">
            <w:col w:w="11220"/>
          </w:cols>
          <w:pgMar w:left="320" w:top="114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First Quarter 2023 Financial Results and Provides Business Update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successful launch of IBSRELA, with Q1 net product sales of $11.4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XPHOZAH New Drug Application resubmitted on April 17, 2023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ends Q1 with over $130 million in cash and investments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4:30 PM Eastern Time</w:t>
      </w:r>
    </w:p>
    <w:p>
      <w:pPr>
        <w:spacing w:after="0" w:line="200" w:lineRule="exact"/>
        <w:rPr>
          <w:sz w:val="20"/>
          <w:szCs w:val="20"/>
          <w:color w:val="auto"/>
        </w:rPr>
      </w:pPr>
    </w:p>
    <w:p>
      <w:pPr>
        <w:spacing w:after="0" w:line="332" w:lineRule="exact"/>
        <w:rPr>
          <w:sz w:val="20"/>
          <w:szCs w:val="20"/>
          <w:color w:val="auto"/>
        </w:rPr>
      </w:pPr>
    </w:p>
    <w:p>
      <w:pPr>
        <w:ind w:right="320"/>
        <w:spacing w:after="0" w:line="383" w:lineRule="auto"/>
        <w:rPr>
          <w:sz w:val="20"/>
          <w:szCs w:val="20"/>
          <w:color w:val="auto"/>
        </w:rPr>
      </w:pPr>
      <w:r>
        <w:rPr>
          <w:rFonts w:ascii="Arial" w:cs="Arial" w:eastAsia="Arial" w:hAnsi="Arial"/>
          <w:sz w:val="18"/>
          <w:szCs w:val="18"/>
          <w:b w:val="1"/>
          <w:bCs w:val="1"/>
          <w:color w:val="auto"/>
        </w:rPr>
        <w:t xml:space="preserve">WALTHAM, Mass., May 3, 2023 </w:t>
      </w:r>
      <w:r>
        <w:rPr>
          <w:rFonts w:ascii="Arial" w:cs="Arial" w:eastAsia="Arial" w:hAnsi="Arial"/>
          <w:sz w:val="18"/>
          <w:szCs w:val="18"/>
          <w:color w:val="auto"/>
        </w:rPr>
        <w:t>- Ardelyx, Inc. (Nasdaq: ARDX), a biopharmaceutical company founded with a mission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innovative, first-in-class medicines that meet significant unmet medical needs, today reported financial results for the first quarter ended March 31, 2023 and provided a business update.</w:t>
      </w:r>
    </w:p>
    <w:p>
      <w:pPr>
        <w:spacing w:after="0" w:line="201" w:lineRule="exact"/>
        <w:rPr>
          <w:sz w:val="20"/>
          <w:szCs w:val="20"/>
          <w:color w:val="auto"/>
        </w:rPr>
      </w:pPr>
    </w:p>
    <w:p>
      <w:pPr>
        <w:spacing w:after="0" w:line="367" w:lineRule="auto"/>
        <w:rPr>
          <w:sz w:val="20"/>
          <w:szCs w:val="20"/>
          <w:color w:val="auto"/>
        </w:rPr>
      </w:pPr>
      <w:r>
        <w:rPr>
          <w:rFonts w:ascii="Arial" w:cs="Arial" w:eastAsia="Arial" w:hAnsi="Arial"/>
          <w:sz w:val="18"/>
          <w:szCs w:val="18"/>
          <w:color w:val="auto"/>
        </w:rPr>
        <w:t>“During the first quarter of 2023, we demonstrated progress towards achieving our goals for 2023. At one-year post-launch, IBSRELA is being recognized as an important medicine for IBS-C and is delivering meaningful benefits to patients. We are consistently gaining market share with our innovative commercial strategy. At the same time, during the first quarter, we continued to advance XPHOZAH to approval and launch and pursued business development opportunities that would bring our novel mechanism technologies to patients and strengthen our cash position,” said Mike Raab, president and chief executive officer of Ardelyx. “As we look towards the remainder of the year, we will continue to focus on achieving our near-term milestones, including driving IBSRELA adoption, preparing to launch XPHOZAH in the second half of this year pending FDA approval, and building on our strategy for the next phase of the company’s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IBSRELA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Update: Growth continues with $11.4 million in net product sales in Q1 2023</w:t>
      </w:r>
    </w:p>
    <w:p>
      <w:pPr>
        <w:spacing w:after="0" w:line="256" w:lineRule="exact"/>
        <w:rPr>
          <w:sz w:val="20"/>
          <w:szCs w:val="20"/>
          <w:color w:val="auto"/>
        </w:rPr>
      </w:pPr>
    </w:p>
    <w:p>
      <w:pPr>
        <w:ind w:right="100"/>
        <w:spacing w:after="0" w:line="401" w:lineRule="auto"/>
        <w:rPr>
          <w:sz w:val="20"/>
          <w:szCs w:val="20"/>
          <w:color w:val="auto"/>
        </w:rPr>
      </w:pPr>
      <w:r>
        <w:rPr>
          <w:rFonts w:ascii="Arial" w:cs="Arial" w:eastAsia="Arial" w:hAnsi="Arial"/>
          <w:sz w:val="17"/>
          <w:szCs w:val="17"/>
          <w:color w:val="auto"/>
        </w:rPr>
        <w:t>In March 2023, Ardelyx completed one full year of IBSRELA sales following the U.S. launch in 2022 for the treatment of irritable bowel syndrome with constipation (IBS-C) in adults. IBSRELA continues to gain market share as a result of the company executing on its innovative launch strategy focused on high-writing physicians and the patients who experience persistent symptoms, despite treatment with a prescription therapy for IBS-C. The company continues to see increased new and refill prescriptions as well as persistent growth in new and repeat writing healthcare providers.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XPHOZAH</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Update: New Drug Application (NDA) resubmitted</w:t>
      </w:r>
    </w:p>
    <w:p>
      <w:pPr>
        <w:spacing w:after="0" w:line="256" w:lineRule="exact"/>
        <w:rPr>
          <w:sz w:val="20"/>
          <w:szCs w:val="20"/>
          <w:color w:val="auto"/>
        </w:rPr>
      </w:pPr>
    </w:p>
    <w:p>
      <w:pPr>
        <w:ind w:right="240"/>
        <w:spacing w:after="0" w:line="370" w:lineRule="auto"/>
        <w:rPr>
          <w:sz w:val="20"/>
          <w:szCs w:val="20"/>
          <w:color w:val="auto"/>
        </w:rPr>
      </w:pPr>
      <w:r>
        <w:rPr>
          <w:rFonts w:ascii="Arial" w:cs="Arial" w:eastAsia="Arial" w:hAnsi="Arial"/>
          <w:sz w:val="18"/>
          <w:szCs w:val="18"/>
          <w:color w:val="auto"/>
        </w:rPr>
        <w:t>On April 17, 2023, Ardelyx resubmitted the NDA for XPHOZAH for the control of serum phosphorus in patients with chronic kidney disease (CKD) on dialysis who have had an inadequate response or intolerance to a phosphate binder therapy to the U.S. Food and Drug Administration (FDA). An Acknowledgement of Receipt letter from the FDA, confirming the resubmission is complete, is expected in mid-May. The letter will include the classification of the resubmission and the review goal date. Launch preparation activities are underway to support a second half of 2023 launch, pending FDA approval.</w:t>
      </w:r>
    </w:p>
    <w:p>
      <w:pPr>
        <w:sectPr>
          <w:pgSz w:w="11900" w:h="16838" w:orient="portrait"/>
          <w:cols w:equalWidth="0" w:num="1">
            <w:col w:w="11240"/>
          </w:cols>
          <w:pgMar w:left="320" w:top="106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Other Corporate Developments</w:t>
      </w:r>
    </w:p>
    <w:p>
      <w:pPr>
        <w:spacing w:after="0" w:line="337" w:lineRule="exact"/>
        <w:rPr>
          <w:sz w:val="20"/>
          <w:szCs w:val="20"/>
          <w:color w:val="auto"/>
        </w:rPr>
      </w:pPr>
    </w:p>
    <w:p>
      <w:pPr>
        <w:ind w:left="340" w:hanging="332"/>
        <w:spacing w:after="0" w:line="401" w:lineRule="auto"/>
        <w:tabs>
          <w:tab w:leader="none" w:pos="335" w:val="left"/>
        </w:tabs>
        <w:numPr>
          <w:ilvl w:val="0"/>
          <w:numId w:val="2"/>
        </w:numPr>
        <w:rPr>
          <w:rFonts w:ascii="Arial" w:cs="Arial" w:eastAsia="Arial" w:hAnsi="Arial"/>
          <w:sz w:val="19"/>
          <w:szCs w:val="19"/>
          <w:color w:val="auto"/>
        </w:rPr>
      </w:pPr>
      <w:r>
        <w:rPr>
          <w:rFonts w:ascii="Arial" w:cs="Arial" w:eastAsia="Arial" w:hAnsi="Arial"/>
          <w:sz w:val="16"/>
          <w:szCs w:val="16"/>
          <w:color w:val="auto"/>
        </w:rPr>
        <w:t>In April, the company signed an agreement with METiS Therapeutics, Inc. to license Ardelyx’s portfolio of TGR5 agonist compounds. METiS Therapeutics is a Boston-area company integrating drug discovery and delivery with AI and machine learning. The agreement provides METiS with the exclusive, worldwide rights to develop and commercialize a portfolio of TGR5 agonist compounds that were discovered and developed by Ardelyx for all therapeutic areas. Under the terms of the agreement, Ardelyx received an upfront payment of $750,000 and is eligible to receive additional development and sales milestones of up to $243 million, as well as tiered royalty payments on net sales ranging from the low- to mid-single digits. TGR5, as a metabolic regulator, is involved in energy homeostasis, bile acid homeostasis, glucose metabolism and metabolic regulation.</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Ardelyx presented three posters covering additional positive clinical observations of XPHOZAH at the National Kidney Foundation (NKF) 2023</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Spring Clinical Meetings, which took place in Austin, TX from April 11-15,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288" w:lineRule="exact"/>
        <w:rPr>
          <w:sz w:val="20"/>
          <w:szCs w:val="20"/>
          <w:color w:val="auto"/>
        </w:rPr>
      </w:pPr>
    </w:p>
    <w:p>
      <w:pPr>
        <w:ind w:left="340" w:hanging="332"/>
        <w:spacing w:after="0" w:line="385"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As of March 31, 2023, the company had total cash, cash equivalents and short-term investments of $130.4 million, as compared to total</w:t>
      </w:r>
      <w:r>
        <w:rPr>
          <w:rFonts w:ascii="Arial" w:cs="Arial" w:eastAsia="Arial" w:hAnsi="Arial"/>
          <w:sz w:val="17"/>
          <w:szCs w:val="17"/>
          <w:b w:val="1"/>
          <w:bCs w:val="1"/>
          <w:color w:val="auto"/>
        </w:rPr>
        <w:t xml:space="preserve"> </w:t>
      </w:r>
      <w:r>
        <w:rPr>
          <w:rFonts w:ascii="Arial" w:cs="Arial" w:eastAsia="Arial" w:hAnsi="Arial"/>
          <w:sz w:val="17"/>
          <w:szCs w:val="17"/>
          <w:color w:val="auto"/>
        </w:rPr>
        <w:t>cash, cash equivalents and short-term investments of $123.9 million as of December 31, 2022. During the quarter ended March 31, 2023, the company received gross proceeds of $51.9 million for the sale of 15.5 million shares of the company’s common stock under the company’s sales agreement with Jefferies LLC, dated August 13, 2021, deemed to be “at-the-market offerings.”</w:t>
      </w:r>
    </w:p>
    <w:p>
      <w:pPr>
        <w:spacing w:after="0" w:line="1" w:lineRule="exact"/>
        <w:rPr>
          <w:rFonts w:ascii="Arial" w:cs="Arial" w:eastAsia="Arial" w:hAnsi="Arial"/>
          <w:sz w:val="17"/>
          <w:szCs w:val="17"/>
          <w:color w:val="auto"/>
        </w:rPr>
      </w:pPr>
    </w:p>
    <w:p>
      <w:pPr>
        <w:ind w:left="340" w:right="120" w:hanging="332"/>
        <w:spacing w:after="0" w:line="367"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Product Sales: </w:t>
      </w:r>
      <w:r>
        <w:rPr>
          <w:rFonts w:ascii="Arial" w:cs="Arial" w:eastAsia="Arial" w:hAnsi="Arial"/>
          <w:sz w:val="18"/>
          <w:szCs w:val="18"/>
          <w:color w:val="auto"/>
        </w:rPr>
        <w:t>Net product sales for IBSRELA were $11.4 million during the quarter ended March 31, 2023, compared to $0.5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2022, when the first product sales for IBSRELA were recognized.</w:t>
      </w:r>
    </w:p>
    <w:p>
      <w:pPr>
        <w:spacing w:after="0" w:line="1" w:lineRule="exact"/>
        <w:rPr>
          <w:rFonts w:ascii="Arial" w:cs="Arial" w:eastAsia="Arial" w:hAnsi="Arial"/>
          <w:sz w:val="18"/>
          <w:szCs w:val="18"/>
          <w:color w:val="auto"/>
        </w:rPr>
      </w:pPr>
    </w:p>
    <w:p>
      <w:pPr>
        <w:ind w:left="340" w:right="20" w:hanging="332"/>
        <w:spacing w:after="0" w:line="360"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$9.1 million for the quarter ended March 31, 2023, compared to $8.9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2022.</w:t>
      </w:r>
    </w:p>
    <w:p>
      <w:pPr>
        <w:ind w:left="340" w:right="200" w:hanging="332"/>
        <w:spacing w:after="0" w:line="360"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$26.8 million for the quarter ended March 31, 2023, an increase of $7.5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$19.3 million for the quarter ended March 31, 2022. The increase in selling, general and administrative expenses was primarily due to increased costs associated with the ongoing commercial launch of IBSRELA.</w:t>
      </w:r>
    </w:p>
    <w:p>
      <w:pPr>
        <w:ind w:left="340" w:right="140" w:hanging="332"/>
        <w:spacing w:after="0" w:line="416" w:lineRule="auto"/>
        <w:tabs>
          <w:tab w:leader="none" w:pos="25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for the quarter ended March 31, 2023 was $26.8 million, or $(0.13) per share, compared to net loss of $28.1 million, or $(0.21)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for the quarter ended March 31, 2022. The net loss for the quarter ended March 31, 2023 included share-based compensation expense of</w:t>
      </w:r>
    </w:p>
    <w:p>
      <w:pPr>
        <w:ind w:left="340" w:right="60"/>
        <w:spacing w:after="0" w:line="387" w:lineRule="auto"/>
        <w:rPr>
          <w:rFonts w:ascii="Arial" w:cs="Arial" w:eastAsia="Arial" w:hAnsi="Arial"/>
          <w:sz w:val="16"/>
          <w:szCs w:val="16"/>
          <w:color w:val="auto"/>
        </w:rPr>
      </w:pPr>
      <w:r>
        <w:rPr>
          <w:rFonts w:ascii="Arial" w:cs="Arial" w:eastAsia="Arial" w:hAnsi="Arial"/>
          <w:sz w:val="18"/>
          <w:szCs w:val="18"/>
          <w:color w:val="auto"/>
        </w:rPr>
        <w:t>$2.9 million, non-cash interest expense related to the sale of future royalties of $1.0 million, and a non-cash impairment of a lease right of use asset of $0.4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337" w:lineRule="exact"/>
        <w:rPr>
          <w:sz w:val="20"/>
          <w:szCs w:val="20"/>
          <w:color w:val="auto"/>
        </w:rPr>
      </w:pPr>
    </w:p>
    <w:p>
      <w:pPr>
        <w:jc w:val="both"/>
        <w:ind w:right="80"/>
        <w:spacing w:after="0" w:line="444" w:lineRule="auto"/>
        <w:rPr>
          <w:sz w:val="20"/>
          <w:szCs w:val="20"/>
          <w:color w:val="auto"/>
        </w:rPr>
      </w:pPr>
      <w:r>
        <w:rPr>
          <w:rFonts w:ascii="Arial" w:cs="Arial" w:eastAsia="Arial" w:hAnsi="Arial"/>
          <w:sz w:val="16"/>
          <w:szCs w:val="16"/>
          <w:color w:val="auto"/>
        </w:rPr>
        <w:t>The company will host a conference call today, May 3, 2023, at 4:30 PM ET to discuss today's announcement. To participate in the conference call, please dial (844) 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ectPr>
          <w:pgSz w:w="11900" w:h="16838" w:orient="portrait"/>
          <w:cols w:equalWidth="0" w:num="1">
            <w:col w:w="11200"/>
          </w:cols>
          <w:pgMar w:left="320" w:top="891"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40575"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4046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WARNING: RISK OF SERIOUS DEHYDRATION IN PEDIATRIC PATIENTS</w:t>
      </w:r>
    </w:p>
    <w:p>
      <w:pPr>
        <w:spacing w:after="0" w:line="364" w:lineRule="exact"/>
        <w:rPr>
          <w:sz w:val="20"/>
          <w:szCs w:val="20"/>
          <w:color w:val="auto"/>
        </w:rPr>
      </w:pPr>
    </w:p>
    <w:p>
      <w:pPr>
        <w:jc w:val="both"/>
        <w:ind w:left="40" w:right="700"/>
        <w:spacing w:after="0" w:line="373" w:lineRule="auto"/>
        <w:rPr>
          <w:sz w:val="20"/>
          <w:szCs w:val="20"/>
          <w:color w:val="auto"/>
        </w:rPr>
      </w:pPr>
      <w:r>
        <w:rPr>
          <w:rFonts w:ascii="Arial" w:cs="Arial" w:eastAsia="Arial" w:hAnsi="Arial"/>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2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IBSRELA is contraindicated in patients less than 6 years of age due to the risk of serious dehydration.</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IBSRELA is contraindicated in patients with known or suspected mechanical gastrointestinal obstruction.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Serious Dehydration in Pediatric Patients</w:t>
      </w:r>
    </w:p>
    <w:p>
      <w:pPr>
        <w:spacing w:after="0" w:line="108" w:lineRule="exact"/>
        <w:rPr>
          <w:sz w:val="20"/>
          <w:szCs w:val="20"/>
          <w:color w:val="auto"/>
        </w:rPr>
      </w:pPr>
    </w:p>
    <w:p>
      <w:pPr>
        <w:jc w:val="both"/>
        <w:ind w:left="340" w:right="100" w:hanging="332"/>
        <w:spacing w:after="0" w:line="36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3" w:lineRule="exact"/>
        <w:rPr>
          <w:rFonts w:ascii="Arial" w:cs="Arial" w:eastAsia="Arial" w:hAnsi="Arial"/>
          <w:sz w:val="18"/>
          <w:szCs w:val="18"/>
          <w:color w:val="auto"/>
        </w:rPr>
      </w:pPr>
    </w:p>
    <w:p>
      <w:pPr>
        <w:ind w:left="340" w:hanging="332"/>
        <w:spacing w:after="0" w:line="373"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Diarrhea</w:t>
      </w:r>
    </w:p>
    <w:p>
      <w:pPr>
        <w:spacing w:after="0" w:line="108" w:lineRule="exact"/>
        <w:rPr>
          <w:sz w:val="20"/>
          <w:szCs w:val="20"/>
          <w:color w:val="auto"/>
        </w:rPr>
      </w:pPr>
    </w:p>
    <w:p>
      <w:pPr>
        <w:ind w:right="360"/>
        <w:spacing w:after="0" w:line="387" w:lineRule="auto"/>
        <w:rPr>
          <w:sz w:val="20"/>
          <w:szCs w:val="20"/>
          <w:color w:val="auto"/>
        </w:rPr>
      </w:pPr>
      <w:r>
        <w:rPr>
          <w:rFonts w:ascii="Arial" w:cs="Arial" w:eastAsia="Arial" w:hAnsi="Arial"/>
          <w:sz w:val="18"/>
          <w:szCs w:val="18"/>
          <w:color w:val="auto"/>
        </w:rPr>
        <w:t>Diarrhea was the most common adverse reaction in two randomized, double-blind, placebo-controlled trials of IBS-C. Severe diarrhea was reported in 2.5% of IBSRELA-treated patients.If severe diarrhea occurs, suspend dosing and rehydrate patient.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COMMON ADVERSE REACTIONS</w:t>
      </w:r>
    </w:p>
    <w:p>
      <w:pPr>
        <w:spacing w:after="0" w:line="108" w:lineRule="exact"/>
        <w:rPr>
          <w:sz w:val="20"/>
          <w:szCs w:val="20"/>
          <w:color w:val="auto"/>
        </w:rPr>
      </w:pPr>
    </w:p>
    <w:p>
      <w:pPr>
        <w:ind w:right="660"/>
        <w:spacing w:after="0" w:line="402" w:lineRule="auto"/>
        <w:rPr>
          <w:sz w:val="20"/>
          <w:szCs w:val="20"/>
          <w:color w:val="auto"/>
        </w:rPr>
      </w:pPr>
      <w:r>
        <w:rPr>
          <w:rFonts w:ascii="Arial" w:cs="Arial" w:eastAsia="Arial" w:hAnsi="Arial"/>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IBSRELA (tenapanor) is indicated for the treatment of Irritable Bowel Syndrome with Constipation (IBS-C) in adults.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see full Prescribing Information, including Boxed Warning, for additional risk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337" w:lineRule="exact"/>
        <w:rPr>
          <w:sz w:val="20"/>
          <w:szCs w:val="20"/>
          <w:color w:val="auto"/>
        </w:rPr>
      </w:pPr>
    </w:p>
    <w:p>
      <w:pPr>
        <w:ind w:right="460"/>
        <w:spacing w:after="0" w:line="387"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Ardelyx’s first approved product, IBSRELA® (tenapanor) is available in the United States</w:t>
      </w:r>
    </w:p>
    <w:p>
      <w:pPr>
        <w:sectPr>
          <w:pgSz w:w="11900" w:h="16838" w:orient="portrait"/>
          <w:cols w:equalWidth="0" w:num="1">
            <w:col w:w="11200"/>
          </w:cols>
          <w:pgMar w:left="320" w:top="1066" w:right="379" w:bottom="1440" w:gutter="0" w:footer="0" w:header="0"/>
        </w:sectPr>
      </w:pPr>
    </w:p>
    <w:bookmarkStart w:id="6" w:name="page7"/>
    <w:bookmarkEnd w:id="6"/>
    <w:p>
      <w:pPr>
        <w:spacing w:after="0" w:line="420" w:lineRule="auto"/>
        <w:rPr>
          <w:sz w:val="20"/>
          <w:szCs w:val="20"/>
          <w:color w:val="auto"/>
        </w:rPr>
      </w:pPr>
      <w:r>
        <w:rPr>
          <w:rFonts w:ascii="Arial" w:cs="Arial" w:eastAsia="Arial" w:hAnsi="Arial"/>
          <w:sz w:val="16"/>
          <w:szCs w:val="16"/>
          <w:color w:val="auto"/>
        </w:rPr>
        <w:t>and Canada. Ardelyx is developing XPHOZAH® (tenapanor), a novel product candidate for the control of serum phosphorus in adult patients with chronic kidney disease (CKD) on dialysis, which has completed three successful Phase 3 trials. Ardelyx has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 For more information, please visit https://ardelyx.com/ and connect with us on Twitter, LinkedIn and Facebook.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0" w:lineRule="exact"/>
        <w:rPr>
          <w:sz w:val="20"/>
          <w:szCs w:val="20"/>
          <w:color w:val="auto"/>
        </w:rPr>
      </w:pPr>
    </w:p>
    <w:p>
      <w:pPr>
        <w:spacing w:after="0" w:line="395" w:lineRule="auto"/>
        <w:rPr>
          <w:sz w:val="20"/>
          <w:szCs w:val="20"/>
          <w:color w:val="auto"/>
        </w:rPr>
      </w:pPr>
      <w:r>
        <w:rPr>
          <w:rFonts w:ascii="Arial" w:cs="Arial" w:eastAsia="Arial" w:hAnsi="Arial"/>
          <w:sz w:val="17"/>
          <w:szCs w:val="17"/>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regarding opportunities for continued IBSRELA adoption, Ardelyx’s expectation for the timing of receipt from FDA of the classification of the NDA for XPHOZAH and the goal review date for the NDA, as well as the current expectation for the timing of the launch of XPHOZAH, if approved, and the potential for Ardelyx to receive regulatory and sales milestone and royalty revenue from it collaboration partner, METiS Therapeutics.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May 3, 2023, and its future current and periodic reports to be filed with the Securities and Exchange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Caitlin Lowie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clowie@ardelyx.com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ectPr>
          <w:pgSz w:w="11900" w:h="16838" w:orient="portrait"/>
          <w:cols w:equalWidth="0" w:num="1">
            <w:col w:w="11220"/>
          </w:cols>
          <w:pgMar w:left="320" w:top="949" w:right="35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December 31, 2022</w:t>
            </w:r>
          </w:p>
        </w:tc>
      </w:tr>
      <w:tr>
        <w:trPr>
          <w:trHeight w:val="26"/>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8"/>
        </w:trPr>
        <w:tc>
          <w:tcPr>
            <w:tcW w:w="7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92,487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96,140</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7,733</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commercial manufacturing</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Inventory, current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non-current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29"/>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and other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r>
      <w:tr>
        <w:trPr>
          <w:trHeight w:val="248"/>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10,859</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13,236</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w:t>
            </w:r>
          </w:p>
        </w:tc>
      </w:tr>
      <w:tr>
        <w:trPr>
          <w:trHeight w:val="248"/>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2022.</w:t>
      </w:r>
    </w:p>
    <w:p>
      <w:pPr>
        <w:sectPr>
          <w:pgSz w:w="11900" w:h="16838" w:orient="portrait"/>
          <w:cols w:equalWidth="0" w:num="1">
            <w:col w:w="11060"/>
          </w:cols>
          <w:pgMar w:left="320" w:top="1431" w:right="519" w:bottom="1440" w:gutter="0" w:footer="0" w:header="0"/>
        </w:sectPr>
      </w:pPr>
    </w:p>
    <w:bookmarkStart w:id="8" w:name="page9"/>
    <w:bookmarkEnd w:id="8"/>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supply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Licensing revenue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19,339</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28,275</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related to the sale of future royalties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Shares used in computing net loss per share - 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207,023,127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130,934,795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00"/>
      </w:cols>
      <w:pgMar w:left="70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2023-05-03T15:21:26Z</dcterms:created>
  <dcterms:modified xsi:type="dcterms:W3CDTF">2023-05-03T15:21:26Z</dcterms:modified>
</cp:coreProperties>
</file>