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January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January 8, 2018, Ardelyx, Inc. (the “Company”) announced that as of December 31, 2017, the Company had approximately $134 million in cash, cash equivalents and short-term investments.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(the “Exchange Act”), nor shall it be incorporated by reference into any future filing under the Securities Act of 1933, as amended, or under the Exchange Act unless the Company expressly sets forth in such future filing that such information is to be considered “filed” or incorporated by reference therein.</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January 8,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2019-12-07T13:32:47Z</dcterms:created>
  <dcterms:modified xsi:type="dcterms:W3CDTF">2019-12-07T13:32:47Z</dcterms:modified>
</cp:coreProperties>
</file>